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83" w:type="dxa"/>
        <w:tblLayout w:type="fixed"/>
        <w:tblCellMar>
          <w:left w:w="107" w:type="dxa"/>
          <w:right w:w="107" w:type="dxa"/>
        </w:tblCellMar>
        <w:tblLook w:val="0000" w:firstRow="0" w:lastRow="0" w:firstColumn="0" w:lastColumn="0" w:noHBand="0" w:noVBand="0"/>
      </w:tblPr>
      <w:tblGrid>
        <w:gridCol w:w="9200"/>
      </w:tblGrid>
      <w:tr w:rsidR="000A3B2B" w14:paraId="6FA76998" w14:textId="77777777" w:rsidTr="00A47DAD">
        <w:trPr>
          <w:trHeight w:val="1971"/>
        </w:trPr>
        <w:tc>
          <w:tcPr>
            <w:tcW w:w="9200" w:type="dxa"/>
            <w:tcBorders>
              <w:top w:val="single" w:sz="4" w:space="0" w:color="000000"/>
              <w:left w:val="single" w:sz="4" w:space="0" w:color="000000"/>
              <w:bottom w:val="single" w:sz="4" w:space="0" w:color="000000"/>
              <w:right w:val="single" w:sz="4" w:space="0" w:color="000000"/>
            </w:tcBorders>
          </w:tcPr>
          <w:p w14:paraId="7EF9822C" w14:textId="77777777" w:rsidR="000A3B2B" w:rsidRDefault="000A3B2B" w:rsidP="00A47DAD">
            <w:pPr>
              <w:rPr>
                <w:rFonts w:ascii="Bookman Old Style" w:hAnsi="Bookman Old Style" w:cs="Arial"/>
                <w:b/>
                <w:sz w:val="32"/>
                <w:szCs w:val="36"/>
              </w:rPr>
            </w:pPr>
          </w:p>
          <w:p w14:paraId="4503DC4D" w14:textId="77777777" w:rsidR="000A3B2B" w:rsidRDefault="000A3B2B" w:rsidP="00A47DAD">
            <w:pPr>
              <w:rPr>
                <w:rFonts w:ascii="Arial" w:hAnsi="Arial" w:cs="Arial"/>
                <w:sz w:val="32"/>
                <w:szCs w:val="36"/>
              </w:rPr>
            </w:pPr>
            <w:r>
              <w:rPr>
                <w:rFonts w:ascii="Bookman Old Style" w:hAnsi="Bookman Old Style" w:cs="Arial"/>
                <w:b/>
                <w:sz w:val="32"/>
                <w:szCs w:val="36"/>
              </w:rPr>
              <w:t xml:space="preserve">USŁUGI INŻYNIERSKIE </w:t>
            </w:r>
            <w:r>
              <w:rPr>
                <w:rFonts w:ascii="Arial" w:hAnsi="Arial" w:cs="Arial"/>
                <w:sz w:val="32"/>
                <w:szCs w:val="36"/>
              </w:rPr>
              <w:t>mgr inż. Maciej Bartosiewicz</w:t>
            </w:r>
          </w:p>
          <w:p w14:paraId="40275BCD" w14:textId="77777777" w:rsidR="000A3B2B" w:rsidRDefault="000A3B2B" w:rsidP="00A47DAD">
            <w:pPr>
              <w:jc w:val="center"/>
              <w:rPr>
                <w:rFonts w:ascii="Arial" w:hAnsi="Arial" w:cs="Arial"/>
                <w:sz w:val="16"/>
                <w:szCs w:val="16"/>
              </w:rPr>
            </w:pPr>
          </w:p>
          <w:p w14:paraId="40F99B8B" w14:textId="77777777" w:rsidR="000A3B2B" w:rsidRPr="001564CC" w:rsidRDefault="000A3B2B" w:rsidP="00A47DAD">
            <w:pPr>
              <w:pStyle w:val="Nagwek"/>
              <w:tabs>
                <w:tab w:val="clear" w:pos="4536"/>
                <w:tab w:val="clear" w:pos="9072"/>
              </w:tabs>
              <w:rPr>
                <w:rFonts w:ascii="Arial" w:hAnsi="Arial" w:cs="Arial"/>
              </w:rPr>
            </w:pPr>
            <w:r w:rsidRPr="001564CC">
              <w:rPr>
                <w:rFonts w:ascii="Arial" w:hAnsi="Arial" w:cs="Arial"/>
              </w:rPr>
              <w:t>11-700 Mrągowo, ul. Żołnierska 4/60</w:t>
            </w:r>
          </w:p>
          <w:p w14:paraId="42D0F5B1" w14:textId="77777777" w:rsidR="000A3B2B" w:rsidRDefault="000A3B2B" w:rsidP="00A47DAD">
            <w:pPr>
              <w:rPr>
                <w:rFonts w:ascii="Arial" w:hAnsi="Arial" w:cs="Arial"/>
                <w:lang w:val="de-DE"/>
              </w:rPr>
            </w:pPr>
            <w:r>
              <w:rPr>
                <w:rFonts w:ascii="Arial" w:hAnsi="Arial" w:cs="Arial"/>
                <w:lang w:val="de-DE"/>
              </w:rPr>
              <w:t>NIP 745-157-22-39 REGON 280201313</w:t>
            </w:r>
          </w:p>
          <w:p w14:paraId="656E6B1A" w14:textId="77777777" w:rsidR="000A3B2B" w:rsidRDefault="000A3B2B" w:rsidP="00A47DAD">
            <w:pPr>
              <w:pStyle w:val="Tabela"/>
              <w:rPr>
                <w:rFonts w:ascii="Arial" w:hAnsi="Arial" w:cs="Arial"/>
              </w:rPr>
            </w:pPr>
            <w:r>
              <w:rPr>
                <w:rFonts w:ascii="Arial" w:hAnsi="Arial" w:cs="Arial"/>
              </w:rPr>
              <w:t>tel. 603 182 620</w:t>
            </w:r>
          </w:p>
          <w:p w14:paraId="580FC28C" w14:textId="77777777" w:rsidR="000A3B2B" w:rsidRDefault="000A3B2B" w:rsidP="00A47DAD">
            <w:pPr>
              <w:pStyle w:val="Tabela"/>
              <w:rPr>
                <w:rFonts w:ascii="Arial" w:hAnsi="Arial" w:cs="Arial"/>
              </w:rPr>
            </w:pPr>
          </w:p>
        </w:tc>
      </w:tr>
    </w:tbl>
    <w:p w14:paraId="048AEC46" w14:textId="77777777" w:rsidR="000A3B2B" w:rsidRDefault="000A3B2B" w:rsidP="004B46BA">
      <w:pPr>
        <w:ind w:left="-284"/>
        <w:rPr>
          <w:rFonts w:ascii="Arial Narrow" w:hAnsi="Arial Narrow" w:cs="Arial"/>
        </w:rPr>
      </w:pPr>
    </w:p>
    <w:tbl>
      <w:tblPr>
        <w:tblW w:w="0" w:type="auto"/>
        <w:tblInd w:w="-47" w:type="dxa"/>
        <w:tblLayout w:type="fixed"/>
        <w:tblCellMar>
          <w:left w:w="107" w:type="dxa"/>
          <w:right w:w="107" w:type="dxa"/>
        </w:tblCellMar>
        <w:tblLook w:val="0000" w:firstRow="0" w:lastRow="0" w:firstColumn="0" w:lastColumn="0" w:noHBand="0" w:noVBand="0"/>
      </w:tblPr>
      <w:tblGrid>
        <w:gridCol w:w="2122"/>
        <w:gridCol w:w="7117"/>
      </w:tblGrid>
      <w:tr w:rsidR="000A3B2B" w14:paraId="1B7DF5C3" w14:textId="77777777" w:rsidTr="00A47DAD">
        <w:trPr>
          <w:cantSplit/>
          <w:trHeight w:val="881"/>
        </w:trPr>
        <w:tc>
          <w:tcPr>
            <w:tcW w:w="9239" w:type="dxa"/>
            <w:gridSpan w:val="2"/>
            <w:tcBorders>
              <w:top w:val="single" w:sz="4" w:space="0" w:color="000000"/>
              <w:left w:val="single" w:sz="4" w:space="0" w:color="000000"/>
              <w:right w:val="single" w:sz="4" w:space="0" w:color="000000"/>
            </w:tcBorders>
            <w:vAlign w:val="center"/>
          </w:tcPr>
          <w:p w14:paraId="6096FD3D" w14:textId="77777777" w:rsidR="000A3B2B" w:rsidRDefault="000A3B2B" w:rsidP="00A47DAD">
            <w:pPr>
              <w:snapToGrid w:val="0"/>
              <w:jc w:val="center"/>
              <w:rPr>
                <w:rFonts w:ascii="Arial Narrow" w:hAnsi="Arial Narrow" w:cs="Arial"/>
                <w:b/>
                <w:sz w:val="36"/>
              </w:rPr>
            </w:pPr>
            <w:r>
              <w:rPr>
                <w:rFonts w:ascii="Arial Narrow" w:hAnsi="Arial Narrow" w:cs="Arial"/>
                <w:b/>
                <w:sz w:val="36"/>
              </w:rPr>
              <w:t>SPECYFIKACJE TECHNICZNE</w:t>
            </w:r>
          </w:p>
        </w:tc>
      </w:tr>
      <w:tr w:rsidR="000A3B2B" w14:paraId="2AD4768C" w14:textId="77777777" w:rsidTr="009E5295">
        <w:trPr>
          <w:cantSplit/>
          <w:trHeight w:val="1713"/>
        </w:trPr>
        <w:tc>
          <w:tcPr>
            <w:tcW w:w="2122" w:type="dxa"/>
            <w:tcBorders>
              <w:top w:val="single" w:sz="4" w:space="0" w:color="000000"/>
              <w:left w:val="single" w:sz="4" w:space="0" w:color="000000"/>
              <w:bottom w:val="single" w:sz="4" w:space="0" w:color="000000"/>
            </w:tcBorders>
          </w:tcPr>
          <w:p w14:paraId="4A4A0332" w14:textId="77777777" w:rsidR="000A3B2B" w:rsidRDefault="000A3B2B" w:rsidP="00A47DAD">
            <w:pPr>
              <w:snapToGrid w:val="0"/>
              <w:rPr>
                <w:rFonts w:ascii="Arial Narrow" w:hAnsi="Arial Narrow" w:cs="Arial"/>
                <w:b/>
                <w:sz w:val="36"/>
                <w:szCs w:val="36"/>
              </w:rPr>
            </w:pPr>
            <w:r>
              <w:rPr>
                <w:rFonts w:ascii="Arial Narrow" w:hAnsi="Arial Narrow" w:cs="Arial"/>
              </w:rPr>
              <w:t>Nazwa i adres obiektu:</w:t>
            </w:r>
            <w:r>
              <w:rPr>
                <w:rFonts w:ascii="Arial Narrow" w:hAnsi="Arial Narrow" w:cs="Arial"/>
                <w:b/>
                <w:sz w:val="36"/>
                <w:szCs w:val="36"/>
              </w:rPr>
              <w:t xml:space="preserve">     </w:t>
            </w:r>
          </w:p>
        </w:tc>
        <w:tc>
          <w:tcPr>
            <w:tcW w:w="7117" w:type="dxa"/>
            <w:tcBorders>
              <w:top w:val="single" w:sz="4" w:space="0" w:color="000000"/>
              <w:bottom w:val="single" w:sz="4" w:space="0" w:color="000000"/>
              <w:right w:val="single" w:sz="4" w:space="0" w:color="000000"/>
            </w:tcBorders>
          </w:tcPr>
          <w:p w14:paraId="14696856" w14:textId="77777777" w:rsidR="000A3B2B" w:rsidRDefault="000A3B2B" w:rsidP="009E5295">
            <w:pPr>
              <w:autoSpaceDE w:val="0"/>
              <w:autoSpaceDN w:val="0"/>
              <w:adjustRightInd w:val="0"/>
              <w:rPr>
                <w:rFonts w:ascii="Arial Narrow" w:hAnsi="Arial Narrow" w:cs="Arial"/>
                <w:b/>
                <w:sz w:val="36"/>
                <w:szCs w:val="36"/>
              </w:rPr>
            </w:pPr>
            <w:r>
              <w:rPr>
                <w:rFonts w:ascii="Arial Narrow" w:hAnsi="Arial Narrow" w:cs="Arial"/>
                <w:b/>
                <w:sz w:val="36"/>
                <w:szCs w:val="36"/>
              </w:rPr>
              <w:t>Termomodernizacja budynku Szkoły Podstawowej nr 3 przy ul. Marii Konopnickiej 2 w Reszlu</w:t>
            </w:r>
          </w:p>
        </w:tc>
      </w:tr>
      <w:tr w:rsidR="000A3B2B" w14:paraId="60C675AC" w14:textId="77777777" w:rsidTr="004B46BA">
        <w:trPr>
          <w:cantSplit/>
          <w:trHeight w:val="246"/>
        </w:trPr>
        <w:tc>
          <w:tcPr>
            <w:tcW w:w="2122" w:type="dxa"/>
            <w:tcBorders>
              <w:top w:val="single" w:sz="4" w:space="0" w:color="000000"/>
              <w:left w:val="single" w:sz="4" w:space="0" w:color="000000"/>
              <w:bottom w:val="single" w:sz="4" w:space="0" w:color="000000"/>
            </w:tcBorders>
          </w:tcPr>
          <w:p w14:paraId="33D4A164" w14:textId="77777777" w:rsidR="000A3B2B" w:rsidRDefault="000A3B2B" w:rsidP="00A47DAD">
            <w:pPr>
              <w:snapToGrid w:val="0"/>
              <w:rPr>
                <w:rFonts w:ascii="Arial Narrow" w:hAnsi="Arial Narrow" w:cs="Arial"/>
              </w:rPr>
            </w:pPr>
            <w:r>
              <w:rPr>
                <w:rFonts w:ascii="Arial Narrow" w:hAnsi="Arial Narrow" w:cs="Arial"/>
              </w:rPr>
              <w:t>Branża:</w:t>
            </w:r>
          </w:p>
        </w:tc>
        <w:tc>
          <w:tcPr>
            <w:tcW w:w="7117" w:type="dxa"/>
            <w:tcBorders>
              <w:top w:val="single" w:sz="4" w:space="0" w:color="000000"/>
              <w:bottom w:val="single" w:sz="4" w:space="0" w:color="000000"/>
              <w:right w:val="single" w:sz="4" w:space="0" w:color="000000"/>
            </w:tcBorders>
          </w:tcPr>
          <w:p w14:paraId="7F404C92" w14:textId="77777777" w:rsidR="000A3B2B" w:rsidRDefault="000A3B2B" w:rsidP="00A47DAD">
            <w:pPr>
              <w:tabs>
                <w:tab w:val="left" w:pos="253"/>
              </w:tabs>
              <w:snapToGrid w:val="0"/>
              <w:rPr>
                <w:rFonts w:ascii="Arial Narrow" w:hAnsi="Arial Narrow" w:cs="Arial"/>
                <w:b/>
                <w:sz w:val="36"/>
              </w:rPr>
            </w:pPr>
            <w:r>
              <w:rPr>
                <w:rFonts w:ascii="Arial Narrow" w:hAnsi="Arial Narrow" w:cs="Arial"/>
                <w:b/>
                <w:sz w:val="36"/>
              </w:rPr>
              <w:t>Budowlana, sanitarna</w:t>
            </w:r>
          </w:p>
        </w:tc>
      </w:tr>
    </w:tbl>
    <w:p w14:paraId="389D3268" w14:textId="77777777" w:rsidR="000A3B2B" w:rsidRDefault="000A3B2B" w:rsidP="004B46BA">
      <w:pPr>
        <w:ind w:left="-284"/>
        <w:rPr>
          <w:rFonts w:ascii="Arial Narrow" w:hAnsi="Arial Narrow" w:cs="Arial"/>
        </w:rPr>
      </w:pPr>
    </w:p>
    <w:tbl>
      <w:tblPr>
        <w:tblW w:w="0" w:type="auto"/>
        <w:tblInd w:w="-45" w:type="dxa"/>
        <w:tblLayout w:type="fixed"/>
        <w:tblCellMar>
          <w:left w:w="107" w:type="dxa"/>
          <w:right w:w="107" w:type="dxa"/>
        </w:tblCellMar>
        <w:tblLook w:val="0000" w:firstRow="0" w:lastRow="0" w:firstColumn="0" w:lastColumn="0" w:noHBand="0" w:noVBand="0"/>
      </w:tblPr>
      <w:tblGrid>
        <w:gridCol w:w="2122"/>
        <w:gridCol w:w="7112"/>
      </w:tblGrid>
      <w:tr w:rsidR="000A3B2B" w14:paraId="7EA82873" w14:textId="77777777" w:rsidTr="00A47DAD">
        <w:tc>
          <w:tcPr>
            <w:tcW w:w="2122" w:type="dxa"/>
            <w:tcBorders>
              <w:top w:val="single" w:sz="4" w:space="0" w:color="000000"/>
              <w:left w:val="single" w:sz="4" w:space="0" w:color="000000"/>
            </w:tcBorders>
          </w:tcPr>
          <w:p w14:paraId="01A3A158" w14:textId="77777777" w:rsidR="000A3B2B" w:rsidRDefault="000A3B2B" w:rsidP="00A47DAD">
            <w:pPr>
              <w:snapToGrid w:val="0"/>
              <w:rPr>
                <w:rFonts w:ascii="Arial Narrow" w:hAnsi="Arial Narrow" w:cs="Arial"/>
                <w:b/>
              </w:rPr>
            </w:pPr>
            <w:r>
              <w:rPr>
                <w:rFonts w:ascii="Arial Narrow" w:hAnsi="Arial Narrow" w:cs="Arial"/>
                <w:b/>
              </w:rPr>
              <w:t>INWESTOR:</w:t>
            </w:r>
          </w:p>
        </w:tc>
        <w:tc>
          <w:tcPr>
            <w:tcW w:w="7112" w:type="dxa"/>
            <w:tcBorders>
              <w:top w:val="single" w:sz="4" w:space="0" w:color="000000"/>
              <w:left w:val="single" w:sz="4" w:space="0" w:color="000000"/>
              <w:right w:val="single" w:sz="4" w:space="0" w:color="000000"/>
            </w:tcBorders>
          </w:tcPr>
          <w:p w14:paraId="7D714D1C" w14:textId="77777777" w:rsidR="000A3B2B" w:rsidRDefault="000A3B2B" w:rsidP="00A47DAD">
            <w:pPr>
              <w:snapToGrid w:val="0"/>
              <w:rPr>
                <w:rFonts w:ascii="Arial Narrow" w:hAnsi="Arial Narrow" w:cs="Arial"/>
                <w:b/>
                <w:sz w:val="28"/>
                <w:szCs w:val="28"/>
              </w:rPr>
            </w:pPr>
            <w:r>
              <w:rPr>
                <w:rFonts w:ascii="Arial Narrow" w:hAnsi="Arial Narrow" w:cs="Arial"/>
                <w:b/>
                <w:sz w:val="28"/>
                <w:szCs w:val="28"/>
              </w:rPr>
              <w:t>Gmina Reszel</w:t>
            </w:r>
          </w:p>
        </w:tc>
      </w:tr>
      <w:tr w:rsidR="000A3B2B" w14:paraId="47376F9A" w14:textId="77777777" w:rsidTr="00A47DAD">
        <w:tc>
          <w:tcPr>
            <w:tcW w:w="2122" w:type="dxa"/>
            <w:tcBorders>
              <w:left w:val="single" w:sz="4" w:space="0" w:color="000000"/>
              <w:bottom w:val="single" w:sz="4" w:space="0" w:color="000000"/>
            </w:tcBorders>
          </w:tcPr>
          <w:p w14:paraId="1424C422" w14:textId="77777777" w:rsidR="000A3B2B" w:rsidRDefault="000A3B2B" w:rsidP="00A47DAD">
            <w:pPr>
              <w:snapToGrid w:val="0"/>
              <w:rPr>
                <w:rFonts w:ascii="Arial Narrow" w:hAnsi="Arial Narrow" w:cs="Arial"/>
                <w:b/>
              </w:rPr>
            </w:pPr>
          </w:p>
        </w:tc>
        <w:tc>
          <w:tcPr>
            <w:tcW w:w="7112" w:type="dxa"/>
            <w:tcBorders>
              <w:left w:val="single" w:sz="4" w:space="0" w:color="000000"/>
              <w:bottom w:val="single" w:sz="4" w:space="0" w:color="000000"/>
              <w:right w:val="single" w:sz="4" w:space="0" w:color="000000"/>
            </w:tcBorders>
          </w:tcPr>
          <w:p w14:paraId="618505AC" w14:textId="77777777" w:rsidR="000A3B2B" w:rsidRDefault="000A3B2B" w:rsidP="00A47DAD">
            <w:pPr>
              <w:snapToGrid w:val="0"/>
              <w:rPr>
                <w:rFonts w:ascii="Arial" w:hAnsi="Arial" w:cs="Arial"/>
              </w:rPr>
            </w:pPr>
            <w:r>
              <w:rPr>
                <w:rFonts w:ascii="Arial" w:hAnsi="Arial" w:cs="Arial"/>
              </w:rPr>
              <w:t>ul. Rynek 24, 11-440 Reszel</w:t>
            </w:r>
          </w:p>
        </w:tc>
      </w:tr>
    </w:tbl>
    <w:p w14:paraId="34C131CD" w14:textId="77777777" w:rsidR="000A3B2B" w:rsidRDefault="000A3B2B" w:rsidP="004B46BA">
      <w:pPr>
        <w:ind w:left="-284"/>
        <w:rPr>
          <w:rFonts w:ascii="Arial Narrow" w:hAnsi="Arial Narrow" w:cs="Arial"/>
        </w:rPr>
      </w:pPr>
    </w:p>
    <w:tbl>
      <w:tblPr>
        <w:tblW w:w="0" w:type="auto"/>
        <w:tblInd w:w="-45" w:type="dxa"/>
        <w:tblLayout w:type="fixed"/>
        <w:tblCellMar>
          <w:left w:w="107" w:type="dxa"/>
          <w:right w:w="107" w:type="dxa"/>
        </w:tblCellMar>
        <w:tblLook w:val="0000" w:firstRow="0" w:lastRow="0" w:firstColumn="0" w:lastColumn="0" w:noHBand="0" w:noVBand="0"/>
      </w:tblPr>
      <w:tblGrid>
        <w:gridCol w:w="2122"/>
        <w:gridCol w:w="7112"/>
      </w:tblGrid>
      <w:tr w:rsidR="000A3B2B" w14:paraId="169CDF0D" w14:textId="77777777" w:rsidTr="00A47DAD">
        <w:tc>
          <w:tcPr>
            <w:tcW w:w="2122" w:type="dxa"/>
            <w:tcBorders>
              <w:top w:val="single" w:sz="4" w:space="0" w:color="000000"/>
              <w:left w:val="single" w:sz="4" w:space="0" w:color="000000"/>
            </w:tcBorders>
          </w:tcPr>
          <w:p w14:paraId="72A04A8E" w14:textId="77777777" w:rsidR="000A3B2B" w:rsidRDefault="000A3B2B" w:rsidP="00A47DAD">
            <w:pPr>
              <w:snapToGrid w:val="0"/>
              <w:rPr>
                <w:rFonts w:ascii="Arial Narrow" w:hAnsi="Arial Narrow" w:cs="Arial"/>
                <w:b/>
              </w:rPr>
            </w:pPr>
            <w:r>
              <w:rPr>
                <w:rFonts w:ascii="Arial Narrow" w:hAnsi="Arial Narrow" w:cs="Arial"/>
                <w:b/>
              </w:rPr>
              <w:t>Jednostka</w:t>
            </w:r>
          </w:p>
        </w:tc>
        <w:tc>
          <w:tcPr>
            <w:tcW w:w="7112" w:type="dxa"/>
            <w:tcBorders>
              <w:top w:val="single" w:sz="4" w:space="0" w:color="000000"/>
              <w:left w:val="single" w:sz="4" w:space="0" w:color="000000"/>
              <w:right w:val="single" w:sz="4" w:space="0" w:color="000000"/>
            </w:tcBorders>
          </w:tcPr>
          <w:p w14:paraId="0A591590" w14:textId="77777777" w:rsidR="000A3B2B" w:rsidRDefault="000A3B2B" w:rsidP="00A47DAD">
            <w:pPr>
              <w:snapToGrid w:val="0"/>
              <w:rPr>
                <w:rFonts w:ascii="Arial Narrow" w:hAnsi="Arial Narrow" w:cs="Arial"/>
                <w:b/>
                <w:sz w:val="28"/>
                <w:szCs w:val="28"/>
              </w:rPr>
            </w:pPr>
            <w:r>
              <w:rPr>
                <w:rFonts w:ascii="Arial Narrow" w:hAnsi="Arial Narrow" w:cs="Arial"/>
                <w:b/>
                <w:sz w:val="28"/>
                <w:szCs w:val="28"/>
              </w:rPr>
              <w:t>USŁUGI INŻYNIERSKIE mgr inż. Maciej Bartosiewicz</w:t>
            </w:r>
          </w:p>
        </w:tc>
      </w:tr>
      <w:tr w:rsidR="000A3B2B" w14:paraId="06D8DD31" w14:textId="77777777" w:rsidTr="00A47DAD">
        <w:tc>
          <w:tcPr>
            <w:tcW w:w="2122" w:type="dxa"/>
            <w:tcBorders>
              <w:left w:val="single" w:sz="4" w:space="0" w:color="000000"/>
              <w:bottom w:val="single" w:sz="4" w:space="0" w:color="000000"/>
            </w:tcBorders>
          </w:tcPr>
          <w:p w14:paraId="1B25AFDF" w14:textId="77777777" w:rsidR="000A3B2B" w:rsidRDefault="000A3B2B" w:rsidP="00A47DAD">
            <w:pPr>
              <w:snapToGrid w:val="0"/>
              <w:rPr>
                <w:rFonts w:ascii="Arial Narrow" w:hAnsi="Arial Narrow" w:cs="Arial"/>
                <w:b/>
              </w:rPr>
            </w:pPr>
            <w:r>
              <w:rPr>
                <w:rFonts w:ascii="Arial Narrow" w:hAnsi="Arial Narrow" w:cs="Arial"/>
                <w:b/>
              </w:rPr>
              <w:t>projektowa</w:t>
            </w:r>
          </w:p>
        </w:tc>
        <w:tc>
          <w:tcPr>
            <w:tcW w:w="7112" w:type="dxa"/>
            <w:tcBorders>
              <w:left w:val="single" w:sz="4" w:space="0" w:color="000000"/>
              <w:bottom w:val="single" w:sz="4" w:space="0" w:color="000000"/>
              <w:right w:val="single" w:sz="4" w:space="0" w:color="000000"/>
            </w:tcBorders>
          </w:tcPr>
          <w:p w14:paraId="0FD8AFB1" w14:textId="77777777" w:rsidR="000A3B2B" w:rsidRDefault="000A3B2B" w:rsidP="00A47DAD">
            <w:pPr>
              <w:snapToGrid w:val="0"/>
              <w:rPr>
                <w:rFonts w:ascii="Arial" w:hAnsi="Arial" w:cs="Arial"/>
              </w:rPr>
            </w:pPr>
            <w:r>
              <w:rPr>
                <w:rFonts w:ascii="Arial" w:hAnsi="Arial" w:cs="Arial"/>
              </w:rPr>
              <w:t>11-700 Mrągowo, ul. Żołnierska 4/60</w:t>
            </w:r>
          </w:p>
        </w:tc>
      </w:tr>
    </w:tbl>
    <w:p w14:paraId="48AA43A4" w14:textId="77777777" w:rsidR="000A3B2B" w:rsidRDefault="000A3B2B" w:rsidP="004B46BA">
      <w:pPr>
        <w:ind w:left="-284"/>
        <w:rPr>
          <w:rFonts w:ascii="Arial Narrow" w:hAnsi="Arial Narrow" w:cs="Arial"/>
        </w:rPr>
      </w:pPr>
    </w:p>
    <w:tbl>
      <w:tblPr>
        <w:tblW w:w="0" w:type="auto"/>
        <w:tblInd w:w="-83" w:type="dxa"/>
        <w:tblLayout w:type="fixed"/>
        <w:tblCellMar>
          <w:left w:w="107" w:type="dxa"/>
          <w:right w:w="107" w:type="dxa"/>
        </w:tblCellMar>
        <w:tblLook w:val="0000" w:firstRow="0" w:lastRow="0" w:firstColumn="0" w:lastColumn="0" w:noHBand="0" w:noVBand="0"/>
      </w:tblPr>
      <w:tblGrid>
        <w:gridCol w:w="2175"/>
        <w:gridCol w:w="7087"/>
      </w:tblGrid>
      <w:tr w:rsidR="000A3B2B" w14:paraId="41AFCBF9" w14:textId="77777777" w:rsidTr="00A47DAD">
        <w:trPr>
          <w:trHeight w:val="567"/>
        </w:trPr>
        <w:tc>
          <w:tcPr>
            <w:tcW w:w="2175" w:type="dxa"/>
            <w:tcBorders>
              <w:top w:val="single" w:sz="4" w:space="0" w:color="000000"/>
              <w:left w:val="single" w:sz="4" w:space="0" w:color="000000"/>
              <w:bottom w:val="single" w:sz="4" w:space="0" w:color="000000"/>
              <w:right w:val="single" w:sz="4" w:space="0" w:color="000000"/>
            </w:tcBorders>
            <w:vAlign w:val="center"/>
          </w:tcPr>
          <w:p w14:paraId="46F1D62D" w14:textId="77777777" w:rsidR="000A3B2B" w:rsidRPr="00D924DD" w:rsidRDefault="000A3B2B" w:rsidP="00A47DAD">
            <w:pPr>
              <w:snapToGrid w:val="0"/>
              <w:rPr>
                <w:rFonts w:ascii="Arial Narrow" w:hAnsi="Arial Narrow" w:cs="Arial"/>
              </w:rPr>
            </w:pPr>
            <w:r w:rsidRPr="00A53B25">
              <w:rPr>
                <w:rFonts w:ascii="Arial Narrow" w:hAnsi="Arial Narrow" w:cs="Arial"/>
                <w:b/>
              </w:rPr>
              <w:t>Opracował</w:t>
            </w:r>
            <w:r>
              <w:rPr>
                <w:rFonts w:ascii="Arial Narrow" w:hAnsi="Arial Narrow" w:cs="Arial"/>
                <w:b/>
              </w:rPr>
              <w:t>:</w:t>
            </w:r>
          </w:p>
        </w:tc>
        <w:tc>
          <w:tcPr>
            <w:tcW w:w="7087" w:type="dxa"/>
            <w:tcBorders>
              <w:top w:val="single" w:sz="4" w:space="0" w:color="000000"/>
              <w:left w:val="single" w:sz="4" w:space="0" w:color="000000"/>
              <w:bottom w:val="single" w:sz="4" w:space="0" w:color="000000"/>
              <w:right w:val="single" w:sz="4" w:space="0" w:color="000000"/>
            </w:tcBorders>
            <w:vAlign w:val="center"/>
          </w:tcPr>
          <w:p w14:paraId="46B24FE5" w14:textId="77777777" w:rsidR="000A3B2B" w:rsidRPr="00D924DD" w:rsidRDefault="000A3B2B" w:rsidP="00A47DAD">
            <w:pPr>
              <w:rPr>
                <w:rFonts w:ascii="Arial Narrow" w:hAnsi="Arial Narrow" w:cs="Arial"/>
              </w:rPr>
            </w:pPr>
            <w:r>
              <w:rPr>
                <w:rFonts w:ascii="Arial Narrow" w:hAnsi="Arial Narrow" w:cs="Arial"/>
              </w:rPr>
              <w:t>mgr inż. Maciej Bartosiewicz</w:t>
            </w:r>
          </w:p>
        </w:tc>
      </w:tr>
    </w:tbl>
    <w:p w14:paraId="1030E9C0" w14:textId="77777777" w:rsidR="000A3B2B" w:rsidRDefault="000A3B2B" w:rsidP="004B46BA">
      <w:pPr>
        <w:snapToGrid w:val="0"/>
        <w:jc w:val="center"/>
        <w:rPr>
          <w:rFonts w:ascii="Arial Narrow" w:hAnsi="Arial Narrow"/>
        </w:rPr>
      </w:pPr>
    </w:p>
    <w:p w14:paraId="3F841981" w14:textId="77777777" w:rsidR="000A3B2B" w:rsidRPr="006063B3" w:rsidRDefault="000A3B2B" w:rsidP="004B46BA">
      <w:pPr>
        <w:snapToGrid w:val="0"/>
        <w:jc w:val="center"/>
        <w:rPr>
          <w:rFonts w:ascii="Arial Narrow" w:hAnsi="Arial Narrow"/>
        </w:rPr>
      </w:pPr>
      <w:r>
        <w:rPr>
          <w:rFonts w:ascii="Arial Narrow" w:hAnsi="Arial Narrow"/>
        </w:rPr>
        <w:t>Mrągowo, maj 2018</w:t>
      </w:r>
    </w:p>
    <w:p w14:paraId="49D350E4" w14:textId="77777777" w:rsidR="000A3B2B" w:rsidRDefault="000A3B2B" w:rsidP="000E4A55">
      <w:pPr>
        <w:autoSpaceDE w:val="0"/>
        <w:autoSpaceDN w:val="0"/>
        <w:adjustRightInd w:val="0"/>
        <w:spacing w:after="0" w:line="288" w:lineRule="auto"/>
        <w:rPr>
          <w:rFonts w:ascii="Arial" w:hAnsi="Arial" w:cs="Arial"/>
          <w:sz w:val="24"/>
          <w:szCs w:val="24"/>
        </w:rPr>
      </w:pPr>
      <w:r>
        <w:rPr>
          <w:rFonts w:ascii="Arial" w:hAnsi="Arial" w:cs="Arial"/>
          <w:sz w:val="24"/>
          <w:szCs w:val="24"/>
        </w:rPr>
        <w:br w:type="page"/>
      </w:r>
    </w:p>
    <w:p w14:paraId="4AD30B4D" w14:textId="77777777" w:rsidR="000A3B2B" w:rsidRDefault="000A3B2B" w:rsidP="004B46BA">
      <w:pPr>
        <w:pStyle w:val="Styl1"/>
        <w:sectPr w:rsidR="000A3B2B" w:rsidSect="000A3B2B">
          <w:footerReference w:type="default" r:id="rId8"/>
          <w:pgSz w:w="12240" w:h="15840"/>
          <w:pgMar w:top="1417" w:right="1417" w:bottom="1417" w:left="1417" w:header="708" w:footer="708" w:gutter="0"/>
          <w:pgNumType w:start="1"/>
          <w:cols w:space="708"/>
          <w:noEndnote/>
          <w:titlePg/>
          <w:docGrid w:linePitch="299"/>
        </w:sectPr>
      </w:pPr>
    </w:p>
    <w:p w14:paraId="1D6565F6" w14:textId="77777777" w:rsidR="000A3B2B" w:rsidRPr="00BC26C0" w:rsidRDefault="000A3B2B" w:rsidP="00BC26C0">
      <w:pPr>
        <w:rPr>
          <w:b/>
        </w:rPr>
      </w:pPr>
      <w:r w:rsidRPr="00BC26C0">
        <w:rPr>
          <w:b/>
        </w:rPr>
        <w:lastRenderedPageBreak/>
        <w:t>Spis zawartości:</w:t>
      </w:r>
    </w:p>
    <w:p w14:paraId="560551CD" w14:textId="77777777" w:rsidR="000A3B2B" w:rsidRDefault="000A3B2B" w:rsidP="004B46BA">
      <w:pPr>
        <w:pStyle w:val="Styl1"/>
        <w:rPr>
          <w:lang w:val="pl-PL"/>
        </w:rPr>
      </w:pPr>
    </w:p>
    <w:p w14:paraId="25201199" w14:textId="77777777" w:rsidR="000A3B2B" w:rsidRPr="000A3B2B" w:rsidRDefault="00CC79B3">
      <w:pPr>
        <w:pStyle w:val="Spistreci1"/>
        <w:tabs>
          <w:tab w:val="right" w:leader="hyphen" w:pos="9396"/>
        </w:tabs>
        <w:rPr>
          <w:rFonts w:eastAsiaTheme="minorEastAsia"/>
          <w:noProof/>
          <w:color w:val="000000" w:themeColor="text1"/>
          <w:lang w:eastAsia="pl-PL"/>
        </w:rPr>
      </w:pPr>
      <w:hyperlink w:anchor="_Toc515617192" w:history="1">
        <w:r w:rsidR="000A3B2B" w:rsidRPr="000A3B2B">
          <w:rPr>
            <w:rStyle w:val="Hipercze"/>
            <w:noProof/>
            <w:color w:val="000000" w:themeColor="text1"/>
          </w:rPr>
          <w:t>WYMAGANIA OGÓLNE</w:t>
        </w:r>
        <w:r w:rsidR="000A3B2B" w:rsidRPr="000A3B2B">
          <w:rPr>
            <w:noProof/>
            <w:webHidden/>
            <w:color w:val="000000" w:themeColor="text1"/>
          </w:rPr>
          <w:tab/>
        </w:r>
        <w:r w:rsidR="000A3B2B" w:rsidRPr="000A3B2B">
          <w:rPr>
            <w:noProof/>
            <w:webHidden/>
            <w:color w:val="000000" w:themeColor="text1"/>
          </w:rPr>
          <w:fldChar w:fldCharType="begin"/>
        </w:r>
        <w:r w:rsidR="000A3B2B" w:rsidRPr="000A3B2B">
          <w:rPr>
            <w:noProof/>
            <w:webHidden/>
            <w:color w:val="000000" w:themeColor="text1"/>
          </w:rPr>
          <w:instrText xml:space="preserve"> PAGEREF _Toc515617192 \h </w:instrText>
        </w:r>
        <w:r w:rsidR="000A3B2B" w:rsidRPr="000A3B2B">
          <w:rPr>
            <w:noProof/>
            <w:webHidden/>
            <w:color w:val="000000" w:themeColor="text1"/>
          </w:rPr>
        </w:r>
        <w:r w:rsidR="000A3B2B" w:rsidRPr="000A3B2B">
          <w:rPr>
            <w:noProof/>
            <w:webHidden/>
            <w:color w:val="000000" w:themeColor="text1"/>
          </w:rPr>
          <w:fldChar w:fldCharType="separate"/>
        </w:r>
        <w:r w:rsidR="000A3B2B" w:rsidRPr="000A3B2B">
          <w:rPr>
            <w:noProof/>
            <w:webHidden/>
            <w:color w:val="000000" w:themeColor="text1"/>
          </w:rPr>
          <w:t>3</w:t>
        </w:r>
        <w:r w:rsidR="000A3B2B" w:rsidRPr="000A3B2B">
          <w:rPr>
            <w:noProof/>
            <w:webHidden/>
            <w:color w:val="000000" w:themeColor="text1"/>
          </w:rPr>
          <w:fldChar w:fldCharType="end"/>
        </w:r>
      </w:hyperlink>
    </w:p>
    <w:p w14:paraId="5A4FD22D" w14:textId="77777777" w:rsidR="000A3B2B" w:rsidRPr="000A3B2B" w:rsidRDefault="00CC79B3">
      <w:pPr>
        <w:pStyle w:val="Spistreci1"/>
        <w:tabs>
          <w:tab w:val="right" w:leader="hyphen" w:pos="9396"/>
        </w:tabs>
        <w:rPr>
          <w:rFonts w:eastAsiaTheme="minorEastAsia"/>
          <w:noProof/>
          <w:color w:val="000000" w:themeColor="text1"/>
          <w:lang w:eastAsia="pl-PL"/>
        </w:rPr>
      </w:pPr>
      <w:hyperlink w:anchor="_Toc515617193" w:history="1">
        <w:r w:rsidR="000A3B2B" w:rsidRPr="000A3B2B">
          <w:rPr>
            <w:rStyle w:val="Hipercze"/>
            <w:noProof/>
            <w:color w:val="000000" w:themeColor="text1"/>
          </w:rPr>
          <w:t>ROBOTY ZIEMNE PRZY WYKONYWANIU WYKOPÓW LINIOWYCH POD RUROCIĄGI W GRUNTACH KAT. I-IV</w:t>
        </w:r>
        <w:r w:rsidR="000A3B2B" w:rsidRPr="000A3B2B">
          <w:rPr>
            <w:noProof/>
            <w:webHidden/>
            <w:color w:val="000000" w:themeColor="text1"/>
          </w:rPr>
          <w:tab/>
        </w:r>
        <w:r w:rsidR="000A3B2B" w:rsidRPr="000A3B2B">
          <w:rPr>
            <w:noProof/>
            <w:webHidden/>
            <w:color w:val="000000" w:themeColor="text1"/>
          </w:rPr>
          <w:fldChar w:fldCharType="begin"/>
        </w:r>
        <w:r w:rsidR="000A3B2B" w:rsidRPr="000A3B2B">
          <w:rPr>
            <w:noProof/>
            <w:webHidden/>
            <w:color w:val="000000" w:themeColor="text1"/>
          </w:rPr>
          <w:instrText xml:space="preserve"> PAGEREF _Toc515617193 \h </w:instrText>
        </w:r>
        <w:r w:rsidR="000A3B2B" w:rsidRPr="000A3B2B">
          <w:rPr>
            <w:noProof/>
            <w:webHidden/>
            <w:color w:val="000000" w:themeColor="text1"/>
          </w:rPr>
        </w:r>
        <w:r w:rsidR="000A3B2B" w:rsidRPr="000A3B2B">
          <w:rPr>
            <w:noProof/>
            <w:webHidden/>
            <w:color w:val="000000" w:themeColor="text1"/>
          </w:rPr>
          <w:fldChar w:fldCharType="separate"/>
        </w:r>
        <w:r w:rsidR="000A3B2B" w:rsidRPr="000A3B2B">
          <w:rPr>
            <w:noProof/>
            <w:webHidden/>
            <w:color w:val="000000" w:themeColor="text1"/>
          </w:rPr>
          <w:t>25</w:t>
        </w:r>
        <w:r w:rsidR="000A3B2B" w:rsidRPr="000A3B2B">
          <w:rPr>
            <w:noProof/>
            <w:webHidden/>
            <w:color w:val="000000" w:themeColor="text1"/>
          </w:rPr>
          <w:fldChar w:fldCharType="end"/>
        </w:r>
      </w:hyperlink>
    </w:p>
    <w:p w14:paraId="433F0002" w14:textId="77777777" w:rsidR="000A3B2B" w:rsidRPr="000A3B2B" w:rsidRDefault="00CC79B3">
      <w:pPr>
        <w:pStyle w:val="Spistreci1"/>
        <w:tabs>
          <w:tab w:val="right" w:leader="hyphen" w:pos="9396"/>
        </w:tabs>
        <w:rPr>
          <w:rFonts w:eastAsiaTheme="minorEastAsia"/>
          <w:noProof/>
          <w:color w:val="000000" w:themeColor="text1"/>
          <w:lang w:eastAsia="pl-PL"/>
        </w:rPr>
      </w:pPr>
      <w:hyperlink w:anchor="_Toc515617194" w:history="1">
        <w:r w:rsidR="000A3B2B" w:rsidRPr="000A3B2B">
          <w:rPr>
            <w:rStyle w:val="Hipercze"/>
            <w:noProof/>
            <w:color w:val="000000" w:themeColor="text1"/>
          </w:rPr>
          <w:t>ROBOTY ZIEMNE PRZY WYKONYWANIU WYKOPÓW  POD FUNDAMENTY OBIEKTÓW KUBATUROWYCH W GRUNTACH KAT. I-V</w:t>
        </w:r>
        <w:r w:rsidR="000A3B2B" w:rsidRPr="000A3B2B">
          <w:rPr>
            <w:noProof/>
            <w:webHidden/>
            <w:color w:val="000000" w:themeColor="text1"/>
          </w:rPr>
          <w:tab/>
        </w:r>
        <w:r w:rsidR="000A3B2B" w:rsidRPr="000A3B2B">
          <w:rPr>
            <w:noProof/>
            <w:webHidden/>
            <w:color w:val="000000" w:themeColor="text1"/>
          </w:rPr>
          <w:fldChar w:fldCharType="begin"/>
        </w:r>
        <w:r w:rsidR="000A3B2B" w:rsidRPr="000A3B2B">
          <w:rPr>
            <w:noProof/>
            <w:webHidden/>
            <w:color w:val="000000" w:themeColor="text1"/>
          </w:rPr>
          <w:instrText xml:space="preserve"> PAGEREF _Toc515617194 \h </w:instrText>
        </w:r>
        <w:r w:rsidR="000A3B2B" w:rsidRPr="000A3B2B">
          <w:rPr>
            <w:noProof/>
            <w:webHidden/>
            <w:color w:val="000000" w:themeColor="text1"/>
          </w:rPr>
        </w:r>
        <w:r w:rsidR="000A3B2B" w:rsidRPr="000A3B2B">
          <w:rPr>
            <w:noProof/>
            <w:webHidden/>
            <w:color w:val="000000" w:themeColor="text1"/>
          </w:rPr>
          <w:fldChar w:fldCharType="separate"/>
        </w:r>
        <w:r w:rsidR="000A3B2B" w:rsidRPr="000A3B2B">
          <w:rPr>
            <w:noProof/>
            <w:webHidden/>
            <w:color w:val="000000" w:themeColor="text1"/>
          </w:rPr>
          <w:t>42</w:t>
        </w:r>
        <w:r w:rsidR="000A3B2B" w:rsidRPr="000A3B2B">
          <w:rPr>
            <w:noProof/>
            <w:webHidden/>
            <w:color w:val="000000" w:themeColor="text1"/>
          </w:rPr>
          <w:fldChar w:fldCharType="end"/>
        </w:r>
      </w:hyperlink>
    </w:p>
    <w:p w14:paraId="62F029A3" w14:textId="77777777" w:rsidR="000A3B2B" w:rsidRPr="000A3B2B" w:rsidRDefault="00CC79B3">
      <w:pPr>
        <w:pStyle w:val="Spistreci1"/>
        <w:tabs>
          <w:tab w:val="right" w:leader="hyphen" w:pos="9396"/>
        </w:tabs>
        <w:rPr>
          <w:rFonts w:eastAsiaTheme="minorEastAsia"/>
          <w:noProof/>
          <w:color w:val="000000" w:themeColor="text1"/>
          <w:lang w:eastAsia="pl-PL"/>
        </w:rPr>
      </w:pPr>
      <w:hyperlink w:anchor="_Toc515617195" w:history="1">
        <w:r w:rsidR="000A3B2B" w:rsidRPr="000A3B2B">
          <w:rPr>
            <w:rStyle w:val="Hipercze"/>
            <w:noProof/>
            <w:color w:val="000000" w:themeColor="text1"/>
          </w:rPr>
          <w:t>BETONOWANIE KONSTRUKCJI</w:t>
        </w:r>
        <w:r w:rsidR="000A3B2B" w:rsidRPr="000A3B2B">
          <w:rPr>
            <w:noProof/>
            <w:webHidden/>
            <w:color w:val="000000" w:themeColor="text1"/>
          </w:rPr>
          <w:tab/>
        </w:r>
        <w:r w:rsidR="000A3B2B" w:rsidRPr="000A3B2B">
          <w:rPr>
            <w:noProof/>
            <w:webHidden/>
            <w:color w:val="000000" w:themeColor="text1"/>
          </w:rPr>
          <w:fldChar w:fldCharType="begin"/>
        </w:r>
        <w:r w:rsidR="000A3B2B" w:rsidRPr="000A3B2B">
          <w:rPr>
            <w:noProof/>
            <w:webHidden/>
            <w:color w:val="000000" w:themeColor="text1"/>
          </w:rPr>
          <w:instrText xml:space="preserve"> PAGEREF _Toc515617195 \h </w:instrText>
        </w:r>
        <w:r w:rsidR="000A3B2B" w:rsidRPr="000A3B2B">
          <w:rPr>
            <w:noProof/>
            <w:webHidden/>
            <w:color w:val="000000" w:themeColor="text1"/>
          </w:rPr>
        </w:r>
        <w:r w:rsidR="000A3B2B" w:rsidRPr="000A3B2B">
          <w:rPr>
            <w:noProof/>
            <w:webHidden/>
            <w:color w:val="000000" w:themeColor="text1"/>
          </w:rPr>
          <w:fldChar w:fldCharType="separate"/>
        </w:r>
        <w:r w:rsidR="000A3B2B" w:rsidRPr="000A3B2B">
          <w:rPr>
            <w:noProof/>
            <w:webHidden/>
            <w:color w:val="000000" w:themeColor="text1"/>
          </w:rPr>
          <w:t>58</w:t>
        </w:r>
        <w:r w:rsidR="000A3B2B" w:rsidRPr="000A3B2B">
          <w:rPr>
            <w:noProof/>
            <w:webHidden/>
            <w:color w:val="000000" w:themeColor="text1"/>
          </w:rPr>
          <w:fldChar w:fldCharType="end"/>
        </w:r>
      </w:hyperlink>
    </w:p>
    <w:p w14:paraId="327A350C" w14:textId="77777777" w:rsidR="000A3B2B" w:rsidRPr="000A3B2B" w:rsidRDefault="00CC79B3">
      <w:pPr>
        <w:pStyle w:val="Spistreci1"/>
        <w:tabs>
          <w:tab w:val="right" w:leader="hyphen" w:pos="9396"/>
        </w:tabs>
        <w:rPr>
          <w:rFonts w:eastAsiaTheme="minorEastAsia"/>
          <w:noProof/>
          <w:color w:val="000000" w:themeColor="text1"/>
          <w:lang w:eastAsia="pl-PL"/>
        </w:rPr>
      </w:pPr>
      <w:hyperlink w:anchor="_Toc515617196" w:history="1">
        <w:r w:rsidR="000A3B2B" w:rsidRPr="000A3B2B">
          <w:rPr>
            <w:rStyle w:val="Hipercze"/>
            <w:noProof/>
            <w:color w:val="000000" w:themeColor="text1"/>
          </w:rPr>
          <w:t>PRZYGOTOWANIE I MONTAŻ ZBROJENIA</w:t>
        </w:r>
        <w:r w:rsidR="000A3B2B" w:rsidRPr="000A3B2B">
          <w:rPr>
            <w:noProof/>
            <w:webHidden/>
            <w:color w:val="000000" w:themeColor="text1"/>
          </w:rPr>
          <w:tab/>
        </w:r>
        <w:r w:rsidR="000A3B2B" w:rsidRPr="000A3B2B">
          <w:rPr>
            <w:noProof/>
            <w:webHidden/>
            <w:color w:val="000000" w:themeColor="text1"/>
          </w:rPr>
          <w:fldChar w:fldCharType="begin"/>
        </w:r>
        <w:r w:rsidR="000A3B2B" w:rsidRPr="000A3B2B">
          <w:rPr>
            <w:noProof/>
            <w:webHidden/>
            <w:color w:val="000000" w:themeColor="text1"/>
          </w:rPr>
          <w:instrText xml:space="preserve"> PAGEREF _Toc515617196 \h </w:instrText>
        </w:r>
        <w:r w:rsidR="000A3B2B" w:rsidRPr="000A3B2B">
          <w:rPr>
            <w:noProof/>
            <w:webHidden/>
            <w:color w:val="000000" w:themeColor="text1"/>
          </w:rPr>
        </w:r>
        <w:r w:rsidR="000A3B2B" w:rsidRPr="000A3B2B">
          <w:rPr>
            <w:noProof/>
            <w:webHidden/>
            <w:color w:val="000000" w:themeColor="text1"/>
          </w:rPr>
          <w:fldChar w:fldCharType="separate"/>
        </w:r>
        <w:r w:rsidR="000A3B2B" w:rsidRPr="000A3B2B">
          <w:rPr>
            <w:noProof/>
            <w:webHidden/>
            <w:color w:val="000000" w:themeColor="text1"/>
          </w:rPr>
          <w:t>75</w:t>
        </w:r>
        <w:r w:rsidR="000A3B2B" w:rsidRPr="000A3B2B">
          <w:rPr>
            <w:noProof/>
            <w:webHidden/>
            <w:color w:val="000000" w:themeColor="text1"/>
          </w:rPr>
          <w:fldChar w:fldCharType="end"/>
        </w:r>
      </w:hyperlink>
    </w:p>
    <w:p w14:paraId="1551D73E" w14:textId="77777777" w:rsidR="000A3B2B" w:rsidRPr="000A3B2B" w:rsidRDefault="00CC79B3">
      <w:pPr>
        <w:pStyle w:val="Spistreci1"/>
        <w:tabs>
          <w:tab w:val="right" w:leader="hyphen" w:pos="9396"/>
        </w:tabs>
        <w:rPr>
          <w:rFonts w:eastAsiaTheme="minorEastAsia"/>
          <w:noProof/>
          <w:color w:val="000000" w:themeColor="text1"/>
          <w:lang w:eastAsia="pl-PL"/>
        </w:rPr>
      </w:pPr>
      <w:hyperlink w:anchor="_Toc515617197" w:history="1">
        <w:r w:rsidR="000A3B2B" w:rsidRPr="000A3B2B">
          <w:rPr>
            <w:rStyle w:val="Hipercze"/>
            <w:noProof/>
            <w:color w:val="000000" w:themeColor="text1"/>
          </w:rPr>
          <w:t>BEZSPOINOWE SYSTEMY OCIEPLANIA ŚCIAN BUDYNKÓW</w:t>
        </w:r>
        <w:r w:rsidR="000A3B2B" w:rsidRPr="000A3B2B">
          <w:rPr>
            <w:noProof/>
            <w:webHidden/>
            <w:color w:val="000000" w:themeColor="text1"/>
          </w:rPr>
          <w:tab/>
        </w:r>
        <w:r w:rsidR="000A3B2B" w:rsidRPr="000A3B2B">
          <w:rPr>
            <w:noProof/>
            <w:webHidden/>
            <w:color w:val="000000" w:themeColor="text1"/>
          </w:rPr>
          <w:fldChar w:fldCharType="begin"/>
        </w:r>
        <w:r w:rsidR="000A3B2B" w:rsidRPr="000A3B2B">
          <w:rPr>
            <w:noProof/>
            <w:webHidden/>
            <w:color w:val="000000" w:themeColor="text1"/>
          </w:rPr>
          <w:instrText xml:space="preserve"> PAGEREF _Toc515617197 \h </w:instrText>
        </w:r>
        <w:r w:rsidR="000A3B2B" w:rsidRPr="000A3B2B">
          <w:rPr>
            <w:noProof/>
            <w:webHidden/>
            <w:color w:val="000000" w:themeColor="text1"/>
          </w:rPr>
        </w:r>
        <w:r w:rsidR="000A3B2B" w:rsidRPr="000A3B2B">
          <w:rPr>
            <w:noProof/>
            <w:webHidden/>
            <w:color w:val="000000" w:themeColor="text1"/>
          </w:rPr>
          <w:fldChar w:fldCharType="separate"/>
        </w:r>
        <w:r w:rsidR="000A3B2B" w:rsidRPr="000A3B2B">
          <w:rPr>
            <w:noProof/>
            <w:webHidden/>
            <w:color w:val="000000" w:themeColor="text1"/>
          </w:rPr>
          <w:t>81</w:t>
        </w:r>
        <w:r w:rsidR="000A3B2B" w:rsidRPr="000A3B2B">
          <w:rPr>
            <w:noProof/>
            <w:webHidden/>
            <w:color w:val="000000" w:themeColor="text1"/>
          </w:rPr>
          <w:fldChar w:fldCharType="end"/>
        </w:r>
      </w:hyperlink>
    </w:p>
    <w:p w14:paraId="7FBB1CBE" w14:textId="77777777" w:rsidR="000A3B2B" w:rsidRPr="000A3B2B" w:rsidRDefault="00CC79B3">
      <w:pPr>
        <w:pStyle w:val="Spistreci1"/>
        <w:tabs>
          <w:tab w:val="right" w:leader="hyphen" w:pos="9396"/>
        </w:tabs>
        <w:rPr>
          <w:rFonts w:eastAsiaTheme="minorEastAsia"/>
          <w:noProof/>
          <w:color w:val="000000" w:themeColor="text1"/>
          <w:lang w:eastAsia="pl-PL"/>
        </w:rPr>
      </w:pPr>
      <w:hyperlink w:anchor="_Toc515617198" w:history="1">
        <w:r w:rsidR="000A3B2B" w:rsidRPr="000A3B2B">
          <w:rPr>
            <w:rStyle w:val="Hipercze"/>
            <w:noProof/>
            <w:color w:val="000000" w:themeColor="text1"/>
          </w:rPr>
          <w:t>KRYCIE DACHU PAPĄ</w:t>
        </w:r>
        <w:r w:rsidR="000A3B2B" w:rsidRPr="000A3B2B">
          <w:rPr>
            <w:noProof/>
            <w:webHidden/>
            <w:color w:val="000000" w:themeColor="text1"/>
          </w:rPr>
          <w:tab/>
        </w:r>
        <w:r w:rsidR="000A3B2B" w:rsidRPr="000A3B2B">
          <w:rPr>
            <w:noProof/>
            <w:webHidden/>
            <w:color w:val="000000" w:themeColor="text1"/>
          </w:rPr>
          <w:fldChar w:fldCharType="begin"/>
        </w:r>
        <w:r w:rsidR="000A3B2B" w:rsidRPr="000A3B2B">
          <w:rPr>
            <w:noProof/>
            <w:webHidden/>
            <w:color w:val="000000" w:themeColor="text1"/>
          </w:rPr>
          <w:instrText xml:space="preserve"> PAGEREF _Toc515617198 \h </w:instrText>
        </w:r>
        <w:r w:rsidR="000A3B2B" w:rsidRPr="000A3B2B">
          <w:rPr>
            <w:noProof/>
            <w:webHidden/>
            <w:color w:val="000000" w:themeColor="text1"/>
          </w:rPr>
        </w:r>
        <w:r w:rsidR="000A3B2B" w:rsidRPr="000A3B2B">
          <w:rPr>
            <w:noProof/>
            <w:webHidden/>
            <w:color w:val="000000" w:themeColor="text1"/>
          </w:rPr>
          <w:fldChar w:fldCharType="separate"/>
        </w:r>
        <w:r w:rsidR="000A3B2B" w:rsidRPr="000A3B2B">
          <w:rPr>
            <w:noProof/>
            <w:webHidden/>
            <w:color w:val="000000" w:themeColor="text1"/>
          </w:rPr>
          <w:t>94</w:t>
        </w:r>
        <w:r w:rsidR="000A3B2B" w:rsidRPr="000A3B2B">
          <w:rPr>
            <w:noProof/>
            <w:webHidden/>
            <w:color w:val="000000" w:themeColor="text1"/>
          </w:rPr>
          <w:fldChar w:fldCharType="end"/>
        </w:r>
      </w:hyperlink>
    </w:p>
    <w:p w14:paraId="484AA035" w14:textId="77777777" w:rsidR="000A3B2B" w:rsidRPr="000A3B2B" w:rsidRDefault="00CC79B3">
      <w:pPr>
        <w:pStyle w:val="Spistreci1"/>
        <w:tabs>
          <w:tab w:val="right" w:leader="hyphen" w:pos="9396"/>
        </w:tabs>
        <w:rPr>
          <w:rFonts w:eastAsiaTheme="minorEastAsia"/>
          <w:noProof/>
          <w:color w:val="000000" w:themeColor="text1"/>
          <w:lang w:eastAsia="pl-PL"/>
        </w:rPr>
      </w:pPr>
      <w:hyperlink w:anchor="_Toc515617199" w:history="1">
        <w:r w:rsidR="000A3B2B" w:rsidRPr="000A3B2B">
          <w:rPr>
            <w:rStyle w:val="Hipercze"/>
            <w:noProof/>
            <w:color w:val="000000" w:themeColor="text1"/>
          </w:rPr>
          <w:t>MONTAŻ DRZWI BALKONOWYCH I OKIEN</w:t>
        </w:r>
        <w:r w:rsidR="000A3B2B" w:rsidRPr="000A3B2B">
          <w:rPr>
            <w:noProof/>
            <w:webHidden/>
            <w:color w:val="000000" w:themeColor="text1"/>
          </w:rPr>
          <w:tab/>
        </w:r>
        <w:r w:rsidR="000A3B2B" w:rsidRPr="000A3B2B">
          <w:rPr>
            <w:noProof/>
            <w:webHidden/>
            <w:color w:val="000000" w:themeColor="text1"/>
          </w:rPr>
          <w:fldChar w:fldCharType="begin"/>
        </w:r>
        <w:r w:rsidR="000A3B2B" w:rsidRPr="000A3B2B">
          <w:rPr>
            <w:noProof/>
            <w:webHidden/>
            <w:color w:val="000000" w:themeColor="text1"/>
          </w:rPr>
          <w:instrText xml:space="preserve"> PAGEREF _Toc515617199 \h </w:instrText>
        </w:r>
        <w:r w:rsidR="000A3B2B" w:rsidRPr="000A3B2B">
          <w:rPr>
            <w:noProof/>
            <w:webHidden/>
            <w:color w:val="000000" w:themeColor="text1"/>
          </w:rPr>
        </w:r>
        <w:r w:rsidR="000A3B2B" w:rsidRPr="000A3B2B">
          <w:rPr>
            <w:noProof/>
            <w:webHidden/>
            <w:color w:val="000000" w:themeColor="text1"/>
          </w:rPr>
          <w:fldChar w:fldCharType="separate"/>
        </w:r>
        <w:r w:rsidR="000A3B2B" w:rsidRPr="000A3B2B">
          <w:rPr>
            <w:noProof/>
            <w:webHidden/>
            <w:color w:val="000000" w:themeColor="text1"/>
          </w:rPr>
          <w:t>106</w:t>
        </w:r>
        <w:r w:rsidR="000A3B2B" w:rsidRPr="000A3B2B">
          <w:rPr>
            <w:noProof/>
            <w:webHidden/>
            <w:color w:val="000000" w:themeColor="text1"/>
          </w:rPr>
          <w:fldChar w:fldCharType="end"/>
        </w:r>
      </w:hyperlink>
    </w:p>
    <w:p w14:paraId="71F0DC67" w14:textId="77777777" w:rsidR="000A3B2B" w:rsidRPr="000A3B2B" w:rsidRDefault="00CC79B3">
      <w:pPr>
        <w:pStyle w:val="Spistreci1"/>
        <w:tabs>
          <w:tab w:val="right" w:leader="hyphen" w:pos="9396"/>
        </w:tabs>
        <w:rPr>
          <w:rFonts w:eastAsiaTheme="minorEastAsia"/>
          <w:noProof/>
          <w:color w:val="000000" w:themeColor="text1"/>
          <w:lang w:eastAsia="pl-PL"/>
        </w:rPr>
      </w:pPr>
      <w:hyperlink w:anchor="_Toc515617200" w:history="1">
        <w:r w:rsidR="000A3B2B" w:rsidRPr="000A3B2B">
          <w:rPr>
            <w:rStyle w:val="Hipercze"/>
            <w:noProof/>
            <w:color w:val="000000" w:themeColor="text1"/>
          </w:rPr>
          <w:t>ROBOTY INSTALACYJNE ELEKTRYCZNE</w:t>
        </w:r>
        <w:r w:rsidR="000A3B2B" w:rsidRPr="000A3B2B">
          <w:rPr>
            <w:noProof/>
            <w:webHidden/>
            <w:color w:val="000000" w:themeColor="text1"/>
          </w:rPr>
          <w:tab/>
        </w:r>
        <w:r w:rsidR="000A3B2B" w:rsidRPr="000A3B2B">
          <w:rPr>
            <w:noProof/>
            <w:webHidden/>
            <w:color w:val="000000" w:themeColor="text1"/>
          </w:rPr>
          <w:fldChar w:fldCharType="begin"/>
        </w:r>
        <w:r w:rsidR="000A3B2B" w:rsidRPr="000A3B2B">
          <w:rPr>
            <w:noProof/>
            <w:webHidden/>
            <w:color w:val="000000" w:themeColor="text1"/>
          </w:rPr>
          <w:instrText xml:space="preserve"> PAGEREF _Toc515617200 \h </w:instrText>
        </w:r>
        <w:r w:rsidR="000A3B2B" w:rsidRPr="000A3B2B">
          <w:rPr>
            <w:noProof/>
            <w:webHidden/>
            <w:color w:val="000000" w:themeColor="text1"/>
          </w:rPr>
        </w:r>
        <w:r w:rsidR="000A3B2B" w:rsidRPr="000A3B2B">
          <w:rPr>
            <w:noProof/>
            <w:webHidden/>
            <w:color w:val="000000" w:themeColor="text1"/>
          </w:rPr>
          <w:fldChar w:fldCharType="separate"/>
        </w:r>
        <w:r w:rsidR="000A3B2B" w:rsidRPr="000A3B2B">
          <w:rPr>
            <w:noProof/>
            <w:webHidden/>
            <w:color w:val="000000" w:themeColor="text1"/>
          </w:rPr>
          <w:t>125</w:t>
        </w:r>
        <w:r w:rsidR="000A3B2B" w:rsidRPr="000A3B2B">
          <w:rPr>
            <w:noProof/>
            <w:webHidden/>
            <w:color w:val="000000" w:themeColor="text1"/>
          </w:rPr>
          <w:fldChar w:fldCharType="end"/>
        </w:r>
      </w:hyperlink>
    </w:p>
    <w:p w14:paraId="404462BD" w14:textId="77777777" w:rsidR="000A3B2B" w:rsidRPr="000A3B2B" w:rsidRDefault="00CC79B3">
      <w:pPr>
        <w:pStyle w:val="Spistreci1"/>
        <w:tabs>
          <w:tab w:val="right" w:leader="hyphen" w:pos="9396"/>
        </w:tabs>
        <w:rPr>
          <w:rFonts w:eastAsiaTheme="minorEastAsia"/>
          <w:noProof/>
          <w:color w:val="000000" w:themeColor="text1"/>
          <w:lang w:eastAsia="pl-PL"/>
        </w:rPr>
      </w:pPr>
      <w:hyperlink w:anchor="_Toc515617201" w:history="1">
        <w:r w:rsidR="000A3B2B" w:rsidRPr="000A3B2B">
          <w:rPr>
            <w:rStyle w:val="Hipercze"/>
            <w:noProof/>
            <w:color w:val="000000" w:themeColor="text1"/>
          </w:rPr>
          <w:t>INSTALOWANIE CENTRALNEGO OGRZEWANIA WODNEGO</w:t>
        </w:r>
        <w:r w:rsidR="000A3B2B" w:rsidRPr="000A3B2B">
          <w:rPr>
            <w:noProof/>
            <w:webHidden/>
            <w:color w:val="000000" w:themeColor="text1"/>
          </w:rPr>
          <w:tab/>
        </w:r>
        <w:r w:rsidR="000A3B2B" w:rsidRPr="000A3B2B">
          <w:rPr>
            <w:noProof/>
            <w:webHidden/>
            <w:color w:val="000000" w:themeColor="text1"/>
          </w:rPr>
          <w:fldChar w:fldCharType="begin"/>
        </w:r>
        <w:r w:rsidR="000A3B2B" w:rsidRPr="000A3B2B">
          <w:rPr>
            <w:noProof/>
            <w:webHidden/>
            <w:color w:val="000000" w:themeColor="text1"/>
          </w:rPr>
          <w:instrText xml:space="preserve"> PAGEREF _Toc515617201 \h </w:instrText>
        </w:r>
        <w:r w:rsidR="000A3B2B" w:rsidRPr="000A3B2B">
          <w:rPr>
            <w:noProof/>
            <w:webHidden/>
            <w:color w:val="000000" w:themeColor="text1"/>
          </w:rPr>
        </w:r>
        <w:r w:rsidR="000A3B2B" w:rsidRPr="000A3B2B">
          <w:rPr>
            <w:noProof/>
            <w:webHidden/>
            <w:color w:val="000000" w:themeColor="text1"/>
          </w:rPr>
          <w:fldChar w:fldCharType="separate"/>
        </w:r>
        <w:r w:rsidR="000A3B2B" w:rsidRPr="000A3B2B">
          <w:rPr>
            <w:noProof/>
            <w:webHidden/>
            <w:color w:val="000000" w:themeColor="text1"/>
          </w:rPr>
          <w:t>139</w:t>
        </w:r>
        <w:r w:rsidR="000A3B2B" w:rsidRPr="000A3B2B">
          <w:rPr>
            <w:noProof/>
            <w:webHidden/>
            <w:color w:val="000000" w:themeColor="text1"/>
          </w:rPr>
          <w:fldChar w:fldCharType="end"/>
        </w:r>
      </w:hyperlink>
    </w:p>
    <w:p w14:paraId="1A8CC84D" w14:textId="77777777" w:rsidR="000A3B2B" w:rsidRPr="000A3B2B" w:rsidRDefault="00CC79B3">
      <w:pPr>
        <w:pStyle w:val="Spistreci1"/>
        <w:tabs>
          <w:tab w:val="right" w:leader="hyphen" w:pos="9396"/>
        </w:tabs>
        <w:rPr>
          <w:rFonts w:eastAsiaTheme="minorEastAsia"/>
          <w:noProof/>
          <w:color w:val="000000" w:themeColor="text1"/>
          <w:lang w:eastAsia="pl-PL"/>
        </w:rPr>
      </w:pPr>
      <w:hyperlink w:anchor="_Toc515617202" w:history="1">
        <w:r w:rsidR="000A3B2B" w:rsidRPr="000A3B2B">
          <w:rPr>
            <w:rStyle w:val="Hipercze"/>
            <w:noProof/>
            <w:color w:val="000000" w:themeColor="text1"/>
          </w:rPr>
          <w:t>ROBOTY MONTAŻOWE SIECI KANALIZACYJNYCH Z TWORZYW SZTUCZNYCH W SYSTEMIE KANALIZACJI GRAWITACYJNEJ</w:t>
        </w:r>
        <w:r w:rsidR="000A3B2B" w:rsidRPr="000A3B2B">
          <w:rPr>
            <w:noProof/>
            <w:webHidden/>
            <w:color w:val="000000" w:themeColor="text1"/>
          </w:rPr>
          <w:tab/>
        </w:r>
        <w:r w:rsidR="000A3B2B" w:rsidRPr="000A3B2B">
          <w:rPr>
            <w:noProof/>
            <w:webHidden/>
            <w:color w:val="000000" w:themeColor="text1"/>
          </w:rPr>
          <w:fldChar w:fldCharType="begin"/>
        </w:r>
        <w:r w:rsidR="000A3B2B" w:rsidRPr="000A3B2B">
          <w:rPr>
            <w:noProof/>
            <w:webHidden/>
            <w:color w:val="000000" w:themeColor="text1"/>
          </w:rPr>
          <w:instrText xml:space="preserve"> PAGEREF _Toc515617202 \h </w:instrText>
        </w:r>
        <w:r w:rsidR="000A3B2B" w:rsidRPr="000A3B2B">
          <w:rPr>
            <w:noProof/>
            <w:webHidden/>
            <w:color w:val="000000" w:themeColor="text1"/>
          </w:rPr>
        </w:r>
        <w:r w:rsidR="000A3B2B" w:rsidRPr="000A3B2B">
          <w:rPr>
            <w:noProof/>
            <w:webHidden/>
            <w:color w:val="000000" w:themeColor="text1"/>
          </w:rPr>
          <w:fldChar w:fldCharType="separate"/>
        </w:r>
        <w:r w:rsidR="000A3B2B" w:rsidRPr="000A3B2B">
          <w:rPr>
            <w:noProof/>
            <w:webHidden/>
            <w:color w:val="000000" w:themeColor="text1"/>
          </w:rPr>
          <w:t>154</w:t>
        </w:r>
        <w:r w:rsidR="000A3B2B" w:rsidRPr="000A3B2B">
          <w:rPr>
            <w:noProof/>
            <w:webHidden/>
            <w:color w:val="000000" w:themeColor="text1"/>
          </w:rPr>
          <w:fldChar w:fldCharType="end"/>
        </w:r>
      </w:hyperlink>
    </w:p>
    <w:p w14:paraId="25ECEB12" w14:textId="77777777" w:rsidR="000A3B2B" w:rsidRPr="003900B9" w:rsidRDefault="000A3B2B" w:rsidP="004B46BA">
      <w:pPr>
        <w:pStyle w:val="Styl1"/>
        <w:rPr>
          <w:lang w:val="pl-PL"/>
        </w:rPr>
        <w:sectPr w:rsidR="000A3B2B" w:rsidRPr="003900B9" w:rsidSect="00A47DAD">
          <w:pgSz w:w="12240" w:h="15840"/>
          <w:pgMar w:top="1417" w:right="1417" w:bottom="1417" w:left="1417" w:header="708" w:footer="708" w:gutter="0"/>
          <w:cols w:space="708"/>
          <w:noEndnote/>
        </w:sectPr>
      </w:pPr>
    </w:p>
    <w:p w14:paraId="0D02D4C1" w14:textId="77777777" w:rsidR="000A3B2B" w:rsidRPr="004B46BA" w:rsidRDefault="000A3B2B" w:rsidP="004B46BA">
      <w:pPr>
        <w:pStyle w:val="Styl1"/>
      </w:pPr>
      <w:r w:rsidRPr="004B46BA">
        <w:lastRenderedPageBreak/>
        <w:t>WYMAGANIA OGÓLNE</w:t>
      </w:r>
    </w:p>
    <w:p w14:paraId="40A8A0F8" w14:textId="77777777" w:rsidR="000A3B2B" w:rsidRDefault="000A3B2B" w:rsidP="000E4A55">
      <w:pPr>
        <w:autoSpaceDE w:val="0"/>
        <w:autoSpaceDN w:val="0"/>
        <w:adjustRightInd w:val="0"/>
        <w:spacing w:after="0" w:line="288" w:lineRule="auto"/>
        <w:rPr>
          <w:rFonts w:ascii="Arial" w:hAnsi="Arial" w:cs="Arial"/>
          <w:b/>
          <w:bCs/>
          <w:color w:val="000000"/>
          <w:sz w:val="18"/>
          <w:szCs w:val="18"/>
          <w:lang w:val="x-none"/>
        </w:rPr>
      </w:pPr>
      <w:r>
        <w:rPr>
          <w:rFonts w:ascii="Arial" w:hAnsi="Arial" w:cs="Arial"/>
          <w:b/>
          <w:bCs/>
          <w:color w:val="000000"/>
          <w:sz w:val="18"/>
          <w:szCs w:val="18"/>
          <w:lang w:val="x-none"/>
        </w:rPr>
        <w:t>1.</w:t>
      </w:r>
      <w:r>
        <w:rPr>
          <w:rFonts w:ascii="Arial" w:hAnsi="Arial" w:cs="Arial"/>
          <w:b/>
          <w:bCs/>
          <w:color w:val="000000"/>
          <w:sz w:val="18"/>
          <w:szCs w:val="18"/>
          <w:lang w:val="x-none"/>
        </w:rPr>
        <w:tab/>
        <w:t>CZĘŚĆ OGÓLNA</w:t>
      </w:r>
    </w:p>
    <w:p w14:paraId="20340E0E" w14:textId="77777777" w:rsidR="000A3B2B" w:rsidRDefault="000A3B2B" w:rsidP="000E4A5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1.1.</w:t>
      </w:r>
      <w:r>
        <w:rPr>
          <w:rFonts w:ascii="Arial" w:hAnsi="Arial" w:cs="Arial"/>
          <w:b/>
          <w:bCs/>
          <w:color w:val="000000"/>
          <w:sz w:val="18"/>
          <w:szCs w:val="18"/>
          <w:lang w:val="x-none"/>
        </w:rPr>
        <w:tab/>
        <w:t>Nazwa nadana zamówieniu przez Zamawiającego</w:t>
      </w:r>
    </w:p>
    <w:p w14:paraId="080BFF43" w14:textId="77777777" w:rsidR="000A3B2B" w:rsidRDefault="000A3B2B" w:rsidP="000E4A55">
      <w:pPr>
        <w:tabs>
          <w:tab w:val="right" w:leader="dot" w:pos="7035"/>
        </w:tabs>
        <w:autoSpaceDE w:val="0"/>
        <w:autoSpaceDN w:val="0"/>
        <w:adjustRightInd w:val="0"/>
        <w:spacing w:after="30" w:line="240" w:lineRule="auto"/>
        <w:jc w:val="both"/>
        <w:rPr>
          <w:rFonts w:ascii="Arial" w:hAnsi="Arial" w:cs="Arial"/>
          <w:color w:val="000000"/>
          <w:sz w:val="18"/>
          <w:szCs w:val="18"/>
          <w:lang w:val="x-none"/>
        </w:rPr>
      </w:pPr>
      <w:r w:rsidRPr="00D8129F">
        <w:rPr>
          <w:rFonts w:ascii="Arial" w:hAnsi="Arial" w:cs="Arial"/>
          <w:noProof/>
          <w:color w:val="000000"/>
          <w:sz w:val="18"/>
          <w:szCs w:val="18"/>
          <w:lang w:val="x-none"/>
        </w:rPr>
        <w:t>Termomodernizacja budynku Szkoły Podstawowej nr 3 przy ul. Marii Konopnickiej 2 w Reszlu.</w:t>
      </w:r>
    </w:p>
    <w:p w14:paraId="4F4C6E74" w14:textId="77777777" w:rsidR="000A3B2B" w:rsidRDefault="000A3B2B" w:rsidP="000E4A55">
      <w:pPr>
        <w:tabs>
          <w:tab w:val="right" w:leader="dot" w:pos="7035"/>
        </w:tabs>
        <w:autoSpaceDE w:val="0"/>
        <w:autoSpaceDN w:val="0"/>
        <w:adjustRightInd w:val="0"/>
        <w:spacing w:after="30" w:line="240" w:lineRule="auto"/>
        <w:jc w:val="both"/>
        <w:rPr>
          <w:rFonts w:ascii="Arial" w:hAnsi="Arial" w:cs="Arial"/>
          <w:color w:val="000000"/>
          <w:sz w:val="18"/>
          <w:szCs w:val="18"/>
          <w:lang w:val="x-none"/>
        </w:rPr>
      </w:pPr>
    </w:p>
    <w:p w14:paraId="42362C0F" w14:textId="77777777" w:rsidR="000A3B2B" w:rsidRDefault="000A3B2B" w:rsidP="000E4A5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1.2.</w:t>
      </w:r>
      <w:r>
        <w:rPr>
          <w:rFonts w:ascii="Arial" w:hAnsi="Arial" w:cs="Arial"/>
          <w:b/>
          <w:bCs/>
          <w:color w:val="000000"/>
          <w:sz w:val="18"/>
          <w:szCs w:val="18"/>
          <w:lang w:val="x-none"/>
        </w:rPr>
        <w:tab/>
        <w:t>Przedmiot ST</w:t>
      </w:r>
    </w:p>
    <w:p w14:paraId="33452613"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Przedmiotem niniejszej specyfikacji technicznej (ST) są wspólne </w:t>
      </w:r>
      <w:r>
        <w:rPr>
          <w:rFonts w:ascii="Arial" w:hAnsi="Arial" w:cs="Arial"/>
          <w:color w:val="000000"/>
          <w:sz w:val="18"/>
          <w:szCs w:val="18"/>
          <w:u w:val="single"/>
          <w:lang w:val="x-none"/>
        </w:rPr>
        <w:t>wymagania ogólne dotyczące wykonania i odbioru wszystkich robót,</w:t>
      </w:r>
      <w:r>
        <w:rPr>
          <w:rFonts w:ascii="Arial" w:hAnsi="Arial" w:cs="Arial"/>
          <w:color w:val="000000"/>
          <w:sz w:val="18"/>
          <w:szCs w:val="18"/>
          <w:lang w:val="x-none"/>
        </w:rPr>
        <w:t xml:space="preserve"> objętych przedmiotem zamówienia.</w:t>
      </w:r>
    </w:p>
    <w:p w14:paraId="7ED26C95"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p>
    <w:p w14:paraId="699C8D7B" w14:textId="77777777" w:rsidR="000A3B2B" w:rsidRDefault="000A3B2B" w:rsidP="000E4A5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1.3.</w:t>
      </w:r>
      <w:r>
        <w:rPr>
          <w:rFonts w:ascii="Arial" w:hAnsi="Arial" w:cs="Arial"/>
          <w:b/>
          <w:bCs/>
          <w:color w:val="000000"/>
          <w:sz w:val="18"/>
          <w:szCs w:val="18"/>
          <w:lang w:val="x-none"/>
        </w:rPr>
        <w:tab/>
        <w:t>Zakres stosowania ST</w:t>
      </w:r>
    </w:p>
    <w:p w14:paraId="35ECA38A"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Niniejsza specyfikacja techniczna (ST) jest dokumentem przetargowym i kontraktowym przy zlecaniu i realizacji robót objętych zamówieniem określonym w pkt. 1.4.</w:t>
      </w:r>
    </w:p>
    <w:p w14:paraId="524AC8A3" w14:textId="77777777" w:rsidR="000A3B2B" w:rsidRPr="000E4124" w:rsidRDefault="000A3B2B" w:rsidP="000E4A55">
      <w:pPr>
        <w:autoSpaceDE w:val="0"/>
        <w:autoSpaceDN w:val="0"/>
        <w:adjustRightInd w:val="0"/>
        <w:spacing w:after="30" w:line="240" w:lineRule="auto"/>
        <w:jc w:val="both"/>
        <w:rPr>
          <w:rFonts w:ascii="Arial" w:hAnsi="Arial" w:cs="Arial"/>
          <w:color w:val="000000"/>
          <w:sz w:val="18"/>
          <w:szCs w:val="18"/>
        </w:rPr>
      </w:pPr>
      <w:r>
        <w:rPr>
          <w:rFonts w:ascii="Arial" w:hAnsi="Arial" w:cs="Arial"/>
          <w:color w:val="000000"/>
          <w:sz w:val="18"/>
          <w:szCs w:val="18"/>
          <w:lang w:val="x-none"/>
        </w:rPr>
        <w:t xml:space="preserve">Roboty </w:t>
      </w:r>
      <w:proofErr w:type="spellStart"/>
      <w:r>
        <w:rPr>
          <w:rFonts w:ascii="Arial" w:hAnsi="Arial" w:cs="Arial"/>
          <w:color w:val="000000"/>
          <w:sz w:val="18"/>
          <w:szCs w:val="18"/>
          <w:lang w:val="x-none"/>
        </w:rPr>
        <w:t>związ</w:t>
      </w:r>
      <w:r>
        <w:rPr>
          <w:rFonts w:ascii="Arial" w:hAnsi="Arial" w:cs="Arial"/>
          <w:color w:val="000000"/>
          <w:sz w:val="18"/>
          <w:szCs w:val="18"/>
        </w:rPr>
        <w:t>a</w:t>
      </w:r>
      <w:r>
        <w:rPr>
          <w:rFonts w:ascii="Arial" w:hAnsi="Arial" w:cs="Arial"/>
          <w:color w:val="000000"/>
          <w:sz w:val="18"/>
          <w:szCs w:val="18"/>
          <w:lang w:val="x-none"/>
        </w:rPr>
        <w:t>ne</w:t>
      </w:r>
      <w:proofErr w:type="spellEnd"/>
      <w:r>
        <w:rPr>
          <w:rFonts w:ascii="Arial" w:hAnsi="Arial" w:cs="Arial"/>
          <w:color w:val="000000"/>
          <w:sz w:val="18"/>
          <w:szCs w:val="18"/>
          <w:lang w:val="x-none"/>
        </w:rPr>
        <w:t xml:space="preserve"> z </w:t>
      </w:r>
      <w:r>
        <w:rPr>
          <w:rFonts w:ascii="Arial" w:hAnsi="Arial" w:cs="Arial"/>
          <w:color w:val="000000"/>
          <w:sz w:val="18"/>
          <w:szCs w:val="18"/>
        </w:rPr>
        <w:t>termomodernizacją budynku Szkoły Podstawowej oraz roboty towarzyszące.</w:t>
      </w:r>
    </w:p>
    <w:p w14:paraId="19FFF773"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p>
    <w:p w14:paraId="0BC4AF47"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Odstępstwa od wymagań podanych w niniejszej specyfikacji mogą mieć miejsce tylko w przypadkach małych prostych robót i konstrukcji drugorzędnych o niewielkim znaczeniu, dla których istnieje pewność, że podstawowe wymagania będą spełnione przy zastosowaniu metod wykonania na podstawie doświadczenia i przy przestrzeganiu zasad sztuki budowlanej.</w:t>
      </w:r>
    </w:p>
    <w:p w14:paraId="1384E8A0"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p>
    <w:p w14:paraId="6CDCED95" w14:textId="77777777" w:rsidR="000A3B2B" w:rsidRDefault="000A3B2B" w:rsidP="000E4A5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1.4.</w:t>
      </w:r>
      <w:r>
        <w:rPr>
          <w:rFonts w:ascii="Arial" w:hAnsi="Arial" w:cs="Arial"/>
          <w:b/>
          <w:bCs/>
          <w:color w:val="000000"/>
          <w:sz w:val="18"/>
          <w:szCs w:val="18"/>
          <w:lang w:val="x-none"/>
        </w:rPr>
        <w:tab/>
        <w:t>Zakres robót objętych ST</w:t>
      </w:r>
    </w:p>
    <w:p w14:paraId="72935474" w14:textId="77777777" w:rsidR="000A3B2B" w:rsidRDefault="000A3B2B" w:rsidP="000E4A55">
      <w:pPr>
        <w:tabs>
          <w:tab w:val="right" w:leader="dot" w:pos="7005"/>
        </w:tabs>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a)</w:t>
      </w:r>
      <w:r>
        <w:rPr>
          <w:rFonts w:ascii="Arial" w:hAnsi="Arial" w:cs="Arial"/>
          <w:color w:val="000000"/>
          <w:sz w:val="18"/>
          <w:szCs w:val="18"/>
          <w:lang w:val="x-none"/>
        </w:rPr>
        <w:tab/>
        <w:t>przedmiot i zakres robót budowlanych</w:t>
      </w:r>
      <w:r>
        <w:rPr>
          <w:rFonts w:ascii="Arial" w:hAnsi="Arial" w:cs="Arial"/>
          <w:color w:val="000000"/>
          <w:sz w:val="18"/>
          <w:szCs w:val="18"/>
          <w:lang w:val="x-none"/>
        </w:rPr>
        <w:tab/>
      </w:r>
    </w:p>
    <w:p w14:paraId="191BD291" w14:textId="77777777" w:rsidR="000A3B2B" w:rsidRDefault="000A3B2B" w:rsidP="000E4A55">
      <w:pPr>
        <w:tabs>
          <w:tab w:val="right" w:leader="dot" w:pos="7005"/>
        </w:tabs>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ab/>
        <w:t xml:space="preserve">wykonanie </w:t>
      </w:r>
      <w:proofErr w:type="spellStart"/>
      <w:r>
        <w:rPr>
          <w:rFonts w:ascii="Arial" w:hAnsi="Arial" w:cs="Arial"/>
          <w:color w:val="000000"/>
          <w:sz w:val="18"/>
          <w:szCs w:val="18"/>
          <w:lang w:val="x-none"/>
        </w:rPr>
        <w:t>instal</w:t>
      </w:r>
      <w:r>
        <w:rPr>
          <w:rFonts w:ascii="Arial" w:hAnsi="Arial" w:cs="Arial"/>
          <w:color w:val="000000"/>
          <w:sz w:val="18"/>
          <w:szCs w:val="18"/>
        </w:rPr>
        <w:t>a</w:t>
      </w:r>
      <w:r>
        <w:rPr>
          <w:rFonts w:ascii="Arial" w:hAnsi="Arial" w:cs="Arial"/>
          <w:color w:val="000000"/>
          <w:sz w:val="18"/>
          <w:szCs w:val="18"/>
          <w:lang w:val="x-none"/>
        </w:rPr>
        <w:t>cji</w:t>
      </w:r>
      <w:proofErr w:type="spellEnd"/>
      <w:r>
        <w:rPr>
          <w:rFonts w:ascii="Arial" w:hAnsi="Arial" w:cs="Arial"/>
          <w:color w:val="000000"/>
          <w:sz w:val="18"/>
          <w:szCs w:val="18"/>
          <w:lang w:val="x-none"/>
        </w:rPr>
        <w:t xml:space="preserve"> wodociągowej i </w:t>
      </w:r>
      <w:proofErr w:type="spellStart"/>
      <w:r>
        <w:rPr>
          <w:rFonts w:ascii="Arial" w:hAnsi="Arial" w:cs="Arial"/>
          <w:color w:val="000000"/>
          <w:sz w:val="18"/>
          <w:szCs w:val="18"/>
          <w:lang w:val="x-none"/>
        </w:rPr>
        <w:t>kanaliza</w:t>
      </w:r>
      <w:r>
        <w:rPr>
          <w:rFonts w:ascii="Arial" w:hAnsi="Arial" w:cs="Arial"/>
          <w:color w:val="000000"/>
          <w:sz w:val="18"/>
          <w:szCs w:val="18"/>
        </w:rPr>
        <w:t>c</w:t>
      </w:r>
      <w:r>
        <w:rPr>
          <w:rFonts w:ascii="Arial" w:hAnsi="Arial" w:cs="Arial"/>
          <w:color w:val="000000"/>
          <w:sz w:val="18"/>
          <w:szCs w:val="18"/>
          <w:lang w:val="x-none"/>
        </w:rPr>
        <w:t>yjnej</w:t>
      </w:r>
      <w:proofErr w:type="spellEnd"/>
    </w:p>
    <w:p w14:paraId="5B69B1DB" w14:textId="77777777" w:rsidR="000A3B2B" w:rsidRDefault="000A3B2B" w:rsidP="000E4A55">
      <w:pPr>
        <w:tabs>
          <w:tab w:val="right" w:leader="dot" w:pos="7005"/>
        </w:tabs>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ab/>
        <w:t>wykonanie przyłącza wodociągowego i kanalizacyjnego</w:t>
      </w:r>
    </w:p>
    <w:p w14:paraId="00D90CB5" w14:textId="77777777" w:rsidR="000A3B2B" w:rsidRDefault="000A3B2B" w:rsidP="000E4A55">
      <w:pPr>
        <w:tabs>
          <w:tab w:val="right" w:leader="dot" w:pos="7005"/>
        </w:tabs>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b)</w:t>
      </w:r>
      <w:r>
        <w:rPr>
          <w:rFonts w:ascii="Arial" w:hAnsi="Arial" w:cs="Arial"/>
          <w:color w:val="000000"/>
          <w:sz w:val="18"/>
          <w:szCs w:val="18"/>
          <w:lang w:val="x-none"/>
        </w:rPr>
        <w:tab/>
        <w:t>nazwy i kody robót objętych zamówieniem:</w:t>
      </w:r>
      <w:r>
        <w:rPr>
          <w:rFonts w:ascii="Arial" w:hAnsi="Arial" w:cs="Arial"/>
          <w:color w:val="000000"/>
          <w:sz w:val="18"/>
          <w:szCs w:val="18"/>
          <w:lang w:val="x-none"/>
        </w:rPr>
        <w:tab/>
      </w:r>
    </w:p>
    <w:p w14:paraId="21C92FAE" w14:textId="77777777" w:rsidR="000A3B2B" w:rsidRDefault="000A3B2B" w:rsidP="000E4A55">
      <w:pPr>
        <w:tabs>
          <w:tab w:val="right" w:leader="dot" w:pos="7005"/>
        </w:tabs>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ab/>
      </w:r>
      <w:r>
        <w:rPr>
          <w:rFonts w:ascii="Arial" w:hAnsi="Arial" w:cs="Arial"/>
          <w:color w:val="000000"/>
          <w:sz w:val="18"/>
          <w:szCs w:val="18"/>
          <w:lang w:val="x-none"/>
        </w:rPr>
        <w:tab/>
      </w:r>
    </w:p>
    <w:p w14:paraId="3E36FB55"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ab/>
        <w:t>Ustalenia zawarte w niniejszej specyfikacji obejmują wymagania ogólne, wspólne dla robót budowlanych objętych specyfikacjami technicznymi (ST) opracowanymi dla poszczególnych robót niniejszego zamówienia:</w:t>
      </w:r>
    </w:p>
    <w:p w14:paraId="5E54B80B" w14:textId="77777777" w:rsidR="000A3B2B" w:rsidRDefault="000A3B2B" w:rsidP="000E4A55">
      <w:pPr>
        <w:autoSpaceDE w:val="0"/>
        <w:autoSpaceDN w:val="0"/>
        <w:adjustRightInd w:val="0"/>
        <w:spacing w:after="30" w:line="240" w:lineRule="auto"/>
        <w:ind w:left="285" w:hanging="285"/>
        <w:jc w:val="both"/>
        <w:rPr>
          <w:rFonts w:ascii="Arial" w:hAnsi="Arial" w:cs="Arial"/>
          <w:b/>
          <w:bCs/>
          <w:color w:val="000000"/>
          <w:sz w:val="18"/>
          <w:szCs w:val="18"/>
          <w:lang w:val="x-none"/>
        </w:rPr>
      </w:pPr>
      <w:r>
        <w:rPr>
          <w:rFonts w:ascii="Arial" w:hAnsi="Arial" w:cs="Arial"/>
          <w:color w:val="000000"/>
          <w:sz w:val="18"/>
          <w:szCs w:val="18"/>
          <w:lang w:val="x-none"/>
        </w:rPr>
        <w:tab/>
      </w:r>
      <w:r>
        <w:rPr>
          <w:rFonts w:ascii="Arial" w:hAnsi="Arial" w:cs="Arial"/>
          <w:b/>
          <w:bCs/>
          <w:color w:val="000000"/>
          <w:sz w:val="18"/>
          <w:szCs w:val="18"/>
          <w:lang w:val="x-none"/>
        </w:rPr>
        <w:t>Grupy robót, klasy robót lub kategorie robót wg Wspólnego Słownika Zamówień (CPV) i ich kody:</w:t>
      </w:r>
    </w:p>
    <w:tbl>
      <w:tblPr>
        <w:tblW w:w="0" w:type="auto"/>
        <w:tblCellSpacing w:w="0" w:type="dxa"/>
        <w:tblInd w:w="-8" w:type="dxa"/>
        <w:tblLayout w:type="fixed"/>
        <w:tblCellMar>
          <w:left w:w="0" w:type="dxa"/>
          <w:right w:w="0" w:type="dxa"/>
        </w:tblCellMar>
        <w:tblLook w:val="0000" w:firstRow="0" w:lastRow="0" w:firstColumn="0" w:lastColumn="0" w:noHBand="0" w:noVBand="0"/>
      </w:tblPr>
      <w:tblGrid>
        <w:gridCol w:w="292"/>
        <w:gridCol w:w="196"/>
        <w:gridCol w:w="314"/>
        <w:gridCol w:w="196"/>
        <w:gridCol w:w="314"/>
        <w:gridCol w:w="196"/>
        <w:gridCol w:w="314"/>
        <w:gridCol w:w="196"/>
        <w:gridCol w:w="314"/>
        <w:gridCol w:w="196"/>
        <w:gridCol w:w="314"/>
        <w:gridCol w:w="196"/>
        <w:gridCol w:w="314"/>
        <w:gridCol w:w="196"/>
        <w:gridCol w:w="314"/>
        <w:gridCol w:w="390"/>
        <w:gridCol w:w="316"/>
        <w:gridCol w:w="194"/>
        <w:gridCol w:w="4500"/>
      </w:tblGrid>
      <w:tr w:rsidR="000A3B2B" w14:paraId="659B9D07" w14:textId="77777777">
        <w:trPr>
          <w:trHeight w:val="60"/>
          <w:tblCellSpacing w:w="0" w:type="dxa"/>
        </w:trPr>
        <w:tc>
          <w:tcPr>
            <w:tcW w:w="292" w:type="dxa"/>
            <w:tcBorders>
              <w:top w:val="single" w:sz="6" w:space="0" w:color="000000"/>
              <w:left w:val="single" w:sz="6" w:space="0" w:color="000000"/>
              <w:bottom w:val="single" w:sz="6" w:space="0" w:color="000000"/>
              <w:right w:val="single" w:sz="6" w:space="0" w:color="000000"/>
            </w:tcBorders>
          </w:tcPr>
          <w:p w14:paraId="73255D27" w14:textId="77777777" w:rsidR="000A3B2B" w:rsidRPr="000E4124" w:rsidRDefault="000A3B2B">
            <w:pPr>
              <w:autoSpaceDE w:val="0"/>
              <w:autoSpaceDN w:val="0"/>
              <w:adjustRightInd w:val="0"/>
              <w:spacing w:after="0" w:line="240" w:lineRule="auto"/>
              <w:rPr>
                <w:rFonts w:ascii="Arial" w:hAnsi="Arial" w:cs="Arial"/>
                <w:sz w:val="24"/>
                <w:szCs w:val="24"/>
              </w:rPr>
            </w:pPr>
            <w:r>
              <w:rPr>
                <w:rFonts w:ascii="Arial" w:hAnsi="Arial" w:cs="Arial"/>
                <w:sz w:val="24"/>
                <w:szCs w:val="24"/>
              </w:rPr>
              <w:t>4</w:t>
            </w:r>
          </w:p>
        </w:tc>
        <w:tc>
          <w:tcPr>
            <w:tcW w:w="196" w:type="dxa"/>
            <w:tcBorders>
              <w:top w:val="nil"/>
              <w:left w:val="single" w:sz="6" w:space="0" w:color="000000"/>
              <w:bottom w:val="nil"/>
              <w:right w:val="single" w:sz="6" w:space="0" w:color="000000"/>
            </w:tcBorders>
          </w:tcPr>
          <w:p w14:paraId="7B73953B"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314" w:type="dxa"/>
            <w:tcBorders>
              <w:top w:val="single" w:sz="6" w:space="0" w:color="000000"/>
              <w:left w:val="single" w:sz="6" w:space="0" w:color="000000"/>
              <w:bottom w:val="single" w:sz="6" w:space="0" w:color="000000"/>
              <w:right w:val="single" w:sz="6" w:space="0" w:color="000000"/>
            </w:tcBorders>
          </w:tcPr>
          <w:p w14:paraId="1C30E036" w14:textId="77777777" w:rsidR="000A3B2B" w:rsidRDefault="000A3B2B">
            <w:pPr>
              <w:autoSpaceDE w:val="0"/>
              <w:autoSpaceDN w:val="0"/>
              <w:adjustRightInd w:val="0"/>
              <w:spacing w:after="0" w:line="240" w:lineRule="auto"/>
              <w:rPr>
                <w:rFonts w:ascii="Arial" w:hAnsi="Arial" w:cs="Arial"/>
                <w:sz w:val="24"/>
                <w:szCs w:val="24"/>
                <w:lang w:val="x-none"/>
              </w:rPr>
            </w:pPr>
            <w:r>
              <w:rPr>
                <w:rFonts w:ascii="Arial" w:hAnsi="Arial" w:cs="Arial"/>
                <w:sz w:val="24"/>
                <w:szCs w:val="24"/>
                <w:lang w:val="x-none"/>
              </w:rPr>
              <w:t>5</w:t>
            </w:r>
          </w:p>
        </w:tc>
        <w:tc>
          <w:tcPr>
            <w:tcW w:w="196" w:type="dxa"/>
            <w:tcBorders>
              <w:top w:val="nil"/>
              <w:left w:val="single" w:sz="6" w:space="0" w:color="000000"/>
              <w:bottom w:val="nil"/>
              <w:right w:val="single" w:sz="6" w:space="0" w:color="000000"/>
            </w:tcBorders>
          </w:tcPr>
          <w:p w14:paraId="1A164120"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314" w:type="dxa"/>
            <w:tcBorders>
              <w:top w:val="single" w:sz="6" w:space="0" w:color="000000"/>
              <w:left w:val="single" w:sz="6" w:space="0" w:color="000000"/>
              <w:bottom w:val="single" w:sz="6" w:space="0" w:color="000000"/>
              <w:right w:val="single" w:sz="6" w:space="0" w:color="000000"/>
            </w:tcBorders>
          </w:tcPr>
          <w:p w14:paraId="62CD235E" w14:textId="77777777" w:rsidR="000A3B2B" w:rsidRDefault="000A3B2B">
            <w:pPr>
              <w:autoSpaceDE w:val="0"/>
              <w:autoSpaceDN w:val="0"/>
              <w:adjustRightInd w:val="0"/>
              <w:spacing w:after="0" w:line="240" w:lineRule="auto"/>
              <w:rPr>
                <w:rFonts w:ascii="Arial" w:hAnsi="Arial" w:cs="Arial"/>
                <w:sz w:val="24"/>
                <w:szCs w:val="24"/>
                <w:lang w:val="x-none"/>
              </w:rPr>
            </w:pPr>
            <w:r>
              <w:rPr>
                <w:rFonts w:ascii="Arial" w:hAnsi="Arial" w:cs="Arial"/>
                <w:sz w:val="24"/>
                <w:szCs w:val="24"/>
                <w:lang w:val="x-none"/>
              </w:rPr>
              <w:t>3</w:t>
            </w:r>
          </w:p>
        </w:tc>
        <w:tc>
          <w:tcPr>
            <w:tcW w:w="196" w:type="dxa"/>
            <w:tcBorders>
              <w:top w:val="nil"/>
              <w:left w:val="single" w:sz="6" w:space="0" w:color="000000"/>
              <w:bottom w:val="nil"/>
              <w:right w:val="single" w:sz="6" w:space="0" w:color="000000"/>
            </w:tcBorders>
          </w:tcPr>
          <w:p w14:paraId="72D2B692"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314" w:type="dxa"/>
            <w:tcBorders>
              <w:top w:val="single" w:sz="6" w:space="0" w:color="000000"/>
              <w:left w:val="single" w:sz="6" w:space="0" w:color="000000"/>
              <w:bottom w:val="single" w:sz="6" w:space="0" w:color="000000"/>
              <w:right w:val="single" w:sz="6" w:space="0" w:color="000000"/>
            </w:tcBorders>
          </w:tcPr>
          <w:p w14:paraId="18B2EEAF" w14:textId="77777777" w:rsidR="000A3B2B" w:rsidRDefault="000A3B2B">
            <w:pPr>
              <w:autoSpaceDE w:val="0"/>
              <w:autoSpaceDN w:val="0"/>
              <w:adjustRightInd w:val="0"/>
              <w:spacing w:after="0" w:line="240" w:lineRule="auto"/>
              <w:rPr>
                <w:rFonts w:ascii="Arial" w:hAnsi="Arial" w:cs="Arial"/>
                <w:sz w:val="24"/>
                <w:szCs w:val="24"/>
                <w:lang w:val="x-none"/>
              </w:rPr>
            </w:pPr>
            <w:r>
              <w:rPr>
                <w:rFonts w:ascii="Arial" w:hAnsi="Arial" w:cs="Arial"/>
                <w:sz w:val="24"/>
                <w:szCs w:val="24"/>
                <w:lang w:val="x-none"/>
              </w:rPr>
              <w:t>3</w:t>
            </w:r>
          </w:p>
        </w:tc>
        <w:tc>
          <w:tcPr>
            <w:tcW w:w="196" w:type="dxa"/>
            <w:tcBorders>
              <w:top w:val="nil"/>
              <w:left w:val="single" w:sz="6" w:space="0" w:color="000000"/>
              <w:bottom w:val="nil"/>
              <w:right w:val="single" w:sz="6" w:space="0" w:color="000000"/>
            </w:tcBorders>
          </w:tcPr>
          <w:p w14:paraId="237B7BEE"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314" w:type="dxa"/>
            <w:tcBorders>
              <w:top w:val="single" w:sz="6" w:space="0" w:color="000000"/>
              <w:left w:val="single" w:sz="6" w:space="0" w:color="000000"/>
              <w:bottom w:val="single" w:sz="6" w:space="0" w:color="000000"/>
              <w:right w:val="single" w:sz="6" w:space="0" w:color="000000"/>
            </w:tcBorders>
          </w:tcPr>
          <w:p w14:paraId="534E1075" w14:textId="77777777" w:rsidR="000A3B2B" w:rsidRPr="000E4124" w:rsidRDefault="000A3B2B">
            <w:pPr>
              <w:autoSpaceDE w:val="0"/>
              <w:autoSpaceDN w:val="0"/>
              <w:adjustRightInd w:val="0"/>
              <w:spacing w:after="0" w:line="240" w:lineRule="auto"/>
              <w:rPr>
                <w:rFonts w:ascii="Arial" w:hAnsi="Arial" w:cs="Arial"/>
                <w:sz w:val="24"/>
                <w:szCs w:val="24"/>
              </w:rPr>
            </w:pPr>
            <w:r>
              <w:rPr>
                <w:rFonts w:ascii="Arial" w:hAnsi="Arial" w:cs="Arial"/>
                <w:sz w:val="24"/>
                <w:szCs w:val="24"/>
              </w:rPr>
              <w:t>1</w:t>
            </w:r>
          </w:p>
        </w:tc>
        <w:tc>
          <w:tcPr>
            <w:tcW w:w="196" w:type="dxa"/>
            <w:tcBorders>
              <w:top w:val="nil"/>
              <w:left w:val="single" w:sz="6" w:space="0" w:color="000000"/>
              <w:bottom w:val="nil"/>
              <w:right w:val="single" w:sz="6" w:space="0" w:color="000000"/>
            </w:tcBorders>
          </w:tcPr>
          <w:p w14:paraId="74DA3EC7"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314" w:type="dxa"/>
            <w:tcBorders>
              <w:top w:val="single" w:sz="6" w:space="0" w:color="000000"/>
              <w:left w:val="single" w:sz="6" w:space="0" w:color="000000"/>
              <w:bottom w:val="single" w:sz="6" w:space="0" w:color="000000"/>
              <w:right w:val="single" w:sz="6" w:space="0" w:color="000000"/>
            </w:tcBorders>
          </w:tcPr>
          <w:p w14:paraId="73A7562B" w14:textId="77777777" w:rsidR="000A3B2B" w:rsidRPr="000E4124" w:rsidRDefault="000A3B2B">
            <w:pPr>
              <w:autoSpaceDE w:val="0"/>
              <w:autoSpaceDN w:val="0"/>
              <w:adjustRightInd w:val="0"/>
              <w:spacing w:after="0" w:line="240" w:lineRule="auto"/>
              <w:rPr>
                <w:rFonts w:ascii="Arial" w:hAnsi="Arial" w:cs="Arial"/>
                <w:sz w:val="24"/>
                <w:szCs w:val="24"/>
              </w:rPr>
            </w:pPr>
            <w:r>
              <w:rPr>
                <w:rFonts w:ascii="Arial" w:hAnsi="Arial" w:cs="Arial"/>
                <w:sz w:val="24"/>
                <w:szCs w:val="24"/>
              </w:rPr>
              <w:t>0</w:t>
            </w:r>
          </w:p>
        </w:tc>
        <w:tc>
          <w:tcPr>
            <w:tcW w:w="196" w:type="dxa"/>
            <w:tcBorders>
              <w:top w:val="nil"/>
              <w:left w:val="single" w:sz="6" w:space="0" w:color="000000"/>
              <w:bottom w:val="nil"/>
              <w:right w:val="single" w:sz="6" w:space="0" w:color="000000"/>
            </w:tcBorders>
          </w:tcPr>
          <w:p w14:paraId="75A1B5D1"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314" w:type="dxa"/>
            <w:tcBorders>
              <w:top w:val="single" w:sz="6" w:space="0" w:color="000000"/>
              <w:left w:val="single" w:sz="6" w:space="0" w:color="000000"/>
              <w:bottom w:val="single" w:sz="6" w:space="0" w:color="000000"/>
              <w:right w:val="single" w:sz="6" w:space="0" w:color="000000"/>
            </w:tcBorders>
          </w:tcPr>
          <w:p w14:paraId="57C8F90D" w14:textId="77777777" w:rsidR="000A3B2B" w:rsidRDefault="000A3B2B">
            <w:pPr>
              <w:autoSpaceDE w:val="0"/>
              <w:autoSpaceDN w:val="0"/>
              <w:adjustRightInd w:val="0"/>
              <w:spacing w:after="0" w:line="240" w:lineRule="auto"/>
              <w:rPr>
                <w:rFonts w:ascii="Arial" w:hAnsi="Arial" w:cs="Arial"/>
                <w:sz w:val="24"/>
                <w:szCs w:val="24"/>
                <w:lang w:val="x-none"/>
              </w:rPr>
            </w:pPr>
            <w:r>
              <w:rPr>
                <w:rFonts w:ascii="Arial" w:hAnsi="Arial" w:cs="Arial"/>
                <w:sz w:val="24"/>
                <w:szCs w:val="24"/>
                <w:lang w:val="x-none"/>
              </w:rPr>
              <w:t>0</w:t>
            </w:r>
          </w:p>
        </w:tc>
        <w:tc>
          <w:tcPr>
            <w:tcW w:w="196" w:type="dxa"/>
            <w:tcBorders>
              <w:top w:val="nil"/>
              <w:left w:val="single" w:sz="6" w:space="0" w:color="000000"/>
              <w:bottom w:val="nil"/>
              <w:right w:val="single" w:sz="6" w:space="0" w:color="000000"/>
            </w:tcBorders>
          </w:tcPr>
          <w:p w14:paraId="540757BD"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314" w:type="dxa"/>
            <w:tcBorders>
              <w:top w:val="single" w:sz="6" w:space="0" w:color="000000"/>
              <w:left w:val="single" w:sz="6" w:space="0" w:color="000000"/>
              <w:bottom w:val="single" w:sz="6" w:space="0" w:color="000000"/>
              <w:right w:val="single" w:sz="6" w:space="0" w:color="000000"/>
            </w:tcBorders>
          </w:tcPr>
          <w:p w14:paraId="38BDDCB4" w14:textId="77777777" w:rsidR="000A3B2B" w:rsidRDefault="000A3B2B">
            <w:pPr>
              <w:autoSpaceDE w:val="0"/>
              <w:autoSpaceDN w:val="0"/>
              <w:adjustRightInd w:val="0"/>
              <w:spacing w:after="0" w:line="240" w:lineRule="auto"/>
              <w:rPr>
                <w:rFonts w:ascii="Arial" w:hAnsi="Arial" w:cs="Arial"/>
                <w:sz w:val="24"/>
                <w:szCs w:val="24"/>
                <w:lang w:val="x-none"/>
              </w:rPr>
            </w:pPr>
            <w:r>
              <w:rPr>
                <w:rFonts w:ascii="Arial" w:hAnsi="Arial" w:cs="Arial"/>
                <w:sz w:val="24"/>
                <w:szCs w:val="24"/>
                <w:lang w:val="x-none"/>
              </w:rPr>
              <w:t>0</w:t>
            </w:r>
          </w:p>
        </w:tc>
        <w:tc>
          <w:tcPr>
            <w:tcW w:w="390" w:type="dxa"/>
            <w:tcBorders>
              <w:top w:val="nil"/>
              <w:left w:val="single" w:sz="6" w:space="0" w:color="000000"/>
              <w:bottom w:val="nil"/>
              <w:right w:val="single" w:sz="6" w:space="0" w:color="000000"/>
            </w:tcBorders>
            <w:vAlign w:val="center"/>
          </w:tcPr>
          <w:p w14:paraId="66C8C692" w14:textId="77777777" w:rsidR="000A3B2B" w:rsidRDefault="000A3B2B">
            <w:pPr>
              <w:tabs>
                <w:tab w:val="right" w:pos="7035"/>
              </w:tabs>
              <w:autoSpaceDE w:val="0"/>
              <w:autoSpaceDN w:val="0"/>
              <w:adjustRightInd w:val="0"/>
              <w:spacing w:after="0" w:line="288" w:lineRule="auto"/>
              <w:jc w:val="center"/>
              <w:rPr>
                <w:rFonts w:ascii="Times New Roman" w:hAnsi="Times New Roman" w:cs="Times New Roman"/>
                <w:color w:val="000000"/>
                <w:sz w:val="24"/>
                <w:szCs w:val="24"/>
                <w:lang w:val="x-none"/>
              </w:rPr>
            </w:pPr>
            <w:r>
              <w:rPr>
                <w:rFonts w:ascii="Times New Roman" w:hAnsi="Times New Roman" w:cs="Times New Roman"/>
                <w:color w:val="000000"/>
                <w:sz w:val="24"/>
                <w:szCs w:val="24"/>
                <w:lang w:val="x-none"/>
              </w:rPr>
              <w:t>–</w:t>
            </w:r>
          </w:p>
        </w:tc>
        <w:tc>
          <w:tcPr>
            <w:tcW w:w="316" w:type="dxa"/>
            <w:tcBorders>
              <w:top w:val="single" w:sz="6" w:space="0" w:color="000000"/>
              <w:left w:val="single" w:sz="6" w:space="0" w:color="000000"/>
              <w:bottom w:val="single" w:sz="6" w:space="0" w:color="000000"/>
              <w:right w:val="single" w:sz="6" w:space="0" w:color="000000"/>
            </w:tcBorders>
          </w:tcPr>
          <w:p w14:paraId="3F76BF6F" w14:textId="77777777" w:rsidR="000A3B2B" w:rsidRPr="000E4124" w:rsidRDefault="000A3B2B">
            <w:pPr>
              <w:autoSpaceDE w:val="0"/>
              <w:autoSpaceDN w:val="0"/>
              <w:adjustRightInd w:val="0"/>
              <w:spacing w:after="0" w:line="240" w:lineRule="auto"/>
              <w:rPr>
                <w:rFonts w:ascii="Arial" w:hAnsi="Arial" w:cs="Arial"/>
                <w:sz w:val="24"/>
                <w:szCs w:val="24"/>
              </w:rPr>
            </w:pPr>
            <w:r>
              <w:rPr>
                <w:rFonts w:ascii="Arial" w:hAnsi="Arial" w:cs="Arial"/>
                <w:sz w:val="24"/>
                <w:szCs w:val="24"/>
              </w:rPr>
              <w:t>3</w:t>
            </w:r>
          </w:p>
        </w:tc>
        <w:tc>
          <w:tcPr>
            <w:tcW w:w="194" w:type="dxa"/>
            <w:tcBorders>
              <w:top w:val="nil"/>
              <w:left w:val="single" w:sz="6" w:space="0" w:color="000000"/>
              <w:bottom w:val="nil"/>
              <w:right w:val="nil"/>
            </w:tcBorders>
          </w:tcPr>
          <w:p w14:paraId="499ACA7C"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4500" w:type="dxa"/>
            <w:tcBorders>
              <w:top w:val="nil"/>
              <w:left w:val="nil"/>
              <w:bottom w:val="single" w:sz="6" w:space="0" w:color="auto"/>
              <w:right w:val="nil"/>
            </w:tcBorders>
          </w:tcPr>
          <w:p w14:paraId="5256C39F" w14:textId="77777777" w:rsidR="000A3B2B" w:rsidRPr="000E4124" w:rsidRDefault="000A3B2B">
            <w:pPr>
              <w:autoSpaceDE w:val="0"/>
              <w:autoSpaceDN w:val="0"/>
              <w:adjustRightInd w:val="0"/>
              <w:spacing w:after="0" w:line="240" w:lineRule="auto"/>
              <w:rPr>
                <w:rFonts w:ascii="Arial" w:hAnsi="Arial" w:cs="Arial"/>
                <w:sz w:val="24"/>
                <w:szCs w:val="24"/>
              </w:rPr>
            </w:pPr>
            <w:r>
              <w:rPr>
                <w:rFonts w:ascii="Arial" w:hAnsi="Arial" w:cs="Arial"/>
                <w:sz w:val="24"/>
                <w:szCs w:val="24"/>
                <w:lang w:val="x-none"/>
              </w:rPr>
              <w:t xml:space="preserve">Roboty </w:t>
            </w:r>
            <w:r>
              <w:rPr>
                <w:rFonts w:ascii="Arial" w:hAnsi="Arial" w:cs="Arial"/>
                <w:sz w:val="24"/>
                <w:szCs w:val="24"/>
              </w:rPr>
              <w:t>izolacyjne</w:t>
            </w:r>
          </w:p>
        </w:tc>
      </w:tr>
      <w:tr w:rsidR="000A3B2B" w14:paraId="7EA39F60" w14:textId="77777777">
        <w:trPr>
          <w:trHeight w:val="60"/>
          <w:tblCellSpacing w:w="0" w:type="dxa"/>
        </w:trPr>
        <w:tc>
          <w:tcPr>
            <w:tcW w:w="292" w:type="dxa"/>
            <w:tcBorders>
              <w:top w:val="single" w:sz="6" w:space="0" w:color="000000"/>
              <w:left w:val="nil"/>
              <w:bottom w:val="single" w:sz="6" w:space="0" w:color="000000"/>
              <w:right w:val="nil"/>
            </w:tcBorders>
          </w:tcPr>
          <w:p w14:paraId="1DE3EF76" w14:textId="77777777" w:rsidR="000A3B2B" w:rsidRDefault="000A3B2B">
            <w:pPr>
              <w:autoSpaceDE w:val="0"/>
              <w:autoSpaceDN w:val="0"/>
              <w:adjustRightInd w:val="0"/>
              <w:spacing w:after="0" w:line="240" w:lineRule="auto"/>
              <w:rPr>
                <w:rFonts w:ascii="Arial" w:hAnsi="Arial" w:cs="Arial"/>
                <w:sz w:val="20"/>
                <w:szCs w:val="20"/>
                <w:lang w:val="x-none"/>
              </w:rPr>
            </w:pPr>
          </w:p>
        </w:tc>
        <w:tc>
          <w:tcPr>
            <w:tcW w:w="196" w:type="dxa"/>
            <w:tcBorders>
              <w:top w:val="nil"/>
              <w:left w:val="nil"/>
              <w:bottom w:val="nil"/>
              <w:right w:val="nil"/>
            </w:tcBorders>
          </w:tcPr>
          <w:p w14:paraId="4C663425" w14:textId="77777777" w:rsidR="000A3B2B" w:rsidRDefault="000A3B2B">
            <w:pPr>
              <w:autoSpaceDE w:val="0"/>
              <w:autoSpaceDN w:val="0"/>
              <w:adjustRightInd w:val="0"/>
              <w:spacing w:after="0" w:line="240" w:lineRule="auto"/>
              <w:rPr>
                <w:rFonts w:ascii="Arial" w:hAnsi="Arial" w:cs="Arial"/>
                <w:sz w:val="20"/>
                <w:szCs w:val="20"/>
                <w:lang w:val="x-none"/>
              </w:rPr>
            </w:pPr>
          </w:p>
        </w:tc>
        <w:tc>
          <w:tcPr>
            <w:tcW w:w="314" w:type="dxa"/>
            <w:tcBorders>
              <w:top w:val="single" w:sz="6" w:space="0" w:color="000000"/>
              <w:left w:val="nil"/>
              <w:bottom w:val="single" w:sz="6" w:space="0" w:color="000000"/>
              <w:right w:val="nil"/>
            </w:tcBorders>
          </w:tcPr>
          <w:p w14:paraId="07EB44B7" w14:textId="77777777" w:rsidR="000A3B2B" w:rsidRDefault="000A3B2B">
            <w:pPr>
              <w:autoSpaceDE w:val="0"/>
              <w:autoSpaceDN w:val="0"/>
              <w:adjustRightInd w:val="0"/>
              <w:spacing w:after="0" w:line="240" w:lineRule="auto"/>
              <w:rPr>
                <w:rFonts w:ascii="Arial" w:hAnsi="Arial" w:cs="Arial"/>
                <w:sz w:val="20"/>
                <w:szCs w:val="20"/>
                <w:lang w:val="x-none"/>
              </w:rPr>
            </w:pPr>
          </w:p>
        </w:tc>
        <w:tc>
          <w:tcPr>
            <w:tcW w:w="196" w:type="dxa"/>
            <w:tcBorders>
              <w:top w:val="nil"/>
              <w:left w:val="nil"/>
              <w:bottom w:val="nil"/>
              <w:right w:val="nil"/>
            </w:tcBorders>
          </w:tcPr>
          <w:p w14:paraId="67B7C8B7" w14:textId="77777777" w:rsidR="000A3B2B" w:rsidRDefault="000A3B2B">
            <w:pPr>
              <w:autoSpaceDE w:val="0"/>
              <w:autoSpaceDN w:val="0"/>
              <w:adjustRightInd w:val="0"/>
              <w:spacing w:after="0" w:line="240" w:lineRule="auto"/>
              <w:rPr>
                <w:rFonts w:ascii="Arial" w:hAnsi="Arial" w:cs="Arial"/>
                <w:sz w:val="20"/>
                <w:szCs w:val="20"/>
                <w:lang w:val="x-none"/>
              </w:rPr>
            </w:pPr>
          </w:p>
        </w:tc>
        <w:tc>
          <w:tcPr>
            <w:tcW w:w="314" w:type="dxa"/>
            <w:tcBorders>
              <w:top w:val="single" w:sz="6" w:space="0" w:color="000000"/>
              <w:left w:val="nil"/>
              <w:bottom w:val="single" w:sz="6" w:space="0" w:color="000000"/>
              <w:right w:val="nil"/>
            </w:tcBorders>
          </w:tcPr>
          <w:p w14:paraId="109C0314" w14:textId="77777777" w:rsidR="000A3B2B" w:rsidRDefault="000A3B2B">
            <w:pPr>
              <w:autoSpaceDE w:val="0"/>
              <w:autoSpaceDN w:val="0"/>
              <w:adjustRightInd w:val="0"/>
              <w:spacing w:after="0" w:line="240" w:lineRule="auto"/>
              <w:rPr>
                <w:rFonts w:ascii="Arial" w:hAnsi="Arial" w:cs="Arial"/>
                <w:sz w:val="20"/>
                <w:szCs w:val="20"/>
                <w:lang w:val="x-none"/>
              </w:rPr>
            </w:pPr>
          </w:p>
        </w:tc>
        <w:tc>
          <w:tcPr>
            <w:tcW w:w="196" w:type="dxa"/>
            <w:tcBorders>
              <w:top w:val="nil"/>
              <w:left w:val="nil"/>
              <w:bottom w:val="nil"/>
              <w:right w:val="nil"/>
            </w:tcBorders>
          </w:tcPr>
          <w:p w14:paraId="4C2ECDA3" w14:textId="77777777" w:rsidR="000A3B2B" w:rsidRDefault="000A3B2B">
            <w:pPr>
              <w:autoSpaceDE w:val="0"/>
              <w:autoSpaceDN w:val="0"/>
              <w:adjustRightInd w:val="0"/>
              <w:spacing w:after="0" w:line="240" w:lineRule="auto"/>
              <w:rPr>
                <w:rFonts w:ascii="Arial" w:hAnsi="Arial" w:cs="Arial"/>
                <w:sz w:val="20"/>
                <w:szCs w:val="20"/>
                <w:lang w:val="x-none"/>
              </w:rPr>
            </w:pPr>
          </w:p>
        </w:tc>
        <w:tc>
          <w:tcPr>
            <w:tcW w:w="314" w:type="dxa"/>
            <w:tcBorders>
              <w:top w:val="single" w:sz="6" w:space="0" w:color="000000"/>
              <w:left w:val="nil"/>
              <w:bottom w:val="single" w:sz="6" w:space="0" w:color="000000"/>
              <w:right w:val="nil"/>
            </w:tcBorders>
          </w:tcPr>
          <w:p w14:paraId="3A93C8F9" w14:textId="77777777" w:rsidR="000A3B2B" w:rsidRDefault="000A3B2B">
            <w:pPr>
              <w:autoSpaceDE w:val="0"/>
              <w:autoSpaceDN w:val="0"/>
              <w:adjustRightInd w:val="0"/>
              <w:spacing w:after="0" w:line="240" w:lineRule="auto"/>
              <w:rPr>
                <w:rFonts w:ascii="Arial" w:hAnsi="Arial" w:cs="Arial"/>
                <w:sz w:val="20"/>
                <w:szCs w:val="20"/>
                <w:lang w:val="x-none"/>
              </w:rPr>
            </w:pPr>
          </w:p>
        </w:tc>
        <w:tc>
          <w:tcPr>
            <w:tcW w:w="196" w:type="dxa"/>
            <w:tcBorders>
              <w:top w:val="nil"/>
              <w:left w:val="nil"/>
              <w:bottom w:val="nil"/>
              <w:right w:val="nil"/>
            </w:tcBorders>
          </w:tcPr>
          <w:p w14:paraId="5291BB5E" w14:textId="77777777" w:rsidR="000A3B2B" w:rsidRDefault="000A3B2B">
            <w:pPr>
              <w:autoSpaceDE w:val="0"/>
              <w:autoSpaceDN w:val="0"/>
              <w:adjustRightInd w:val="0"/>
              <w:spacing w:after="0" w:line="240" w:lineRule="auto"/>
              <w:rPr>
                <w:rFonts w:ascii="Arial" w:hAnsi="Arial" w:cs="Arial"/>
                <w:sz w:val="20"/>
                <w:szCs w:val="20"/>
                <w:lang w:val="x-none"/>
              </w:rPr>
            </w:pPr>
          </w:p>
        </w:tc>
        <w:tc>
          <w:tcPr>
            <w:tcW w:w="314" w:type="dxa"/>
            <w:tcBorders>
              <w:top w:val="single" w:sz="6" w:space="0" w:color="000000"/>
              <w:left w:val="nil"/>
              <w:bottom w:val="single" w:sz="6" w:space="0" w:color="000000"/>
              <w:right w:val="nil"/>
            </w:tcBorders>
          </w:tcPr>
          <w:p w14:paraId="3BCDE6DB" w14:textId="77777777" w:rsidR="000A3B2B" w:rsidRDefault="000A3B2B">
            <w:pPr>
              <w:autoSpaceDE w:val="0"/>
              <w:autoSpaceDN w:val="0"/>
              <w:adjustRightInd w:val="0"/>
              <w:spacing w:after="0" w:line="240" w:lineRule="auto"/>
              <w:rPr>
                <w:rFonts w:ascii="Arial" w:hAnsi="Arial" w:cs="Arial"/>
                <w:sz w:val="20"/>
                <w:szCs w:val="20"/>
                <w:lang w:val="x-none"/>
              </w:rPr>
            </w:pPr>
          </w:p>
        </w:tc>
        <w:tc>
          <w:tcPr>
            <w:tcW w:w="196" w:type="dxa"/>
            <w:tcBorders>
              <w:top w:val="nil"/>
              <w:left w:val="nil"/>
              <w:bottom w:val="nil"/>
              <w:right w:val="nil"/>
            </w:tcBorders>
          </w:tcPr>
          <w:p w14:paraId="651E3400" w14:textId="77777777" w:rsidR="000A3B2B" w:rsidRDefault="000A3B2B">
            <w:pPr>
              <w:autoSpaceDE w:val="0"/>
              <w:autoSpaceDN w:val="0"/>
              <w:adjustRightInd w:val="0"/>
              <w:spacing w:after="0" w:line="240" w:lineRule="auto"/>
              <w:rPr>
                <w:rFonts w:ascii="Arial" w:hAnsi="Arial" w:cs="Arial"/>
                <w:sz w:val="20"/>
                <w:szCs w:val="20"/>
                <w:lang w:val="x-none"/>
              </w:rPr>
            </w:pPr>
          </w:p>
        </w:tc>
        <w:tc>
          <w:tcPr>
            <w:tcW w:w="314" w:type="dxa"/>
            <w:tcBorders>
              <w:top w:val="single" w:sz="6" w:space="0" w:color="000000"/>
              <w:left w:val="nil"/>
              <w:bottom w:val="single" w:sz="6" w:space="0" w:color="000000"/>
              <w:right w:val="nil"/>
            </w:tcBorders>
          </w:tcPr>
          <w:p w14:paraId="52BDD90A" w14:textId="77777777" w:rsidR="000A3B2B" w:rsidRDefault="000A3B2B">
            <w:pPr>
              <w:autoSpaceDE w:val="0"/>
              <w:autoSpaceDN w:val="0"/>
              <w:adjustRightInd w:val="0"/>
              <w:spacing w:after="0" w:line="240" w:lineRule="auto"/>
              <w:rPr>
                <w:rFonts w:ascii="Arial" w:hAnsi="Arial" w:cs="Arial"/>
                <w:sz w:val="20"/>
                <w:szCs w:val="20"/>
                <w:lang w:val="x-none"/>
              </w:rPr>
            </w:pPr>
          </w:p>
        </w:tc>
        <w:tc>
          <w:tcPr>
            <w:tcW w:w="196" w:type="dxa"/>
            <w:tcBorders>
              <w:top w:val="nil"/>
              <w:left w:val="nil"/>
              <w:bottom w:val="nil"/>
              <w:right w:val="nil"/>
            </w:tcBorders>
          </w:tcPr>
          <w:p w14:paraId="583C23D5" w14:textId="77777777" w:rsidR="000A3B2B" w:rsidRDefault="000A3B2B">
            <w:pPr>
              <w:autoSpaceDE w:val="0"/>
              <w:autoSpaceDN w:val="0"/>
              <w:adjustRightInd w:val="0"/>
              <w:spacing w:after="0" w:line="240" w:lineRule="auto"/>
              <w:rPr>
                <w:rFonts w:ascii="Arial" w:hAnsi="Arial" w:cs="Arial"/>
                <w:sz w:val="20"/>
                <w:szCs w:val="20"/>
                <w:lang w:val="x-none"/>
              </w:rPr>
            </w:pPr>
          </w:p>
        </w:tc>
        <w:tc>
          <w:tcPr>
            <w:tcW w:w="314" w:type="dxa"/>
            <w:tcBorders>
              <w:top w:val="single" w:sz="6" w:space="0" w:color="000000"/>
              <w:left w:val="nil"/>
              <w:bottom w:val="single" w:sz="6" w:space="0" w:color="000000"/>
              <w:right w:val="nil"/>
            </w:tcBorders>
          </w:tcPr>
          <w:p w14:paraId="16377BFF" w14:textId="77777777" w:rsidR="000A3B2B" w:rsidRDefault="000A3B2B">
            <w:pPr>
              <w:autoSpaceDE w:val="0"/>
              <w:autoSpaceDN w:val="0"/>
              <w:adjustRightInd w:val="0"/>
              <w:spacing w:after="0" w:line="240" w:lineRule="auto"/>
              <w:rPr>
                <w:rFonts w:ascii="Arial" w:hAnsi="Arial" w:cs="Arial"/>
                <w:sz w:val="20"/>
                <w:szCs w:val="20"/>
                <w:lang w:val="x-none"/>
              </w:rPr>
            </w:pPr>
          </w:p>
        </w:tc>
        <w:tc>
          <w:tcPr>
            <w:tcW w:w="196" w:type="dxa"/>
            <w:tcBorders>
              <w:top w:val="nil"/>
              <w:left w:val="nil"/>
              <w:bottom w:val="nil"/>
              <w:right w:val="nil"/>
            </w:tcBorders>
          </w:tcPr>
          <w:p w14:paraId="699CA267" w14:textId="77777777" w:rsidR="000A3B2B" w:rsidRDefault="000A3B2B">
            <w:pPr>
              <w:autoSpaceDE w:val="0"/>
              <w:autoSpaceDN w:val="0"/>
              <w:adjustRightInd w:val="0"/>
              <w:spacing w:after="0" w:line="240" w:lineRule="auto"/>
              <w:rPr>
                <w:rFonts w:ascii="Arial" w:hAnsi="Arial" w:cs="Arial"/>
                <w:sz w:val="20"/>
                <w:szCs w:val="20"/>
                <w:lang w:val="x-none"/>
              </w:rPr>
            </w:pPr>
          </w:p>
        </w:tc>
        <w:tc>
          <w:tcPr>
            <w:tcW w:w="314" w:type="dxa"/>
            <w:tcBorders>
              <w:top w:val="single" w:sz="6" w:space="0" w:color="000000"/>
              <w:left w:val="nil"/>
              <w:bottom w:val="single" w:sz="6" w:space="0" w:color="000000"/>
              <w:right w:val="nil"/>
            </w:tcBorders>
          </w:tcPr>
          <w:p w14:paraId="390F2F2C" w14:textId="77777777" w:rsidR="000A3B2B" w:rsidRDefault="000A3B2B">
            <w:pPr>
              <w:autoSpaceDE w:val="0"/>
              <w:autoSpaceDN w:val="0"/>
              <w:adjustRightInd w:val="0"/>
              <w:spacing w:after="0" w:line="240" w:lineRule="auto"/>
              <w:rPr>
                <w:rFonts w:ascii="Arial" w:hAnsi="Arial" w:cs="Arial"/>
                <w:sz w:val="20"/>
                <w:szCs w:val="20"/>
                <w:lang w:val="x-none"/>
              </w:rPr>
            </w:pPr>
          </w:p>
        </w:tc>
        <w:tc>
          <w:tcPr>
            <w:tcW w:w="390" w:type="dxa"/>
            <w:tcBorders>
              <w:top w:val="nil"/>
              <w:left w:val="nil"/>
              <w:bottom w:val="nil"/>
              <w:right w:val="nil"/>
            </w:tcBorders>
            <w:vAlign w:val="center"/>
          </w:tcPr>
          <w:p w14:paraId="16917817" w14:textId="77777777" w:rsidR="000A3B2B" w:rsidRDefault="000A3B2B">
            <w:pPr>
              <w:autoSpaceDE w:val="0"/>
              <w:autoSpaceDN w:val="0"/>
              <w:adjustRightInd w:val="0"/>
              <w:spacing w:after="0" w:line="240" w:lineRule="auto"/>
              <w:rPr>
                <w:rFonts w:ascii="Arial" w:hAnsi="Arial" w:cs="Arial"/>
                <w:sz w:val="20"/>
                <w:szCs w:val="20"/>
                <w:lang w:val="x-none"/>
              </w:rPr>
            </w:pPr>
          </w:p>
        </w:tc>
        <w:tc>
          <w:tcPr>
            <w:tcW w:w="316" w:type="dxa"/>
            <w:tcBorders>
              <w:top w:val="single" w:sz="6" w:space="0" w:color="000000"/>
              <w:left w:val="nil"/>
              <w:bottom w:val="single" w:sz="6" w:space="0" w:color="000000"/>
              <w:right w:val="nil"/>
            </w:tcBorders>
          </w:tcPr>
          <w:p w14:paraId="65B8BA4F" w14:textId="77777777" w:rsidR="000A3B2B" w:rsidRDefault="000A3B2B">
            <w:pPr>
              <w:autoSpaceDE w:val="0"/>
              <w:autoSpaceDN w:val="0"/>
              <w:adjustRightInd w:val="0"/>
              <w:spacing w:after="0" w:line="240" w:lineRule="auto"/>
              <w:rPr>
                <w:rFonts w:ascii="Arial" w:hAnsi="Arial" w:cs="Arial"/>
                <w:sz w:val="20"/>
                <w:szCs w:val="20"/>
                <w:lang w:val="x-none"/>
              </w:rPr>
            </w:pPr>
          </w:p>
        </w:tc>
        <w:tc>
          <w:tcPr>
            <w:tcW w:w="194" w:type="dxa"/>
            <w:tcBorders>
              <w:top w:val="nil"/>
              <w:left w:val="nil"/>
              <w:bottom w:val="nil"/>
              <w:right w:val="nil"/>
            </w:tcBorders>
          </w:tcPr>
          <w:p w14:paraId="7AD04C20" w14:textId="77777777" w:rsidR="000A3B2B" w:rsidRDefault="000A3B2B">
            <w:pPr>
              <w:autoSpaceDE w:val="0"/>
              <w:autoSpaceDN w:val="0"/>
              <w:adjustRightInd w:val="0"/>
              <w:spacing w:after="0" w:line="240" w:lineRule="auto"/>
              <w:rPr>
                <w:rFonts w:ascii="Arial" w:hAnsi="Arial" w:cs="Arial"/>
                <w:sz w:val="20"/>
                <w:szCs w:val="20"/>
                <w:lang w:val="x-none"/>
              </w:rPr>
            </w:pPr>
          </w:p>
        </w:tc>
        <w:tc>
          <w:tcPr>
            <w:tcW w:w="4500" w:type="dxa"/>
            <w:tcBorders>
              <w:top w:val="single" w:sz="6" w:space="0" w:color="000000"/>
              <w:left w:val="nil"/>
              <w:bottom w:val="nil"/>
              <w:right w:val="nil"/>
            </w:tcBorders>
          </w:tcPr>
          <w:p w14:paraId="24056941" w14:textId="77777777" w:rsidR="000A3B2B" w:rsidRDefault="000A3B2B">
            <w:pPr>
              <w:autoSpaceDE w:val="0"/>
              <w:autoSpaceDN w:val="0"/>
              <w:adjustRightInd w:val="0"/>
              <w:spacing w:after="0" w:line="240" w:lineRule="auto"/>
              <w:rPr>
                <w:rFonts w:ascii="Arial" w:hAnsi="Arial" w:cs="Arial"/>
                <w:sz w:val="20"/>
                <w:szCs w:val="20"/>
                <w:lang w:val="x-none"/>
              </w:rPr>
            </w:pPr>
          </w:p>
        </w:tc>
      </w:tr>
      <w:tr w:rsidR="000A3B2B" w14:paraId="596D883E" w14:textId="77777777">
        <w:trPr>
          <w:trHeight w:val="60"/>
          <w:tblCellSpacing w:w="0" w:type="dxa"/>
        </w:trPr>
        <w:tc>
          <w:tcPr>
            <w:tcW w:w="292" w:type="dxa"/>
            <w:tcBorders>
              <w:top w:val="single" w:sz="6" w:space="0" w:color="000000"/>
              <w:left w:val="single" w:sz="6" w:space="0" w:color="000000"/>
              <w:bottom w:val="single" w:sz="6" w:space="0" w:color="000000"/>
              <w:right w:val="single" w:sz="6" w:space="0" w:color="000000"/>
            </w:tcBorders>
          </w:tcPr>
          <w:p w14:paraId="662631FD" w14:textId="77777777" w:rsidR="000A3B2B" w:rsidRDefault="000A3B2B">
            <w:pPr>
              <w:autoSpaceDE w:val="0"/>
              <w:autoSpaceDN w:val="0"/>
              <w:adjustRightInd w:val="0"/>
              <w:spacing w:after="0" w:line="240" w:lineRule="auto"/>
              <w:rPr>
                <w:rFonts w:ascii="Arial" w:hAnsi="Arial" w:cs="Arial"/>
                <w:sz w:val="24"/>
                <w:szCs w:val="24"/>
                <w:lang w:val="x-none"/>
              </w:rPr>
            </w:pPr>
            <w:r>
              <w:rPr>
                <w:rFonts w:ascii="Arial" w:hAnsi="Arial" w:cs="Arial"/>
                <w:sz w:val="24"/>
                <w:szCs w:val="24"/>
                <w:lang w:val="x-none"/>
              </w:rPr>
              <w:t>4</w:t>
            </w:r>
          </w:p>
        </w:tc>
        <w:tc>
          <w:tcPr>
            <w:tcW w:w="196" w:type="dxa"/>
            <w:tcBorders>
              <w:top w:val="nil"/>
              <w:left w:val="single" w:sz="6" w:space="0" w:color="000000"/>
              <w:bottom w:val="nil"/>
              <w:right w:val="single" w:sz="6" w:space="0" w:color="000000"/>
            </w:tcBorders>
          </w:tcPr>
          <w:p w14:paraId="6258AA86"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314" w:type="dxa"/>
            <w:tcBorders>
              <w:top w:val="single" w:sz="6" w:space="0" w:color="000000"/>
              <w:left w:val="single" w:sz="6" w:space="0" w:color="000000"/>
              <w:bottom w:val="single" w:sz="6" w:space="0" w:color="000000"/>
              <w:right w:val="single" w:sz="6" w:space="0" w:color="000000"/>
            </w:tcBorders>
          </w:tcPr>
          <w:p w14:paraId="7E92BAEE" w14:textId="77777777" w:rsidR="000A3B2B" w:rsidRDefault="000A3B2B">
            <w:pPr>
              <w:autoSpaceDE w:val="0"/>
              <w:autoSpaceDN w:val="0"/>
              <w:adjustRightInd w:val="0"/>
              <w:spacing w:after="0" w:line="240" w:lineRule="auto"/>
              <w:rPr>
                <w:rFonts w:ascii="Arial" w:hAnsi="Arial" w:cs="Arial"/>
                <w:sz w:val="24"/>
                <w:szCs w:val="24"/>
                <w:lang w:val="x-none"/>
              </w:rPr>
            </w:pPr>
            <w:r>
              <w:rPr>
                <w:rFonts w:ascii="Arial" w:hAnsi="Arial" w:cs="Arial"/>
                <w:sz w:val="24"/>
                <w:szCs w:val="24"/>
                <w:lang w:val="x-none"/>
              </w:rPr>
              <w:t>5</w:t>
            </w:r>
          </w:p>
        </w:tc>
        <w:tc>
          <w:tcPr>
            <w:tcW w:w="196" w:type="dxa"/>
            <w:tcBorders>
              <w:top w:val="nil"/>
              <w:left w:val="single" w:sz="6" w:space="0" w:color="000000"/>
              <w:bottom w:val="nil"/>
              <w:right w:val="single" w:sz="6" w:space="0" w:color="000000"/>
            </w:tcBorders>
          </w:tcPr>
          <w:p w14:paraId="5E1A3E03"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314" w:type="dxa"/>
            <w:tcBorders>
              <w:top w:val="single" w:sz="6" w:space="0" w:color="000000"/>
              <w:left w:val="single" w:sz="6" w:space="0" w:color="000000"/>
              <w:bottom w:val="single" w:sz="6" w:space="0" w:color="000000"/>
              <w:right w:val="single" w:sz="6" w:space="0" w:color="000000"/>
            </w:tcBorders>
          </w:tcPr>
          <w:p w14:paraId="2FC9D52E" w14:textId="77777777" w:rsidR="000A3B2B" w:rsidRDefault="000A3B2B">
            <w:pPr>
              <w:autoSpaceDE w:val="0"/>
              <w:autoSpaceDN w:val="0"/>
              <w:adjustRightInd w:val="0"/>
              <w:spacing w:after="0" w:line="240" w:lineRule="auto"/>
              <w:rPr>
                <w:rFonts w:ascii="Arial" w:hAnsi="Arial" w:cs="Arial"/>
                <w:sz w:val="24"/>
                <w:szCs w:val="24"/>
                <w:lang w:val="x-none"/>
              </w:rPr>
            </w:pPr>
            <w:r>
              <w:rPr>
                <w:rFonts w:ascii="Arial" w:hAnsi="Arial" w:cs="Arial"/>
                <w:sz w:val="24"/>
                <w:szCs w:val="24"/>
                <w:lang w:val="x-none"/>
              </w:rPr>
              <w:t>3</w:t>
            </w:r>
          </w:p>
        </w:tc>
        <w:tc>
          <w:tcPr>
            <w:tcW w:w="196" w:type="dxa"/>
            <w:tcBorders>
              <w:top w:val="nil"/>
              <w:left w:val="single" w:sz="6" w:space="0" w:color="000000"/>
              <w:bottom w:val="nil"/>
              <w:right w:val="single" w:sz="6" w:space="0" w:color="000000"/>
            </w:tcBorders>
          </w:tcPr>
          <w:p w14:paraId="6D040240"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314" w:type="dxa"/>
            <w:tcBorders>
              <w:top w:val="single" w:sz="6" w:space="0" w:color="000000"/>
              <w:left w:val="single" w:sz="6" w:space="0" w:color="000000"/>
              <w:bottom w:val="single" w:sz="6" w:space="0" w:color="000000"/>
              <w:right w:val="single" w:sz="6" w:space="0" w:color="000000"/>
            </w:tcBorders>
          </w:tcPr>
          <w:p w14:paraId="4DD74876" w14:textId="77777777" w:rsidR="000A3B2B" w:rsidRDefault="000A3B2B">
            <w:pPr>
              <w:autoSpaceDE w:val="0"/>
              <w:autoSpaceDN w:val="0"/>
              <w:adjustRightInd w:val="0"/>
              <w:spacing w:after="0" w:line="240" w:lineRule="auto"/>
              <w:rPr>
                <w:rFonts w:ascii="Arial" w:hAnsi="Arial" w:cs="Arial"/>
                <w:sz w:val="24"/>
                <w:szCs w:val="24"/>
                <w:lang w:val="x-none"/>
              </w:rPr>
            </w:pPr>
            <w:r>
              <w:rPr>
                <w:rFonts w:ascii="Arial" w:hAnsi="Arial" w:cs="Arial"/>
                <w:sz w:val="24"/>
                <w:szCs w:val="24"/>
                <w:lang w:val="x-none"/>
              </w:rPr>
              <w:t>3</w:t>
            </w:r>
          </w:p>
        </w:tc>
        <w:tc>
          <w:tcPr>
            <w:tcW w:w="196" w:type="dxa"/>
            <w:tcBorders>
              <w:top w:val="nil"/>
              <w:left w:val="single" w:sz="6" w:space="0" w:color="000000"/>
              <w:bottom w:val="nil"/>
              <w:right w:val="single" w:sz="6" w:space="0" w:color="000000"/>
            </w:tcBorders>
          </w:tcPr>
          <w:p w14:paraId="5703B068"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314" w:type="dxa"/>
            <w:tcBorders>
              <w:top w:val="single" w:sz="6" w:space="0" w:color="000000"/>
              <w:left w:val="single" w:sz="6" w:space="0" w:color="000000"/>
              <w:bottom w:val="single" w:sz="6" w:space="0" w:color="000000"/>
              <w:right w:val="single" w:sz="6" w:space="0" w:color="000000"/>
            </w:tcBorders>
          </w:tcPr>
          <w:p w14:paraId="439361F1" w14:textId="77777777" w:rsidR="000A3B2B" w:rsidRPr="00832F5C" w:rsidRDefault="000A3B2B">
            <w:pPr>
              <w:autoSpaceDE w:val="0"/>
              <w:autoSpaceDN w:val="0"/>
              <w:adjustRightInd w:val="0"/>
              <w:spacing w:after="0" w:line="240" w:lineRule="auto"/>
              <w:rPr>
                <w:rFonts w:ascii="Arial" w:hAnsi="Arial" w:cs="Arial"/>
                <w:sz w:val="24"/>
                <w:szCs w:val="24"/>
              </w:rPr>
            </w:pPr>
            <w:r>
              <w:rPr>
                <w:rFonts w:ascii="Arial" w:hAnsi="Arial" w:cs="Arial"/>
                <w:sz w:val="24"/>
                <w:szCs w:val="24"/>
              </w:rPr>
              <w:t>1</w:t>
            </w:r>
          </w:p>
        </w:tc>
        <w:tc>
          <w:tcPr>
            <w:tcW w:w="196" w:type="dxa"/>
            <w:tcBorders>
              <w:top w:val="nil"/>
              <w:left w:val="single" w:sz="6" w:space="0" w:color="000000"/>
              <w:bottom w:val="nil"/>
              <w:right w:val="single" w:sz="6" w:space="0" w:color="000000"/>
            </w:tcBorders>
          </w:tcPr>
          <w:p w14:paraId="0821446E"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314" w:type="dxa"/>
            <w:tcBorders>
              <w:top w:val="single" w:sz="6" w:space="0" w:color="000000"/>
              <w:left w:val="single" w:sz="6" w:space="0" w:color="000000"/>
              <w:bottom w:val="single" w:sz="6" w:space="0" w:color="000000"/>
              <w:right w:val="single" w:sz="6" w:space="0" w:color="000000"/>
            </w:tcBorders>
          </w:tcPr>
          <w:p w14:paraId="7F4AD652" w14:textId="77777777" w:rsidR="000A3B2B" w:rsidRPr="00832F5C" w:rsidRDefault="000A3B2B">
            <w:pPr>
              <w:autoSpaceDE w:val="0"/>
              <w:autoSpaceDN w:val="0"/>
              <w:adjustRightInd w:val="0"/>
              <w:spacing w:after="0" w:line="240" w:lineRule="auto"/>
              <w:rPr>
                <w:rFonts w:ascii="Arial" w:hAnsi="Arial" w:cs="Arial"/>
                <w:sz w:val="24"/>
                <w:szCs w:val="24"/>
              </w:rPr>
            </w:pPr>
            <w:r>
              <w:rPr>
                <w:rFonts w:ascii="Arial" w:hAnsi="Arial" w:cs="Arial"/>
                <w:sz w:val="24"/>
                <w:szCs w:val="24"/>
              </w:rPr>
              <w:t>1</w:t>
            </w:r>
          </w:p>
        </w:tc>
        <w:tc>
          <w:tcPr>
            <w:tcW w:w="196" w:type="dxa"/>
            <w:tcBorders>
              <w:top w:val="nil"/>
              <w:left w:val="single" w:sz="6" w:space="0" w:color="000000"/>
              <w:bottom w:val="nil"/>
              <w:right w:val="single" w:sz="6" w:space="0" w:color="000000"/>
            </w:tcBorders>
          </w:tcPr>
          <w:p w14:paraId="750D07FD"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314" w:type="dxa"/>
            <w:tcBorders>
              <w:top w:val="single" w:sz="6" w:space="0" w:color="000000"/>
              <w:left w:val="single" w:sz="6" w:space="0" w:color="000000"/>
              <w:bottom w:val="single" w:sz="6" w:space="0" w:color="000000"/>
              <w:right w:val="single" w:sz="6" w:space="0" w:color="000000"/>
            </w:tcBorders>
          </w:tcPr>
          <w:p w14:paraId="0FF86D06" w14:textId="77777777" w:rsidR="000A3B2B" w:rsidRDefault="000A3B2B">
            <w:pPr>
              <w:autoSpaceDE w:val="0"/>
              <w:autoSpaceDN w:val="0"/>
              <w:adjustRightInd w:val="0"/>
              <w:spacing w:after="0" w:line="240" w:lineRule="auto"/>
              <w:rPr>
                <w:rFonts w:ascii="Arial" w:hAnsi="Arial" w:cs="Arial"/>
                <w:sz w:val="24"/>
                <w:szCs w:val="24"/>
                <w:lang w:val="x-none"/>
              </w:rPr>
            </w:pPr>
            <w:r>
              <w:rPr>
                <w:rFonts w:ascii="Arial" w:hAnsi="Arial" w:cs="Arial"/>
                <w:sz w:val="24"/>
                <w:szCs w:val="24"/>
                <w:lang w:val="x-none"/>
              </w:rPr>
              <w:t>0</w:t>
            </w:r>
          </w:p>
        </w:tc>
        <w:tc>
          <w:tcPr>
            <w:tcW w:w="196" w:type="dxa"/>
            <w:tcBorders>
              <w:top w:val="nil"/>
              <w:left w:val="single" w:sz="6" w:space="0" w:color="000000"/>
              <w:bottom w:val="nil"/>
              <w:right w:val="single" w:sz="6" w:space="0" w:color="000000"/>
            </w:tcBorders>
          </w:tcPr>
          <w:p w14:paraId="487B3940"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314" w:type="dxa"/>
            <w:tcBorders>
              <w:top w:val="single" w:sz="6" w:space="0" w:color="000000"/>
              <w:left w:val="single" w:sz="6" w:space="0" w:color="000000"/>
              <w:bottom w:val="single" w:sz="6" w:space="0" w:color="000000"/>
              <w:right w:val="single" w:sz="6" w:space="0" w:color="000000"/>
            </w:tcBorders>
          </w:tcPr>
          <w:p w14:paraId="3A501D53" w14:textId="77777777" w:rsidR="000A3B2B" w:rsidRDefault="000A3B2B">
            <w:pPr>
              <w:autoSpaceDE w:val="0"/>
              <w:autoSpaceDN w:val="0"/>
              <w:adjustRightInd w:val="0"/>
              <w:spacing w:after="0" w:line="240" w:lineRule="auto"/>
              <w:rPr>
                <w:rFonts w:ascii="Arial" w:hAnsi="Arial" w:cs="Arial"/>
                <w:sz w:val="24"/>
                <w:szCs w:val="24"/>
                <w:lang w:val="x-none"/>
              </w:rPr>
            </w:pPr>
            <w:r>
              <w:rPr>
                <w:rFonts w:ascii="Arial" w:hAnsi="Arial" w:cs="Arial"/>
                <w:sz w:val="24"/>
                <w:szCs w:val="24"/>
                <w:lang w:val="x-none"/>
              </w:rPr>
              <w:t>0</w:t>
            </w:r>
          </w:p>
        </w:tc>
        <w:tc>
          <w:tcPr>
            <w:tcW w:w="390" w:type="dxa"/>
            <w:tcBorders>
              <w:top w:val="nil"/>
              <w:left w:val="single" w:sz="6" w:space="0" w:color="000000"/>
              <w:bottom w:val="nil"/>
              <w:right w:val="single" w:sz="6" w:space="0" w:color="000000"/>
            </w:tcBorders>
            <w:vAlign w:val="center"/>
          </w:tcPr>
          <w:p w14:paraId="2E81C129" w14:textId="77777777" w:rsidR="000A3B2B" w:rsidRDefault="000A3B2B">
            <w:pPr>
              <w:tabs>
                <w:tab w:val="right" w:pos="7035"/>
              </w:tabs>
              <w:autoSpaceDE w:val="0"/>
              <w:autoSpaceDN w:val="0"/>
              <w:adjustRightInd w:val="0"/>
              <w:spacing w:after="0" w:line="288" w:lineRule="auto"/>
              <w:jc w:val="center"/>
              <w:rPr>
                <w:rFonts w:ascii="Times New Roman" w:hAnsi="Times New Roman" w:cs="Times New Roman"/>
                <w:color w:val="000000"/>
                <w:sz w:val="24"/>
                <w:szCs w:val="24"/>
                <w:lang w:val="x-none"/>
              </w:rPr>
            </w:pPr>
            <w:r>
              <w:rPr>
                <w:rFonts w:ascii="Times New Roman" w:hAnsi="Times New Roman" w:cs="Times New Roman"/>
                <w:color w:val="000000"/>
                <w:sz w:val="24"/>
                <w:szCs w:val="24"/>
                <w:lang w:val="x-none"/>
              </w:rPr>
              <w:t>–</w:t>
            </w:r>
          </w:p>
        </w:tc>
        <w:tc>
          <w:tcPr>
            <w:tcW w:w="316" w:type="dxa"/>
            <w:tcBorders>
              <w:top w:val="single" w:sz="6" w:space="0" w:color="000000"/>
              <w:left w:val="single" w:sz="6" w:space="0" w:color="000000"/>
              <w:bottom w:val="single" w:sz="6" w:space="0" w:color="000000"/>
              <w:right w:val="single" w:sz="6" w:space="0" w:color="000000"/>
            </w:tcBorders>
          </w:tcPr>
          <w:p w14:paraId="42DC0ABA" w14:textId="77777777" w:rsidR="000A3B2B" w:rsidRPr="00832F5C" w:rsidRDefault="000A3B2B">
            <w:pPr>
              <w:autoSpaceDE w:val="0"/>
              <w:autoSpaceDN w:val="0"/>
              <w:adjustRightInd w:val="0"/>
              <w:spacing w:after="0" w:line="240" w:lineRule="auto"/>
              <w:rPr>
                <w:rFonts w:ascii="Arial" w:hAnsi="Arial" w:cs="Arial"/>
                <w:sz w:val="24"/>
                <w:szCs w:val="24"/>
              </w:rPr>
            </w:pPr>
            <w:r>
              <w:rPr>
                <w:rFonts w:ascii="Arial" w:hAnsi="Arial" w:cs="Arial"/>
                <w:sz w:val="24"/>
                <w:szCs w:val="24"/>
              </w:rPr>
              <w:t>7</w:t>
            </w:r>
          </w:p>
        </w:tc>
        <w:tc>
          <w:tcPr>
            <w:tcW w:w="194" w:type="dxa"/>
            <w:tcBorders>
              <w:top w:val="nil"/>
              <w:left w:val="single" w:sz="6" w:space="0" w:color="000000"/>
              <w:bottom w:val="nil"/>
              <w:right w:val="nil"/>
            </w:tcBorders>
          </w:tcPr>
          <w:p w14:paraId="0E944A54"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4500" w:type="dxa"/>
            <w:tcBorders>
              <w:top w:val="nil"/>
              <w:left w:val="nil"/>
              <w:bottom w:val="single" w:sz="6" w:space="0" w:color="auto"/>
              <w:right w:val="nil"/>
            </w:tcBorders>
          </w:tcPr>
          <w:p w14:paraId="69F43A4D" w14:textId="77777777" w:rsidR="000A3B2B" w:rsidRPr="00832F5C" w:rsidRDefault="000A3B2B">
            <w:pPr>
              <w:autoSpaceDE w:val="0"/>
              <w:autoSpaceDN w:val="0"/>
              <w:adjustRightInd w:val="0"/>
              <w:spacing w:after="0" w:line="240" w:lineRule="auto"/>
              <w:rPr>
                <w:rFonts w:ascii="Arial" w:hAnsi="Arial" w:cs="Arial"/>
                <w:sz w:val="24"/>
                <w:szCs w:val="24"/>
              </w:rPr>
            </w:pPr>
            <w:r>
              <w:rPr>
                <w:rFonts w:ascii="Arial" w:hAnsi="Arial" w:cs="Arial"/>
                <w:sz w:val="24"/>
                <w:szCs w:val="24"/>
              </w:rPr>
              <w:t>Instalowanie centralnego ogrzewania</w:t>
            </w:r>
          </w:p>
        </w:tc>
      </w:tr>
      <w:tr w:rsidR="000A3B2B" w14:paraId="446DFF5F" w14:textId="77777777">
        <w:trPr>
          <w:trHeight w:val="60"/>
          <w:tblCellSpacing w:w="0" w:type="dxa"/>
        </w:trPr>
        <w:tc>
          <w:tcPr>
            <w:tcW w:w="292" w:type="dxa"/>
            <w:tcBorders>
              <w:top w:val="single" w:sz="6" w:space="0" w:color="000000"/>
              <w:left w:val="nil"/>
              <w:bottom w:val="single" w:sz="6" w:space="0" w:color="000000"/>
              <w:right w:val="nil"/>
            </w:tcBorders>
          </w:tcPr>
          <w:p w14:paraId="5A109E6B" w14:textId="77777777" w:rsidR="000A3B2B" w:rsidRDefault="000A3B2B">
            <w:pPr>
              <w:autoSpaceDE w:val="0"/>
              <w:autoSpaceDN w:val="0"/>
              <w:adjustRightInd w:val="0"/>
              <w:spacing w:after="0" w:line="240" w:lineRule="auto"/>
              <w:rPr>
                <w:rFonts w:ascii="Arial" w:hAnsi="Arial" w:cs="Arial"/>
                <w:sz w:val="20"/>
                <w:szCs w:val="20"/>
                <w:lang w:val="x-none"/>
              </w:rPr>
            </w:pPr>
          </w:p>
        </w:tc>
        <w:tc>
          <w:tcPr>
            <w:tcW w:w="196" w:type="dxa"/>
            <w:tcBorders>
              <w:top w:val="nil"/>
              <w:left w:val="nil"/>
              <w:bottom w:val="nil"/>
              <w:right w:val="nil"/>
            </w:tcBorders>
          </w:tcPr>
          <w:p w14:paraId="4A9A5E4A" w14:textId="77777777" w:rsidR="000A3B2B" w:rsidRDefault="000A3B2B">
            <w:pPr>
              <w:autoSpaceDE w:val="0"/>
              <w:autoSpaceDN w:val="0"/>
              <w:adjustRightInd w:val="0"/>
              <w:spacing w:after="0" w:line="240" w:lineRule="auto"/>
              <w:rPr>
                <w:rFonts w:ascii="Arial" w:hAnsi="Arial" w:cs="Arial"/>
                <w:sz w:val="20"/>
                <w:szCs w:val="20"/>
                <w:lang w:val="x-none"/>
              </w:rPr>
            </w:pPr>
          </w:p>
        </w:tc>
        <w:tc>
          <w:tcPr>
            <w:tcW w:w="314" w:type="dxa"/>
            <w:tcBorders>
              <w:top w:val="single" w:sz="6" w:space="0" w:color="000000"/>
              <w:left w:val="nil"/>
              <w:bottom w:val="single" w:sz="6" w:space="0" w:color="000000"/>
              <w:right w:val="nil"/>
            </w:tcBorders>
          </w:tcPr>
          <w:p w14:paraId="1F201A8C" w14:textId="77777777" w:rsidR="000A3B2B" w:rsidRDefault="000A3B2B">
            <w:pPr>
              <w:autoSpaceDE w:val="0"/>
              <w:autoSpaceDN w:val="0"/>
              <w:adjustRightInd w:val="0"/>
              <w:spacing w:after="0" w:line="240" w:lineRule="auto"/>
              <w:rPr>
                <w:rFonts w:ascii="Arial" w:hAnsi="Arial" w:cs="Arial"/>
                <w:sz w:val="20"/>
                <w:szCs w:val="20"/>
                <w:lang w:val="x-none"/>
              </w:rPr>
            </w:pPr>
          </w:p>
        </w:tc>
        <w:tc>
          <w:tcPr>
            <w:tcW w:w="196" w:type="dxa"/>
            <w:tcBorders>
              <w:top w:val="nil"/>
              <w:left w:val="nil"/>
              <w:bottom w:val="nil"/>
              <w:right w:val="nil"/>
            </w:tcBorders>
          </w:tcPr>
          <w:p w14:paraId="2DA72249" w14:textId="77777777" w:rsidR="000A3B2B" w:rsidRDefault="000A3B2B">
            <w:pPr>
              <w:autoSpaceDE w:val="0"/>
              <w:autoSpaceDN w:val="0"/>
              <w:adjustRightInd w:val="0"/>
              <w:spacing w:after="0" w:line="240" w:lineRule="auto"/>
              <w:rPr>
                <w:rFonts w:ascii="Arial" w:hAnsi="Arial" w:cs="Arial"/>
                <w:sz w:val="20"/>
                <w:szCs w:val="20"/>
                <w:lang w:val="x-none"/>
              </w:rPr>
            </w:pPr>
          </w:p>
        </w:tc>
        <w:tc>
          <w:tcPr>
            <w:tcW w:w="314" w:type="dxa"/>
            <w:tcBorders>
              <w:top w:val="single" w:sz="6" w:space="0" w:color="000000"/>
              <w:left w:val="nil"/>
              <w:bottom w:val="single" w:sz="6" w:space="0" w:color="000000"/>
              <w:right w:val="nil"/>
            </w:tcBorders>
          </w:tcPr>
          <w:p w14:paraId="7FDB118C" w14:textId="77777777" w:rsidR="000A3B2B" w:rsidRDefault="000A3B2B">
            <w:pPr>
              <w:autoSpaceDE w:val="0"/>
              <w:autoSpaceDN w:val="0"/>
              <w:adjustRightInd w:val="0"/>
              <w:spacing w:after="0" w:line="240" w:lineRule="auto"/>
              <w:rPr>
                <w:rFonts w:ascii="Arial" w:hAnsi="Arial" w:cs="Arial"/>
                <w:sz w:val="20"/>
                <w:szCs w:val="20"/>
                <w:lang w:val="x-none"/>
              </w:rPr>
            </w:pPr>
          </w:p>
        </w:tc>
        <w:tc>
          <w:tcPr>
            <w:tcW w:w="196" w:type="dxa"/>
            <w:tcBorders>
              <w:top w:val="nil"/>
              <w:left w:val="nil"/>
              <w:bottom w:val="nil"/>
              <w:right w:val="nil"/>
            </w:tcBorders>
          </w:tcPr>
          <w:p w14:paraId="123D2F8F" w14:textId="77777777" w:rsidR="000A3B2B" w:rsidRDefault="000A3B2B">
            <w:pPr>
              <w:autoSpaceDE w:val="0"/>
              <w:autoSpaceDN w:val="0"/>
              <w:adjustRightInd w:val="0"/>
              <w:spacing w:after="0" w:line="240" w:lineRule="auto"/>
              <w:rPr>
                <w:rFonts w:ascii="Arial" w:hAnsi="Arial" w:cs="Arial"/>
                <w:sz w:val="20"/>
                <w:szCs w:val="20"/>
                <w:lang w:val="x-none"/>
              </w:rPr>
            </w:pPr>
          </w:p>
        </w:tc>
        <w:tc>
          <w:tcPr>
            <w:tcW w:w="314" w:type="dxa"/>
            <w:tcBorders>
              <w:top w:val="single" w:sz="6" w:space="0" w:color="000000"/>
              <w:left w:val="nil"/>
              <w:bottom w:val="single" w:sz="6" w:space="0" w:color="000000"/>
              <w:right w:val="nil"/>
            </w:tcBorders>
          </w:tcPr>
          <w:p w14:paraId="505632A0" w14:textId="77777777" w:rsidR="000A3B2B" w:rsidRDefault="000A3B2B">
            <w:pPr>
              <w:autoSpaceDE w:val="0"/>
              <w:autoSpaceDN w:val="0"/>
              <w:adjustRightInd w:val="0"/>
              <w:spacing w:after="0" w:line="240" w:lineRule="auto"/>
              <w:rPr>
                <w:rFonts w:ascii="Arial" w:hAnsi="Arial" w:cs="Arial"/>
                <w:sz w:val="20"/>
                <w:szCs w:val="20"/>
                <w:lang w:val="x-none"/>
              </w:rPr>
            </w:pPr>
          </w:p>
        </w:tc>
        <w:tc>
          <w:tcPr>
            <w:tcW w:w="196" w:type="dxa"/>
            <w:tcBorders>
              <w:top w:val="nil"/>
              <w:left w:val="nil"/>
              <w:bottom w:val="nil"/>
              <w:right w:val="nil"/>
            </w:tcBorders>
          </w:tcPr>
          <w:p w14:paraId="15E10E60" w14:textId="77777777" w:rsidR="000A3B2B" w:rsidRDefault="000A3B2B">
            <w:pPr>
              <w:autoSpaceDE w:val="0"/>
              <w:autoSpaceDN w:val="0"/>
              <w:adjustRightInd w:val="0"/>
              <w:spacing w:after="0" w:line="240" w:lineRule="auto"/>
              <w:rPr>
                <w:rFonts w:ascii="Arial" w:hAnsi="Arial" w:cs="Arial"/>
                <w:sz w:val="20"/>
                <w:szCs w:val="20"/>
                <w:lang w:val="x-none"/>
              </w:rPr>
            </w:pPr>
          </w:p>
        </w:tc>
        <w:tc>
          <w:tcPr>
            <w:tcW w:w="314" w:type="dxa"/>
            <w:tcBorders>
              <w:top w:val="single" w:sz="6" w:space="0" w:color="000000"/>
              <w:left w:val="nil"/>
              <w:bottom w:val="single" w:sz="6" w:space="0" w:color="000000"/>
              <w:right w:val="nil"/>
            </w:tcBorders>
          </w:tcPr>
          <w:p w14:paraId="75F14214" w14:textId="77777777" w:rsidR="000A3B2B" w:rsidRDefault="000A3B2B">
            <w:pPr>
              <w:autoSpaceDE w:val="0"/>
              <w:autoSpaceDN w:val="0"/>
              <w:adjustRightInd w:val="0"/>
              <w:spacing w:after="0" w:line="240" w:lineRule="auto"/>
              <w:rPr>
                <w:rFonts w:ascii="Arial" w:hAnsi="Arial" w:cs="Arial"/>
                <w:sz w:val="20"/>
                <w:szCs w:val="20"/>
                <w:lang w:val="x-none"/>
              </w:rPr>
            </w:pPr>
          </w:p>
        </w:tc>
        <w:tc>
          <w:tcPr>
            <w:tcW w:w="196" w:type="dxa"/>
            <w:tcBorders>
              <w:top w:val="nil"/>
              <w:left w:val="nil"/>
              <w:bottom w:val="nil"/>
              <w:right w:val="nil"/>
            </w:tcBorders>
          </w:tcPr>
          <w:p w14:paraId="4380E4DD" w14:textId="77777777" w:rsidR="000A3B2B" w:rsidRDefault="000A3B2B">
            <w:pPr>
              <w:autoSpaceDE w:val="0"/>
              <w:autoSpaceDN w:val="0"/>
              <w:adjustRightInd w:val="0"/>
              <w:spacing w:after="0" w:line="240" w:lineRule="auto"/>
              <w:rPr>
                <w:rFonts w:ascii="Arial" w:hAnsi="Arial" w:cs="Arial"/>
                <w:sz w:val="20"/>
                <w:szCs w:val="20"/>
                <w:lang w:val="x-none"/>
              </w:rPr>
            </w:pPr>
          </w:p>
        </w:tc>
        <w:tc>
          <w:tcPr>
            <w:tcW w:w="314" w:type="dxa"/>
            <w:tcBorders>
              <w:top w:val="single" w:sz="6" w:space="0" w:color="000000"/>
              <w:left w:val="nil"/>
              <w:bottom w:val="single" w:sz="6" w:space="0" w:color="000000"/>
              <w:right w:val="nil"/>
            </w:tcBorders>
          </w:tcPr>
          <w:p w14:paraId="42D8C5D5" w14:textId="77777777" w:rsidR="000A3B2B" w:rsidRDefault="000A3B2B">
            <w:pPr>
              <w:autoSpaceDE w:val="0"/>
              <w:autoSpaceDN w:val="0"/>
              <w:adjustRightInd w:val="0"/>
              <w:spacing w:after="0" w:line="240" w:lineRule="auto"/>
              <w:rPr>
                <w:rFonts w:ascii="Arial" w:hAnsi="Arial" w:cs="Arial"/>
                <w:sz w:val="20"/>
                <w:szCs w:val="20"/>
                <w:lang w:val="x-none"/>
              </w:rPr>
            </w:pPr>
          </w:p>
        </w:tc>
        <w:tc>
          <w:tcPr>
            <w:tcW w:w="196" w:type="dxa"/>
            <w:tcBorders>
              <w:top w:val="nil"/>
              <w:left w:val="nil"/>
              <w:bottom w:val="nil"/>
              <w:right w:val="nil"/>
            </w:tcBorders>
          </w:tcPr>
          <w:p w14:paraId="112A442A" w14:textId="77777777" w:rsidR="000A3B2B" w:rsidRDefault="000A3B2B">
            <w:pPr>
              <w:autoSpaceDE w:val="0"/>
              <w:autoSpaceDN w:val="0"/>
              <w:adjustRightInd w:val="0"/>
              <w:spacing w:after="0" w:line="240" w:lineRule="auto"/>
              <w:rPr>
                <w:rFonts w:ascii="Arial" w:hAnsi="Arial" w:cs="Arial"/>
                <w:sz w:val="20"/>
                <w:szCs w:val="20"/>
                <w:lang w:val="x-none"/>
              </w:rPr>
            </w:pPr>
          </w:p>
        </w:tc>
        <w:tc>
          <w:tcPr>
            <w:tcW w:w="314" w:type="dxa"/>
            <w:tcBorders>
              <w:top w:val="single" w:sz="6" w:space="0" w:color="000000"/>
              <w:left w:val="nil"/>
              <w:bottom w:val="single" w:sz="6" w:space="0" w:color="000000"/>
              <w:right w:val="nil"/>
            </w:tcBorders>
          </w:tcPr>
          <w:p w14:paraId="1D85B330" w14:textId="77777777" w:rsidR="000A3B2B" w:rsidRDefault="000A3B2B">
            <w:pPr>
              <w:autoSpaceDE w:val="0"/>
              <w:autoSpaceDN w:val="0"/>
              <w:adjustRightInd w:val="0"/>
              <w:spacing w:after="0" w:line="240" w:lineRule="auto"/>
              <w:rPr>
                <w:rFonts w:ascii="Arial" w:hAnsi="Arial" w:cs="Arial"/>
                <w:sz w:val="20"/>
                <w:szCs w:val="20"/>
                <w:lang w:val="x-none"/>
              </w:rPr>
            </w:pPr>
          </w:p>
        </w:tc>
        <w:tc>
          <w:tcPr>
            <w:tcW w:w="196" w:type="dxa"/>
            <w:tcBorders>
              <w:top w:val="nil"/>
              <w:left w:val="nil"/>
              <w:bottom w:val="nil"/>
              <w:right w:val="nil"/>
            </w:tcBorders>
          </w:tcPr>
          <w:p w14:paraId="2D37E732" w14:textId="77777777" w:rsidR="000A3B2B" w:rsidRDefault="000A3B2B">
            <w:pPr>
              <w:autoSpaceDE w:val="0"/>
              <w:autoSpaceDN w:val="0"/>
              <w:adjustRightInd w:val="0"/>
              <w:spacing w:after="0" w:line="240" w:lineRule="auto"/>
              <w:rPr>
                <w:rFonts w:ascii="Arial" w:hAnsi="Arial" w:cs="Arial"/>
                <w:sz w:val="20"/>
                <w:szCs w:val="20"/>
                <w:lang w:val="x-none"/>
              </w:rPr>
            </w:pPr>
          </w:p>
        </w:tc>
        <w:tc>
          <w:tcPr>
            <w:tcW w:w="314" w:type="dxa"/>
            <w:tcBorders>
              <w:top w:val="single" w:sz="6" w:space="0" w:color="000000"/>
              <w:left w:val="nil"/>
              <w:bottom w:val="single" w:sz="6" w:space="0" w:color="000000"/>
              <w:right w:val="nil"/>
            </w:tcBorders>
          </w:tcPr>
          <w:p w14:paraId="54AD29D4" w14:textId="77777777" w:rsidR="000A3B2B" w:rsidRDefault="000A3B2B">
            <w:pPr>
              <w:autoSpaceDE w:val="0"/>
              <w:autoSpaceDN w:val="0"/>
              <w:adjustRightInd w:val="0"/>
              <w:spacing w:after="0" w:line="240" w:lineRule="auto"/>
              <w:rPr>
                <w:rFonts w:ascii="Arial" w:hAnsi="Arial" w:cs="Arial"/>
                <w:sz w:val="20"/>
                <w:szCs w:val="20"/>
                <w:lang w:val="x-none"/>
              </w:rPr>
            </w:pPr>
          </w:p>
        </w:tc>
        <w:tc>
          <w:tcPr>
            <w:tcW w:w="390" w:type="dxa"/>
            <w:tcBorders>
              <w:top w:val="nil"/>
              <w:left w:val="nil"/>
              <w:bottom w:val="nil"/>
              <w:right w:val="nil"/>
            </w:tcBorders>
            <w:vAlign w:val="center"/>
          </w:tcPr>
          <w:p w14:paraId="122A7A7E" w14:textId="77777777" w:rsidR="000A3B2B" w:rsidRDefault="000A3B2B">
            <w:pPr>
              <w:autoSpaceDE w:val="0"/>
              <w:autoSpaceDN w:val="0"/>
              <w:adjustRightInd w:val="0"/>
              <w:spacing w:after="0" w:line="240" w:lineRule="auto"/>
              <w:rPr>
                <w:rFonts w:ascii="Arial" w:hAnsi="Arial" w:cs="Arial"/>
                <w:sz w:val="20"/>
                <w:szCs w:val="20"/>
                <w:lang w:val="x-none"/>
              </w:rPr>
            </w:pPr>
          </w:p>
        </w:tc>
        <w:tc>
          <w:tcPr>
            <w:tcW w:w="316" w:type="dxa"/>
            <w:tcBorders>
              <w:top w:val="single" w:sz="6" w:space="0" w:color="000000"/>
              <w:left w:val="nil"/>
              <w:bottom w:val="single" w:sz="6" w:space="0" w:color="000000"/>
              <w:right w:val="nil"/>
            </w:tcBorders>
          </w:tcPr>
          <w:p w14:paraId="02A9EA66" w14:textId="77777777" w:rsidR="000A3B2B" w:rsidRDefault="000A3B2B">
            <w:pPr>
              <w:autoSpaceDE w:val="0"/>
              <w:autoSpaceDN w:val="0"/>
              <w:adjustRightInd w:val="0"/>
              <w:spacing w:after="0" w:line="240" w:lineRule="auto"/>
              <w:rPr>
                <w:rFonts w:ascii="Arial" w:hAnsi="Arial" w:cs="Arial"/>
                <w:sz w:val="20"/>
                <w:szCs w:val="20"/>
                <w:lang w:val="x-none"/>
              </w:rPr>
            </w:pPr>
          </w:p>
        </w:tc>
        <w:tc>
          <w:tcPr>
            <w:tcW w:w="194" w:type="dxa"/>
            <w:tcBorders>
              <w:top w:val="nil"/>
              <w:left w:val="nil"/>
              <w:bottom w:val="nil"/>
              <w:right w:val="nil"/>
            </w:tcBorders>
          </w:tcPr>
          <w:p w14:paraId="4B920E7D" w14:textId="77777777" w:rsidR="000A3B2B" w:rsidRDefault="000A3B2B">
            <w:pPr>
              <w:autoSpaceDE w:val="0"/>
              <w:autoSpaceDN w:val="0"/>
              <w:adjustRightInd w:val="0"/>
              <w:spacing w:after="0" w:line="240" w:lineRule="auto"/>
              <w:rPr>
                <w:rFonts w:ascii="Arial" w:hAnsi="Arial" w:cs="Arial"/>
                <w:sz w:val="20"/>
                <w:szCs w:val="20"/>
                <w:lang w:val="x-none"/>
              </w:rPr>
            </w:pPr>
          </w:p>
        </w:tc>
        <w:tc>
          <w:tcPr>
            <w:tcW w:w="4500" w:type="dxa"/>
            <w:tcBorders>
              <w:top w:val="single" w:sz="6" w:space="0" w:color="000000"/>
              <w:left w:val="nil"/>
              <w:bottom w:val="nil"/>
              <w:right w:val="nil"/>
            </w:tcBorders>
          </w:tcPr>
          <w:p w14:paraId="3D42BD89" w14:textId="77777777" w:rsidR="000A3B2B" w:rsidRDefault="000A3B2B">
            <w:pPr>
              <w:autoSpaceDE w:val="0"/>
              <w:autoSpaceDN w:val="0"/>
              <w:adjustRightInd w:val="0"/>
              <w:spacing w:after="0" w:line="240" w:lineRule="auto"/>
              <w:rPr>
                <w:rFonts w:ascii="Arial" w:hAnsi="Arial" w:cs="Arial"/>
                <w:sz w:val="20"/>
                <w:szCs w:val="20"/>
                <w:lang w:val="x-none"/>
              </w:rPr>
            </w:pPr>
          </w:p>
        </w:tc>
      </w:tr>
      <w:tr w:rsidR="000A3B2B" w14:paraId="44AEE002" w14:textId="77777777">
        <w:trPr>
          <w:trHeight w:val="60"/>
          <w:tblCellSpacing w:w="0" w:type="dxa"/>
        </w:trPr>
        <w:tc>
          <w:tcPr>
            <w:tcW w:w="292" w:type="dxa"/>
            <w:tcBorders>
              <w:top w:val="single" w:sz="6" w:space="0" w:color="000000"/>
              <w:left w:val="single" w:sz="6" w:space="0" w:color="000000"/>
              <w:bottom w:val="single" w:sz="6" w:space="0" w:color="000000"/>
              <w:right w:val="single" w:sz="6" w:space="0" w:color="000000"/>
            </w:tcBorders>
          </w:tcPr>
          <w:p w14:paraId="4AEAA7BE" w14:textId="77777777" w:rsidR="000A3B2B" w:rsidRDefault="000A3B2B">
            <w:pPr>
              <w:autoSpaceDE w:val="0"/>
              <w:autoSpaceDN w:val="0"/>
              <w:adjustRightInd w:val="0"/>
              <w:spacing w:after="0" w:line="240" w:lineRule="auto"/>
              <w:rPr>
                <w:rFonts w:ascii="Arial" w:hAnsi="Arial" w:cs="Arial"/>
                <w:sz w:val="24"/>
                <w:szCs w:val="24"/>
                <w:lang w:val="x-none"/>
              </w:rPr>
            </w:pPr>
            <w:r>
              <w:rPr>
                <w:rFonts w:ascii="Arial" w:hAnsi="Arial" w:cs="Arial"/>
                <w:sz w:val="24"/>
                <w:szCs w:val="24"/>
                <w:lang w:val="x-none"/>
              </w:rPr>
              <w:t>4</w:t>
            </w:r>
          </w:p>
        </w:tc>
        <w:tc>
          <w:tcPr>
            <w:tcW w:w="196" w:type="dxa"/>
            <w:tcBorders>
              <w:top w:val="nil"/>
              <w:left w:val="single" w:sz="6" w:space="0" w:color="000000"/>
              <w:bottom w:val="nil"/>
              <w:right w:val="single" w:sz="6" w:space="0" w:color="000000"/>
            </w:tcBorders>
          </w:tcPr>
          <w:p w14:paraId="273201C3"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314" w:type="dxa"/>
            <w:tcBorders>
              <w:top w:val="single" w:sz="6" w:space="0" w:color="000000"/>
              <w:left w:val="single" w:sz="6" w:space="0" w:color="000000"/>
              <w:bottom w:val="single" w:sz="6" w:space="0" w:color="000000"/>
              <w:right w:val="single" w:sz="6" w:space="0" w:color="000000"/>
            </w:tcBorders>
          </w:tcPr>
          <w:p w14:paraId="447A523B" w14:textId="77777777" w:rsidR="000A3B2B" w:rsidRDefault="000A3B2B">
            <w:pPr>
              <w:autoSpaceDE w:val="0"/>
              <w:autoSpaceDN w:val="0"/>
              <w:adjustRightInd w:val="0"/>
              <w:spacing w:after="0" w:line="240" w:lineRule="auto"/>
              <w:rPr>
                <w:rFonts w:ascii="Arial" w:hAnsi="Arial" w:cs="Arial"/>
                <w:sz w:val="24"/>
                <w:szCs w:val="24"/>
                <w:lang w:val="x-none"/>
              </w:rPr>
            </w:pPr>
            <w:r>
              <w:rPr>
                <w:rFonts w:ascii="Arial" w:hAnsi="Arial" w:cs="Arial"/>
                <w:sz w:val="24"/>
                <w:szCs w:val="24"/>
                <w:lang w:val="x-none"/>
              </w:rPr>
              <w:t>5</w:t>
            </w:r>
          </w:p>
        </w:tc>
        <w:tc>
          <w:tcPr>
            <w:tcW w:w="196" w:type="dxa"/>
            <w:tcBorders>
              <w:top w:val="nil"/>
              <w:left w:val="single" w:sz="6" w:space="0" w:color="000000"/>
              <w:bottom w:val="nil"/>
              <w:right w:val="single" w:sz="6" w:space="0" w:color="000000"/>
            </w:tcBorders>
          </w:tcPr>
          <w:p w14:paraId="23B18AB6"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314" w:type="dxa"/>
            <w:tcBorders>
              <w:top w:val="single" w:sz="6" w:space="0" w:color="000000"/>
              <w:left w:val="single" w:sz="6" w:space="0" w:color="000000"/>
              <w:bottom w:val="single" w:sz="6" w:space="0" w:color="000000"/>
              <w:right w:val="single" w:sz="6" w:space="0" w:color="000000"/>
            </w:tcBorders>
          </w:tcPr>
          <w:p w14:paraId="6D232375" w14:textId="77777777" w:rsidR="000A3B2B" w:rsidRDefault="000A3B2B">
            <w:pPr>
              <w:autoSpaceDE w:val="0"/>
              <w:autoSpaceDN w:val="0"/>
              <w:adjustRightInd w:val="0"/>
              <w:spacing w:after="0" w:line="240" w:lineRule="auto"/>
              <w:rPr>
                <w:rFonts w:ascii="Arial" w:hAnsi="Arial" w:cs="Arial"/>
                <w:sz w:val="24"/>
                <w:szCs w:val="24"/>
                <w:lang w:val="x-none"/>
              </w:rPr>
            </w:pPr>
            <w:r>
              <w:rPr>
                <w:rFonts w:ascii="Arial" w:hAnsi="Arial" w:cs="Arial"/>
                <w:sz w:val="24"/>
                <w:szCs w:val="24"/>
                <w:lang w:val="x-none"/>
              </w:rPr>
              <w:t>3</w:t>
            </w:r>
          </w:p>
        </w:tc>
        <w:tc>
          <w:tcPr>
            <w:tcW w:w="196" w:type="dxa"/>
            <w:tcBorders>
              <w:top w:val="nil"/>
              <w:left w:val="single" w:sz="6" w:space="0" w:color="000000"/>
              <w:bottom w:val="nil"/>
              <w:right w:val="single" w:sz="6" w:space="0" w:color="000000"/>
            </w:tcBorders>
          </w:tcPr>
          <w:p w14:paraId="78143A4F"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314" w:type="dxa"/>
            <w:tcBorders>
              <w:top w:val="single" w:sz="6" w:space="0" w:color="000000"/>
              <w:left w:val="single" w:sz="6" w:space="0" w:color="000000"/>
              <w:bottom w:val="single" w:sz="6" w:space="0" w:color="000000"/>
              <w:right w:val="single" w:sz="6" w:space="0" w:color="000000"/>
            </w:tcBorders>
          </w:tcPr>
          <w:p w14:paraId="3B0DDDD0" w14:textId="77777777" w:rsidR="000A3B2B" w:rsidRPr="00832F5C" w:rsidRDefault="000A3B2B">
            <w:pPr>
              <w:autoSpaceDE w:val="0"/>
              <w:autoSpaceDN w:val="0"/>
              <w:adjustRightInd w:val="0"/>
              <w:spacing w:after="0" w:line="240" w:lineRule="auto"/>
              <w:rPr>
                <w:rFonts w:ascii="Arial" w:hAnsi="Arial" w:cs="Arial"/>
                <w:sz w:val="24"/>
                <w:szCs w:val="24"/>
              </w:rPr>
            </w:pPr>
            <w:r>
              <w:rPr>
                <w:rFonts w:ascii="Arial" w:hAnsi="Arial" w:cs="Arial"/>
                <w:sz w:val="24"/>
                <w:szCs w:val="24"/>
              </w:rPr>
              <w:t>1</w:t>
            </w:r>
          </w:p>
        </w:tc>
        <w:tc>
          <w:tcPr>
            <w:tcW w:w="196" w:type="dxa"/>
            <w:tcBorders>
              <w:top w:val="nil"/>
              <w:left w:val="single" w:sz="6" w:space="0" w:color="000000"/>
              <w:bottom w:val="nil"/>
              <w:right w:val="single" w:sz="6" w:space="0" w:color="000000"/>
            </w:tcBorders>
          </w:tcPr>
          <w:p w14:paraId="1E034ACF"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314" w:type="dxa"/>
            <w:tcBorders>
              <w:top w:val="single" w:sz="6" w:space="0" w:color="000000"/>
              <w:left w:val="single" w:sz="6" w:space="0" w:color="000000"/>
              <w:bottom w:val="single" w:sz="6" w:space="0" w:color="000000"/>
              <w:right w:val="single" w:sz="6" w:space="0" w:color="000000"/>
            </w:tcBorders>
          </w:tcPr>
          <w:p w14:paraId="7F599D4B" w14:textId="77777777" w:rsidR="000A3B2B" w:rsidRPr="00832F5C" w:rsidRDefault="000A3B2B">
            <w:pPr>
              <w:autoSpaceDE w:val="0"/>
              <w:autoSpaceDN w:val="0"/>
              <w:adjustRightInd w:val="0"/>
              <w:spacing w:after="0" w:line="240" w:lineRule="auto"/>
              <w:rPr>
                <w:rFonts w:ascii="Arial" w:hAnsi="Arial" w:cs="Arial"/>
                <w:sz w:val="24"/>
                <w:szCs w:val="24"/>
              </w:rPr>
            </w:pPr>
            <w:r>
              <w:rPr>
                <w:rFonts w:ascii="Arial" w:hAnsi="Arial" w:cs="Arial"/>
                <w:sz w:val="24"/>
                <w:szCs w:val="24"/>
              </w:rPr>
              <w:t>6</w:t>
            </w:r>
          </w:p>
        </w:tc>
        <w:tc>
          <w:tcPr>
            <w:tcW w:w="196" w:type="dxa"/>
            <w:tcBorders>
              <w:top w:val="nil"/>
              <w:left w:val="single" w:sz="6" w:space="0" w:color="000000"/>
              <w:bottom w:val="nil"/>
              <w:right w:val="single" w:sz="6" w:space="0" w:color="000000"/>
            </w:tcBorders>
          </w:tcPr>
          <w:p w14:paraId="2BF44BFF"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314" w:type="dxa"/>
            <w:tcBorders>
              <w:top w:val="single" w:sz="6" w:space="0" w:color="000000"/>
              <w:left w:val="single" w:sz="6" w:space="0" w:color="000000"/>
              <w:bottom w:val="single" w:sz="6" w:space="0" w:color="000000"/>
              <w:right w:val="single" w:sz="6" w:space="0" w:color="000000"/>
            </w:tcBorders>
          </w:tcPr>
          <w:p w14:paraId="561431F4" w14:textId="77777777" w:rsidR="000A3B2B" w:rsidRPr="00832F5C" w:rsidRDefault="000A3B2B">
            <w:pPr>
              <w:autoSpaceDE w:val="0"/>
              <w:autoSpaceDN w:val="0"/>
              <w:adjustRightInd w:val="0"/>
              <w:spacing w:after="0" w:line="240" w:lineRule="auto"/>
              <w:rPr>
                <w:rFonts w:ascii="Arial" w:hAnsi="Arial" w:cs="Arial"/>
                <w:sz w:val="24"/>
                <w:szCs w:val="24"/>
              </w:rPr>
            </w:pPr>
            <w:r>
              <w:rPr>
                <w:rFonts w:ascii="Arial" w:hAnsi="Arial" w:cs="Arial"/>
                <w:sz w:val="24"/>
                <w:szCs w:val="24"/>
              </w:rPr>
              <w:t>0</w:t>
            </w:r>
          </w:p>
        </w:tc>
        <w:tc>
          <w:tcPr>
            <w:tcW w:w="196" w:type="dxa"/>
            <w:tcBorders>
              <w:top w:val="nil"/>
              <w:left w:val="single" w:sz="6" w:space="0" w:color="000000"/>
              <w:bottom w:val="nil"/>
              <w:right w:val="single" w:sz="6" w:space="0" w:color="000000"/>
            </w:tcBorders>
          </w:tcPr>
          <w:p w14:paraId="5FCD3FF2"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314" w:type="dxa"/>
            <w:tcBorders>
              <w:top w:val="single" w:sz="6" w:space="0" w:color="000000"/>
              <w:left w:val="single" w:sz="6" w:space="0" w:color="000000"/>
              <w:bottom w:val="single" w:sz="6" w:space="0" w:color="000000"/>
              <w:right w:val="single" w:sz="6" w:space="0" w:color="000000"/>
            </w:tcBorders>
          </w:tcPr>
          <w:p w14:paraId="601B0CBD" w14:textId="77777777" w:rsidR="000A3B2B" w:rsidRDefault="000A3B2B">
            <w:pPr>
              <w:autoSpaceDE w:val="0"/>
              <w:autoSpaceDN w:val="0"/>
              <w:adjustRightInd w:val="0"/>
              <w:spacing w:after="0" w:line="240" w:lineRule="auto"/>
              <w:rPr>
                <w:rFonts w:ascii="Arial" w:hAnsi="Arial" w:cs="Arial"/>
                <w:sz w:val="24"/>
                <w:szCs w:val="24"/>
                <w:lang w:val="x-none"/>
              </w:rPr>
            </w:pPr>
            <w:r>
              <w:rPr>
                <w:rFonts w:ascii="Arial" w:hAnsi="Arial" w:cs="Arial"/>
                <w:sz w:val="24"/>
                <w:szCs w:val="24"/>
                <w:lang w:val="x-none"/>
              </w:rPr>
              <w:t>0</w:t>
            </w:r>
          </w:p>
        </w:tc>
        <w:tc>
          <w:tcPr>
            <w:tcW w:w="196" w:type="dxa"/>
            <w:tcBorders>
              <w:top w:val="nil"/>
              <w:left w:val="single" w:sz="6" w:space="0" w:color="000000"/>
              <w:bottom w:val="nil"/>
              <w:right w:val="single" w:sz="6" w:space="0" w:color="000000"/>
            </w:tcBorders>
          </w:tcPr>
          <w:p w14:paraId="08C4A919"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314" w:type="dxa"/>
            <w:tcBorders>
              <w:top w:val="single" w:sz="6" w:space="0" w:color="000000"/>
              <w:left w:val="single" w:sz="6" w:space="0" w:color="000000"/>
              <w:bottom w:val="single" w:sz="6" w:space="0" w:color="000000"/>
              <w:right w:val="single" w:sz="6" w:space="0" w:color="000000"/>
            </w:tcBorders>
          </w:tcPr>
          <w:p w14:paraId="7B97CFE9" w14:textId="77777777" w:rsidR="000A3B2B" w:rsidRDefault="000A3B2B">
            <w:pPr>
              <w:autoSpaceDE w:val="0"/>
              <w:autoSpaceDN w:val="0"/>
              <w:adjustRightInd w:val="0"/>
              <w:spacing w:after="0" w:line="240" w:lineRule="auto"/>
              <w:rPr>
                <w:rFonts w:ascii="Arial" w:hAnsi="Arial" w:cs="Arial"/>
                <w:sz w:val="24"/>
                <w:szCs w:val="24"/>
                <w:lang w:val="x-none"/>
              </w:rPr>
            </w:pPr>
            <w:r>
              <w:rPr>
                <w:rFonts w:ascii="Arial" w:hAnsi="Arial" w:cs="Arial"/>
                <w:sz w:val="24"/>
                <w:szCs w:val="24"/>
                <w:lang w:val="x-none"/>
              </w:rPr>
              <w:t>0</w:t>
            </w:r>
          </w:p>
        </w:tc>
        <w:tc>
          <w:tcPr>
            <w:tcW w:w="390" w:type="dxa"/>
            <w:tcBorders>
              <w:top w:val="nil"/>
              <w:left w:val="single" w:sz="6" w:space="0" w:color="000000"/>
              <w:bottom w:val="nil"/>
              <w:right w:val="single" w:sz="6" w:space="0" w:color="000000"/>
            </w:tcBorders>
            <w:vAlign w:val="center"/>
          </w:tcPr>
          <w:p w14:paraId="0A1027D1" w14:textId="77777777" w:rsidR="000A3B2B" w:rsidRDefault="000A3B2B">
            <w:pPr>
              <w:tabs>
                <w:tab w:val="right" w:pos="7035"/>
              </w:tabs>
              <w:autoSpaceDE w:val="0"/>
              <w:autoSpaceDN w:val="0"/>
              <w:adjustRightInd w:val="0"/>
              <w:spacing w:after="0" w:line="288" w:lineRule="auto"/>
              <w:jc w:val="center"/>
              <w:rPr>
                <w:rFonts w:ascii="Times New Roman" w:hAnsi="Times New Roman" w:cs="Times New Roman"/>
                <w:color w:val="000000"/>
                <w:sz w:val="24"/>
                <w:szCs w:val="24"/>
                <w:lang w:val="x-none"/>
              </w:rPr>
            </w:pPr>
            <w:r>
              <w:rPr>
                <w:rFonts w:ascii="Times New Roman" w:hAnsi="Times New Roman" w:cs="Times New Roman"/>
                <w:color w:val="000000"/>
                <w:sz w:val="24"/>
                <w:szCs w:val="24"/>
                <w:lang w:val="x-none"/>
              </w:rPr>
              <w:t>–</w:t>
            </w:r>
          </w:p>
        </w:tc>
        <w:tc>
          <w:tcPr>
            <w:tcW w:w="316" w:type="dxa"/>
            <w:tcBorders>
              <w:top w:val="single" w:sz="6" w:space="0" w:color="000000"/>
              <w:left w:val="single" w:sz="6" w:space="0" w:color="000000"/>
              <w:bottom w:val="single" w:sz="6" w:space="0" w:color="000000"/>
              <w:right w:val="single" w:sz="6" w:space="0" w:color="000000"/>
            </w:tcBorders>
          </w:tcPr>
          <w:p w14:paraId="28D42E4E" w14:textId="77777777" w:rsidR="000A3B2B" w:rsidRPr="00832F5C" w:rsidRDefault="000A3B2B">
            <w:pPr>
              <w:autoSpaceDE w:val="0"/>
              <w:autoSpaceDN w:val="0"/>
              <w:adjustRightInd w:val="0"/>
              <w:spacing w:after="0" w:line="240" w:lineRule="auto"/>
              <w:rPr>
                <w:rFonts w:ascii="Arial" w:hAnsi="Arial" w:cs="Arial"/>
                <w:sz w:val="24"/>
                <w:szCs w:val="24"/>
              </w:rPr>
            </w:pPr>
            <w:r>
              <w:rPr>
                <w:rFonts w:ascii="Arial" w:hAnsi="Arial" w:cs="Arial"/>
                <w:sz w:val="24"/>
                <w:szCs w:val="24"/>
              </w:rPr>
              <w:t>5</w:t>
            </w:r>
          </w:p>
        </w:tc>
        <w:tc>
          <w:tcPr>
            <w:tcW w:w="194" w:type="dxa"/>
            <w:tcBorders>
              <w:top w:val="nil"/>
              <w:left w:val="single" w:sz="6" w:space="0" w:color="000000"/>
              <w:bottom w:val="nil"/>
              <w:right w:val="nil"/>
            </w:tcBorders>
          </w:tcPr>
          <w:p w14:paraId="6F0134B5"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4500" w:type="dxa"/>
            <w:tcBorders>
              <w:top w:val="nil"/>
              <w:left w:val="nil"/>
              <w:bottom w:val="single" w:sz="6" w:space="0" w:color="auto"/>
              <w:right w:val="nil"/>
            </w:tcBorders>
          </w:tcPr>
          <w:p w14:paraId="1C5003CF" w14:textId="77777777" w:rsidR="000A3B2B" w:rsidRDefault="000A3B2B">
            <w:pPr>
              <w:autoSpaceDE w:val="0"/>
              <w:autoSpaceDN w:val="0"/>
              <w:adjustRightInd w:val="0"/>
              <w:spacing w:after="0" w:line="240" w:lineRule="auto"/>
              <w:rPr>
                <w:rFonts w:ascii="Arial" w:hAnsi="Arial" w:cs="Arial"/>
                <w:sz w:val="24"/>
                <w:szCs w:val="24"/>
                <w:lang w:val="x-none"/>
              </w:rPr>
            </w:pPr>
            <w:r w:rsidRPr="00832F5C">
              <w:rPr>
                <w:rFonts w:ascii="Arial" w:hAnsi="Arial" w:cs="Arial"/>
                <w:sz w:val="24"/>
                <w:szCs w:val="24"/>
              </w:rPr>
              <w:t>Instalowanie systemów oświetleniowych i sygnalizacyjnych</w:t>
            </w:r>
          </w:p>
        </w:tc>
      </w:tr>
    </w:tbl>
    <w:p w14:paraId="03D49555" w14:textId="77777777" w:rsidR="000A3B2B" w:rsidRDefault="000A3B2B" w:rsidP="000E4A55">
      <w:pPr>
        <w:autoSpaceDE w:val="0"/>
        <w:autoSpaceDN w:val="0"/>
        <w:adjustRightInd w:val="0"/>
        <w:spacing w:after="30" w:line="240" w:lineRule="auto"/>
        <w:ind w:left="285"/>
        <w:jc w:val="both"/>
        <w:rPr>
          <w:rFonts w:ascii="Arial" w:hAnsi="Arial" w:cs="Arial"/>
          <w:color w:val="000000"/>
          <w:sz w:val="18"/>
          <w:szCs w:val="18"/>
          <w:lang w:val="x-none"/>
        </w:rPr>
      </w:pPr>
    </w:p>
    <w:p w14:paraId="0D7180E0"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p>
    <w:p w14:paraId="5669BE2E" w14:textId="77777777" w:rsidR="000A3B2B" w:rsidRDefault="000A3B2B" w:rsidP="000E4A5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1.5.</w:t>
      </w:r>
      <w:r>
        <w:rPr>
          <w:rFonts w:ascii="Arial" w:hAnsi="Arial" w:cs="Arial"/>
          <w:b/>
          <w:bCs/>
          <w:color w:val="000000"/>
          <w:sz w:val="18"/>
          <w:szCs w:val="18"/>
          <w:lang w:val="x-none"/>
        </w:rPr>
        <w:tab/>
        <w:t>Ogólne wymagania dotyczące robót i informacje o terenie budowy:</w:t>
      </w:r>
    </w:p>
    <w:p w14:paraId="31B1DC61" w14:textId="77777777" w:rsidR="000A3B2B" w:rsidRDefault="000A3B2B" w:rsidP="000E4A5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1.5.1.</w:t>
      </w:r>
      <w:r>
        <w:rPr>
          <w:rFonts w:ascii="Arial" w:hAnsi="Arial" w:cs="Arial"/>
          <w:b/>
          <w:bCs/>
          <w:color w:val="000000"/>
          <w:sz w:val="18"/>
          <w:szCs w:val="18"/>
          <w:lang w:val="x-none"/>
        </w:rPr>
        <w:tab/>
        <w:t>Przekazanie terenu budowy</w:t>
      </w:r>
    </w:p>
    <w:p w14:paraId="0F603DC6"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Zamawiający, w terminie określonym w dokumentach umowy, przekaże Wykonawcy protokólarnie teren budowy wraz ze wszystkimi wymaganymi uzgodnieniami prawnymi i administracyjnymi, poda lokalizację i współrzędne punktów głównych obiektu oraz reperów, przekaże dziennik budowy oraz dwa egzemplarze dokumentacji projektowej i dwa komplety SST.</w:t>
      </w:r>
    </w:p>
    <w:p w14:paraId="7A2E81CF"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Przed przekazaniem terenu budowy Wykonawca wraz z Zamawiającym winien przeprowadzić jego wizję, a także przylegających do niego obiektów lub ich części, dróg, chodników itp., na które realizacja robót może w jakikolwiek sposób oddziaływać. Wszelkie istniejące uszkodzenia i inne ważne szczegóły należy zidentyfikować, opisać i sfotografować. Opis taki wraz z dokumentacją fotograficzną winien stanowić załącznik do protokołu przekazania terenu budowy. Wszelkie uszkodzenia lub wady niezanotowane, ale zauważone podczas lub po wykonaniu robót będą naprawione na koszt Wykonawcy, przy czym należy przywrócić stan sprzed uszkodzenia lub lepszy.</w:t>
      </w:r>
    </w:p>
    <w:p w14:paraId="6536DAD5"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Na Wykonawcy spoczywa też odpowiedzialność za ochronę przekazanych mu punktów pomiarowych do chwili odbioru końcowego robót. Uszkodzone lub zniszczone punkty pomiarowe Wykonawca odtworzy i utrwali na własny koszt.</w:t>
      </w:r>
    </w:p>
    <w:p w14:paraId="0476084E" w14:textId="77777777" w:rsidR="000A3B2B" w:rsidRDefault="000A3B2B" w:rsidP="000E4A5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1.5.2.</w:t>
      </w:r>
      <w:r>
        <w:rPr>
          <w:rFonts w:ascii="Arial" w:hAnsi="Arial" w:cs="Arial"/>
          <w:b/>
          <w:bCs/>
          <w:color w:val="000000"/>
          <w:sz w:val="18"/>
          <w:szCs w:val="18"/>
          <w:lang w:val="x-none"/>
        </w:rPr>
        <w:tab/>
        <w:t>Zabezpieczenie terenu budowy</w:t>
      </w:r>
    </w:p>
    <w:p w14:paraId="3F295388"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Wykonawca jest zobowiązany do zabezpieczenia terenu budowy w okresie realizacji kontraktu aż do zakończenia i odbioru ostatecznego robót.</w:t>
      </w:r>
    </w:p>
    <w:p w14:paraId="2F764EEA"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lastRenderedPageBreak/>
        <w:t>Wykonawca dostarczy, zainstaluje i będzie utrzymywać tymczasowe urządzenia zabezpieczające, w tym: ogrodzenia, poręcze, oświetlenie, sygnały i znaki ostrzegawcze, oraz zatrudni dozorców i podejmie wszelkie inne środki niezbędne do ochrony robót, wygody społeczności i innych.</w:t>
      </w:r>
    </w:p>
    <w:p w14:paraId="68BE3DEC"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Koszt zabezpieczenia terenu budowy nie podlega odrębnej zapłacie i przyjmuje się, że jest włączony w cenę umowną.</w:t>
      </w:r>
    </w:p>
    <w:p w14:paraId="655A7B8C" w14:textId="77777777" w:rsidR="000A3B2B" w:rsidRDefault="000A3B2B" w:rsidP="000E4A5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1.5.3.</w:t>
      </w:r>
      <w:r>
        <w:rPr>
          <w:rFonts w:ascii="Arial" w:hAnsi="Arial" w:cs="Arial"/>
          <w:b/>
          <w:bCs/>
          <w:color w:val="000000"/>
          <w:sz w:val="18"/>
          <w:szCs w:val="18"/>
          <w:lang w:val="x-none"/>
        </w:rPr>
        <w:tab/>
        <w:t>Ochrona środowiska w czasie wykonywania robót</w:t>
      </w:r>
    </w:p>
    <w:p w14:paraId="5B428A84"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Wykonawca ma obowiązek znać i stosować w czasie prowadzenia robót wszelkie przepisy dotyczące ochrony środowiska naturalnego.</w:t>
      </w:r>
    </w:p>
    <w:p w14:paraId="22C8CFEF"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 okresie trwania budowy Wykonawca będzie:</w:t>
      </w:r>
    </w:p>
    <w:p w14:paraId="0CDDBF78"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utrzymywać teren budowy i wykopy w stanie bez wody stojącej,</w:t>
      </w:r>
    </w:p>
    <w:p w14:paraId="3207288D"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podejmować wszelkie konieczne kroki mające na celu stosowanie się do przepisów i norm dotyczących ochrony środowiska na terenie i wokół terenu budowy,</w:t>
      </w:r>
    </w:p>
    <w:p w14:paraId="57AB6769"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unikać uszkodzeń lub uciążliwości dla osób lub własności społecznej, a wynikających ze skażenia, hałasu lub innych przyczyn powstałych w następstwie jego sposobu działania.</w:t>
      </w:r>
    </w:p>
    <w:p w14:paraId="65AB1E34"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Wykonawca przy organizacji zagospodarowania terenu budowy zapewni:</w:t>
      </w:r>
    </w:p>
    <w:p w14:paraId="70B2A2C7"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ulokowanie i zabezpieczenie baz sprzętu i składowisk materiałów w sposób uniemożliwiający przedostanie się szkodliwych związków do środowiska gruntowo-wodnego;</w:t>
      </w:r>
    </w:p>
    <w:p w14:paraId="101BB018"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odprowadzanie ścieków socjalno-bytowych z obiektów zaplecza budowy i baz technicznych do systemu kanalizacji lub do szczelnych kontenerów i wywożenie ich do najbliższej oczyszczalni;</w:t>
      </w:r>
    </w:p>
    <w:p w14:paraId="113F4FAE"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oszczędne korzystanie z terenu i minimalne przekształcenie jego powierzchni, a po zakończeniu prac przywrócenie do poprzedniego stanu.</w:t>
      </w:r>
    </w:p>
    <w:p w14:paraId="44E07A36" w14:textId="77777777" w:rsidR="000A3B2B" w:rsidRDefault="000A3B2B" w:rsidP="000E4A5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1.5.4.</w:t>
      </w:r>
      <w:r>
        <w:rPr>
          <w:rFonts w:ascii="Arial" w:hAnsi="Arial" w:cs="Arial"/>
          <w:b/>
          <w:bCs/>
          <w:color w:val="000000"/>
          <w:sz w:val="18"/>
          <w:szCs w:val="18"/>
          <w:lang w:val="x-none"/>
        </w:rPr>
        <w:tab/>
        <w:t>Ochrona przeciwpożarowa</w:t>
      </w:r>
    </w:p>
    <w:p w14:paraId="72BD45B4"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Wykonawca będzie przestrzegać przepisy ochrony przeciwpożarowej.</w:t>
      </w:r>
    </w:p>
    <w:p w14:paraId="6227ED4B"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Wykonawca będzie utrzymywać sprawny sprzęt przeciwpożarowy, wymagany odpowiednimi przepisami, na terenie baz produkcyjnych, w pomieszczeniach biurowych, mieszkalnych i magazynowych oraz w maszynach i pojazdach.</w:t>
      </w:r>
    </w:p>
    <w:p w14:paraId="30C74D75"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Materiały łatwopalne będą składowane w sposób zgodny z odpowiednimi przepisami i zabezpieczone przed dostępem osób trzecich.</w:t>
      </w:r>
    </w:p>
    <w:p w14:paraId="68F35AF7"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Wykonawca będzie odpowiedzialny za wszelkie straty spowodowane pożarem wywołanym jako rezultat realizacji robót albo przez personel wykonawcy.</w:t>
      </w:r>
    </w:p>
    <w:p w14:paraId="5AF5B149" w14:textId="77777777" w:rsidR="000A3B2B" w:rsidRDefault="000A3B2B" w:rsidP="000E4A5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1.5.5.</w:t>
      </w:r>
      <w:r>
        <w:rPr>
          <w:rFonts w:ascii="Arial" w:hAnsi="Arial" w:cs="Arial"/>
          <w:b/>
          <w:bCs/>
          <w:color w:val="000000"/>
          <w:sz w:val="18"/>
          <w:szCs w:val="18"/>
          <w:lang w:val="x-none"/>
        </w:rPr>
        <w:tab/>
        <w:t>Ochrona własności publicznej i prywatnej</w:t>
      </w:r>
    </w:p>
    <w:p w14:paraId="1E9F2B84"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Wykonawca odpowiada za ochronę instalacji i urządzeń zlokalizowanych na powierzchni terenu i pod jego poziomem, takich jak rurociągi, kable itp. Wykonawca zapewni właściwe oznaczenie i zabezpieczenie przed uszkodzeniem tych instalacji i urządzeń w czasie trwania budowy.</w:t>
      </w:r>
    </w:p>
    <w:p w14:paraId="5B55334E"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O fakcie przypadkowego uszkodzenia tych instalacji Wykonawca bezzwłocznie powiadomi inspektora nadzoru inwestorskiego i zainteresowanych użytkowników oraz będzie z nimi współpracował, dostarczając wszelkiej pomocy potrzebnej przy dokonywaniu napraw. Wykonawca będzie odpowiadać za wszelkie spowodowane przez jego działania uszkodzenia instalacji na powierzchni ziemi i urządzeń podziemnych wykazanych w dokumentach dostarczonych mu przez Zamawiającego.</w:t>
      </w:r>
    </w:p>
    <w:p w14:paraId="6E9E14B2" w14:textId="77777777" w:rsidR="000A3B2B" w:rsidRDefault="000A3B2B" w:rsidP="000E4A5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1.5.6.</w:t>
      </w:r>
      <w:r>
        <w:rPr>
          <w:rFonts w:ascii="Arial" w:hAnsi="Arial" w:cs="Arial"/>
          <w:b/>
          <w:bCs/>
          <w:color w:val="000000"/>
          <w:sz w:val="18"/>
          <w:szCs w:val="18"/>
          <w:lang w:val="x-none"/>
        </w:rPr>
        <w:tab/>
        <w:t>Bezpieczeństwo i higiena pracy</w:t>
      </w:r>
    </w:p>
    <w:p w14:paraId="418CD6F1"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Podczas realizacji robót Wykonawca będzie przestrzegać przepisów dotyczących bezpieczeństwa i higieny pracy, w tym zapisów zawartych w rozporządzeniu Ministra Infrastruktury z dnia 6 lutego 2003 r. w sprawie bezpieczeństwa i higieny pracy podczas wykonywania robót budowlanych (Dz. U. z 2003 r. Nr 47, poz. 401).</w:t>
      </w:r>
    </w:p>
    <w:p w14:paraId="531EB324"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 szczególności Wykonawca ma obowiązek zadbać, aby personel bez technicznej konieczności nie wykonywał pracy w warunkach niebezpiecznych, szkodliwych dla zdrowia oraz niespełniających odpowiednich wymagań sanitarnych.</w:t>
      </w:r>
    </w:p>
    <w:p w14:paraId="5BCB52E1"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Wykonywanie prac w warunkach niebezpiecznych lub szkodliwych dla zdrowia wymaga zastosowania odpowiednich zabezpieczeń stanowiska roboczego i pracowników.</w:t>
      </w:r>
    </w:p>
    <w:p w14:paraId="223763AC"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Wykonawca zapewni i będzie utrzymywał wszelkie urządzenia zabezpieczające, socjalne oraz sprzęt i odpowiednią odzież dla ochrony życia i zdrowia osób zatrudnionych na budowie.</w:t>
      </w:r>
    </w:p>
    <w:p w14:paraId="41F78078"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 xml:space="preserve">W terminie wynikającym z warunków kontraktu, Wykonawca opracuje i dostarczy Inspektorowi nadzoru inwestorskiego informację dotyczącą Bezpieczeństwa i Ochrony Zdrowia („BIOZ”) zgodnie z rozporządzeniem Ministra Infrastruktury z dnia 23 czerwca 2003 r. (Dz. U. z 2003 r. Nr 120, poz. 1126). </w:t>
      </w:r>
    </w:p>
    <w:p w14:paraId="4F086445"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Uznaje się, że wszelkie koszty związane z wypełnieniem wymagań określonych powyżej nie podlegają odrębnej zapłacie i są uwzględnione w cenie umownej.</w:t>
      </w:r>
    </w:p>
    <w:p w14:paraId="0FFB7B65" w14:textId="77777777" w:rsidR="000A3B2B" w:rsidRDefault="000A3B2B" w:rsidP="000E4A5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1.5.7.</w:t>
      </w:r>
      <w:r>
        <w:rPr>
          <w:rFonts w:ascii="Arial" w:hAnsi="Arial" w:cs="Arial"/>
          <w:b/>
          <w:bCs/>
          <w:color w:val="000000"/>
          <w:sz w:val="18"/>
          <w:szCs w:val="18"/>
          <w:lang w:val="x-none"/>
        </w:rPr>
        <w:tab/>
        <w:t>Ochrona i utrzymanie robót</w:t>
      </w:r>
    </w:p>
    <w:p w14:paraId="3DB97A61"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Wykonawca będzie odpowiedzialny za ochronę robót i za wszelkie materiały i urządzenia używane do robót od daty rozpoczęcia do daty odbioru ostatecznego.</w:t>
      </w:r>
    </w:p>
    <w:p w14:paraId="0F98A6EB" w14:textId="77777777" w:rsidR="000A3B2B" w:rsidRDefault="000A3B2B" w:rsidP="000E4A5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1.5.8.</w:t>
      </w:r>
      <w:r>
        <w:rPr>
          <w:rFonts w:ascii="Arial" w:hAnsi="Arial" w:cs="Arial"/>
          <w:b/>
          <w:bCs/>
          <w:color w:val="000000"/>
          <w:sz w:val="18"/>
          <w:szCs w:val="18"/>
          <w:lang w:val="x-none"/>
        </w:rPr>
        <w:tab/>
        <w:t>Wykopaliska</w:t>
      </w:r>
    </w:p>
    <w:p w14:paraId="6E484A61"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lastRenderedPageBreak/>
        <w:t>Wszelkie wykopaliska, monety, przedmioty wartościowe, budowle oraz inne pozostałości o znaczeniu geologicznym lub archeologicznym odkryte na terenie budowy będą uważane za własność Skarbu Państwa. Wykonawca zobowiązany jest powiadomić Inżyniera/ Kierownika projektu/ Inspektora nadzoru inwestorskiego i postępować zgodnie z jego poleceniami. Jeżeli w wyniku tych poleceń Wykonawca poniesie koszty i/lub wystąpią opóźnienia w robotach, Inspektor nadzoru inwestorskiego po uzgodnieniu z Zamawiającym i Wykonawcą ustali wydłużenie czasu wykonania robót i/lub wysokość kwoty, o którą należy zwiększyć cenę kontraktową.</w:t>
      </w:r>
    </w:p>
    <w:p w14:paraId="665A503D" w14:textId="77777777" w:rsidR="000A3B2B" w:rsidRDefault="000A3B2B" w:rsidP="000E4A5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1.5.9.</w:t>
      </w:r>
      <w:r>
        <w:rPr>
          <w:rFonts w:ascii="Arial" w:hAnsi="Arial" w:cs="Arial"/>
          <w:b/>
          <w:bCs/>
          <w:color w:val="000000"/>
          <w:sz w:val="18"/>
          <w:szCs w:val="18"/>
          <w:lang w:val="x-none"/>
        </w:rPr>
        <w:tab/>
        <w:t xml:space="preserve"> Niewypały, niewybuchy</w:t>
      </w:r>
    </w:p>
    <w:p w14:paraId="31C52EAB"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 razie natrafienia w czasie prowadzenia robót na pozostałości po działaniach wojennych tj. miny, niewybuchy, pociski i inne tego typu materiały Wykonawca niezwłocznie przerwie roboty, powiadomi Inspektora nadzoru inwestorskiego i będzie postępował zgodnie z jego instrukcjami/poleceniami. Koszty zabezpieczenia terenu oraz akcji usunięcia niewypałów/niewybuchów poniesie Zamawiający.</w:t>
      </w:r>
    </w:p>
    <w:p w14:paraId="749C2F48" w14:textId="77777777" w:rsidR="000A3B2B" w:rsidRDefault="000A3B2B" w:rsidP="000E4A5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1.5.10.</w:t>
      </w:r>
      <w:r>
        <w:rPr>
          <w:rFonts w:ascii="Arial" w:hAnsi="Arial" w:cs="Arial"/>
          <w:b/>
          <w:bCs/>
          <w:color w:val="000000"/>
          <w:sz w:val="18"/>
          <w:szCs w:val="18"/>
          <w:lang w:val="x-none"/>
        </w:rPr>
        <w:tab/>
        <w:t>Nadzór środowiskowy</w:t>
      </w:r>
    </w:p>
    <w:p w14:paraId="26CEE334"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Na kontrakcie prowadzony będzie Nadzór środowiskowy z ramienia Zamawiającego. Wykonawca zobowiązany jest do respektowania wszelkich ustaleń i wymagań prowadzonych przez Nadzór.</w:t>
      </w:r>
    </w:p>
    <w:p w14:paraId="69EF1A14" w14:textId="77777777" w:rsidR="000A3B2B" w:rsidRDefault="000A3B2B" w:rsidP="000E4A5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1.5.11.</w:t>
      </w:r>
      <w:r>
        <w:rPr>
          <w:rFonts w:ascii="Arial" w:hAnsi="Arial" w:cs="Arial"/>
          <w:b/>
          <w:bCs/>
          <w:color w:val="000000"/>
          <w:sz w:val="18"/>
          <w:szCs w:val="18"/>
          <w:lang w:val="x-none"/>
        </w:rPr>
        <w:tab/>
        <w:t>Stosowanie się do prawa i innych przepisów</w:t>
      </w:r>
    </w:p>
    <w:p w14:paraId="14C86974"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Wykonawca zobowiązany jest znać wszelkie przepisy wydane przez organy administracji państwowej i samorządowej, które są w jakikolwiek sposób związane z robotami i będzie w pełni odpowiedzialny za przestrzeganie tych praw, przepisów i wytycznych podczas prowadzenia robót.</w:t>
      </w:r>
    </w:p>
    <w:p w14:paraId="6782481A"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Wykonawca będzie przestrzegać praw patentowych i będzie w pełni odpowiedzialny za wypełnienie wszelkich wymagań prawnych odnośnie wykorzystania opatentowanych urządzeń lub metod i w sposób ciągły będzie informować Inspektora nadzoru inwestorskiego o swoich działaniach, przedstawiając kopie zezwoleń i inne odnośne dokumenty.</w:t>
      </w:r>
    </w:p>
    <w:p w14:paraId="0C14F9CC" w14:textId="77777777" w:rsidR="000A3B2B" w:rsidRDefault="000A3B2B" w:rsidP="000E4A5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1.5.12.</w:t>
      </w:r>
      <w:r>
        <w:rPr>
          <w:rFonts w:ascii="Arial" w:hAnsi="Arial" w:cs="Arial"/>
          <w:b/>
          <w:bCs/>
          <w:color w:val="000000"/>
          <w:sz w:val="18"/>
          <w:szCs w:val="18"/>
          <w:lang w:val="x-none"/>
        </w:rPr>
        <w:tab/>
        <w:t xml:space="preserve"> Równoważność norm i zbiorów przepisów prawnych</w:t>
      </w:r>
    </w:p>
    <w:p w14:paraId="1BBFAD40"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Gdziekolwiek w dokumentach kontraktowych powołane są konkretne normy i przepisy, które spełniać mają materiały, sprzęt i inne towary oraz wykonane i zbadane roboty, będą obowiązywać postanowienia najnowszego wydania lub poprawionego wydania powołanych norm i przepisów o ile w warunkach kontraktu nie postanowiono inaczej. W przypadku gdy powołane normy i przepisy są państwowe lub odnoszą się do konkretnego kraju lub regionu, mogą być również stosowane inne odpowiednie normy zapewniające równy lub wyższy poziom wykonania niż powołane normy lub przepisy, pod warunkiem ich sprawdzenia i pisemnego zatwierdzenia przez inspektora nadzoru inwestorskiego. Różnice pomiędzy powołanymi normami a ich proponowanymi zamiennikami muszą być dokładnie opisane przez Wykonawcę i przedłożone inspektorowi nadzoru inwestorskiego do zatwierdzenia.</w:t>
      </w:r>
    </w:p>
    <w:p w14:paraId="23663530"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p>
    <w:p w14:paraId="23132A1C" w14:textId="77777777" w:rsidR="000A3B2B" w:rsidRDefault="000A3B2B" w:rsidP="000E4A5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1.6.</w:t>
      </w:r>
      <w:r>
        <w:rPr>
          <w:rFonts w:ascii="Arial" w:hAnsi="Arial" w:cs="Arial"/>
          <w:b/>
          <w:bCs/>
          <w:color w:val="000000"/>
          <w:sz w:val="18"/>
          <w:szCs w:val="18"/>
          <w:lang w:val="x-none"/>
        </w:rPr>
        <w:tab/>
        <w:t>Dokumentacja projektowa</w:t>
      </w:r>
    </w:p>
    <w:p w14:paraId="31434C70" w14:textId="77777777" w:rsidR="000A3B2B" w:rsidRDefault="000A3B2B" w:rsidP="000E4A5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1.6.1.</w:t>
      </w:r>
      <w:r>
        <w:rPr>
          <w:rFonts w:ascii="Arial" w:hAnsi="Arial" w:cs="Arial"/>
          <w:b/>
          <w:bCs/>
          <w:color w:val="000000"/>
          <w:sz w:val="18"/>
          <w:szCs w:val="18"/>
          <w:lang w:val="x-none"/>
        </w:rPr>
        <w:tab/>
        <w:t>Zakres dokumentacji projektowej</w:t>
      </w:r>
    </w:p>
    <w:p w14:paraId="7DD83D79"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Przekazana dokumentacja projektowa ma zawierać opis, część graficzną, obliczenia i dokumenty, zgodnie z wykazem podanym w szczegółowych warunkach umowy, uwzględniającym podział na dokumentację projektową:</w:t>
      </w:r>
    </w:p>
    <w:p w14:paraId="6BBB5486"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dostarczoną przez Zamawiającego;</w:t>
      </w:r>
    </w:p>
    <w:p w14:paraId="0CA68567" w14:textId="77777777" w:rsidR="000A3B2B" w:rsidRDefault="000A3B2B" w:rsidP="000E4A55">
      <w:pPr>
        <w:autoSpaceDE w:val="0"/>
        <w:autoSpaceDN w:val="0"/>
        <w:adjustRightInd w:val="0"/>
        <w:spacing w:after="30" w:line="240" w:lineRule="auto"/>
        <w:ind w:left="570" w:hanging="285"/>
        <w:jc w:val="both"/>
        <w:rPr>
          <w:rFonts w:ascii="Arial" w:hAnsi="Arial" w:cs="Arial"/>
          <w:i/>
          <w:iCs/>
          <w:color w:val="000000"/>
          <w:sz w:val="18"/>
          <w:szCs w:val="18"/>
          <w:lang w:val="x-none"/>
        </w:rPr>
      </w:pPr>
      <w:r>
        <w:rPr>
          <w:rFonts w:ascii="Arial" w:hAnsi="Arial" w:cs="Arial"/>
          <w:i/>
          <w:iCs/>
          <w:color w:val="000000"/>
          <w:sz w:val="18"/>
          <w:szCs w:val="18"/>
          <w:lang w:val="x-none"/>
        </w:rPr>
        <w:t xml:space="preserve">  - projekt </w:t>
      </w:r>
      <w:proofErr w:type="spellStart"/>
      <w:r>
        <w:rPr>
          <w:rFonts w:ascii="Arial" w:hAnsi="Arial" w:cs="Arial"/>
          <w:i/>
          <w:iCs/>
          <w:color w:val="000000"/>
          <w:sz w:val="18"/>
          <w:szCs w:val="18"/>
          <w:lang w:val="x-none"/>
        </w:rPr>
        <w:t>budow</w:t>
      </w:r>
      <w:r>
        <w:rPr>
          <w:rFonts w:ascii="Arial" w:hAnsi="Arial" w:cs="Arial"/>
          <w:i/>
          <w:iCs/>
          <w:color w:val="000000"/>
          <w:sz w:val="18"/>
          <w:szCs w:val="18"/>
        </w:rPr>
        <w:t>l</w:t>
      </w:r>
      <w:r>
        <w:rPr>
          <w:rFonts w:ascii="Arial" w:hAnsi="Arial" w:cs="Arial"/>
          <w:i/>
          <w:iCs/>
          <w:color w:val="000000"/>
          <w:sz w:val="18"/>
          <w:szCs w:val="18"/>
          <w:lang w:val="x-none"/>
        </w:rPr>
        <w:t>any</w:t>
      </w:r>
      <w:proofErr w:type="spellEnd"/>
    </w:p>
    <w:p w14:paraId="6B588979" w14:textId="77777777" w:rsidR="000A3B2B" w:rsidRDefault="000A3B2B" w:rsidP="000E4A55">
      <w:pPr>
        <w:autoSpaceDE w:val="0"/>
        <w:autoSpaceDN w:val="0"/>
        <w:adjustRightInd w:val="0"/>
        <w:spacing w:after="30" w:line="240" w:lineRule="auto"/>
        <w:ind w:left="570" w:hanging="285"/>
        <w:jc w:val="both"/>
        <w:rPr>
          <w:rFonts w:ascii="Arial" w:hAnsi="Arial" w:cs="Arial"/>
          <w:i/>
          <w:iCs/>
          <w:color w:val="000000"/>
          <w:sz w:val="18"/>
          <w:szCs w:val="18"/>
          <w:lang w:val="x-none"/>
        </w:rPr>
      </w:pPr>
      <w:r>
        <w:rPr>
          <w:rFonts w:ascii="Arial" w:hAnsi="Arial" w:cs="Arial"/>
          <w:i/>
          <w:iCs/>
          <w:color w:val="000000"/>
          <w:sz w:val="18"/>
          <w:szCs w:val="18"/>
          <w:lang w:val="x-none"/>
        </w:rPr>
        <w:t>–</w:t>
      </w:r>
      <w:r>
        <w:rPr>
          <w:rFonts w:ascii="Arial" w:hAnsi="Arial" w:cs="Arial"/>
          <w:i/>
          <w:iCs/>
          <w:color w:val="000000"/>
          <w:sz w:val="18"/>
          <w:szCs w:val="18"/>
          <w:lang w:val="x-none"/>
        </w:rPr>
        <w:tab/>
        <w:t>projekt zagospodarowania terenu</w:t>
      </w:r>
    </w:p>
    <w:p w14:paraId="3E9EC49E" w14:textId="77777777" w:rsidR="000A3B2B" w:rsidRDefault="000A3B2B" w:rsidP="000E4A55">
      <w:pPr>
        <w:autoSpaceDE w:val="0"/>
        <w:autoSpaceDN w:val="0"/>
        <w:adjustRightInd w:val="0"/>
        <w:spacing w:after="30" w:line="240" w:lineRule="auto"/>
        <w:ind w:left="570" w:hanging="285"/>
        <w:jc w:val="both"/>
        <w:rPr>
          <w:rFonts w:ascii="Arial" w:hAnsi="Arial" w:cs="Arial"/>
          <w:i/>
          <w:iCs/>
          <w:color w:val="000000"/>
          <w:sz w:val="18"/>
          <w:szCs w:val="18"/>
          <w:lang w:val="x-none"/>
        </w:rPr>
      </w:pPr>
      <w:r>
        <w:rPr>
          <w:rFonts w:ascii="Arial" w:hAnsi="Arial" w:cs="Arial"/>
          <w:i/>
          <w:iCs/>
          <w:color w:val="000000"/>
          <w:sz w:val="18"/>
          <w:szCs w:val="18"/>
          <w:lang w:val="x-none"/>
        </w:rPr>
        <w:t>–</w:t>
      </w:r>
      <w:r>
        <w:rPr>
          <w:rFonts w:ascii="Arial" w:hAnsi="Arial" w:cs="Arial"/>
          <w:i/>
          <w:iCs/>
          <w:color w:val="000000"/>
          <w:sz w:val="18"/>
          <w:szCs w:val="18"/>
          <w:lang w:val="x-none"/>
        </w:rPr>
        <w:tab/>
        <w:t>projekty budowlane np. kubaturowe, drogowe, mostowe itp.</w:t>
      </w:r>
    </w:p>
    <w:p w14:paraId="6BE9BD55"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p>
    <w:p w14:paraId="01116137" w14:textId="77777777" w:rsidR="000A3B2B" w:rsidRDefault="000A3B2B" w:rsidP="000E4A5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1.6.2.</w:t>
      </w:r>
      <w:r>
        <w:rPr>
          <w:rFonts w:ascii="Arial" w:hAnsi="Arial" w:cs="Arial"/>
          <w:b/>
          <w:bCs/>
          <w:color w:val="000000"/>
          <w:sz w:val="18"/>
          <w:szCs w:val="18"/>
          <w:lang w:val="x-none"/>
        </w:rPr>
        <w:tab/>
        <w:t>Zgodność robót z dokumentacją projektową i SST</w:t>
      </w:r>
    </w:p>
    <w:p w14:paraId="12CB2DDC"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Dokumentacja projektowa, SST oraz dodatkowe dokumenty przekazane Wykonawcy przez Inspektora nadzoru inwestorskiego stanowią załączniki do umowy, a wymagania wyszczególnione w choćby jednym z nich są obowiązujące dla Wykonawcy tak jakby zawarte były w całej dokumentacji. Wymagania Inspektora nadzoru inwestorskiego wykraczające poza zakres przedmiotu umowy wymagają akceptacji Zamawiającego w ciągu 7 dni.</w:t>
      </w:r>
    </w:p>
    <w:p w14:paraId="17AB1137"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 przypadku rozbieżności w ustaleniach poszczególnych dokumentów obowiązuje kolejność ich ważności wymieniona w „Ogólnych warunkach umowy”.</w:t>
      </w:r>
    </w:p>
    <w:p w14:paraId="18C0241E"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 xml:space="preserve">Wykonawca nie może wykorzystywać błędów lub </w:t>
      </w:r>
      <w:proofErr w:type="spellStart"/>
      <w:r>
        <w:rPr>
          <w:rFonts w:ascii="Arial" w:hAnsi="Arial" w:cs="Arial"/>
          <w:color w:val="000000"/>
          <w:sz w:val="18"/>
          <w:szCs w:val="18"/>
          <w:lang w:val="x-none"/>
        </w:rPr>
        <w:t>opuszczeń</w:t>
      </w:r>
      <w:proofErr w:type="spellEnd"/>
      <w:r>
        <w:rPr>
          <w:rFonts w:ascii="Arial" w:hAnsi="Arial" w:cs="Arial"/>
          <w:color w:val="000000"/>
          <w:sz w:val="18"/>
          <w:szCs w:val="18"/>
          <w:lang w:val="x-none"/>
        </w:rPr>
        <w:t xml:space="preserve"> w dokumentach kontraktowych, a o ich wykryciu winien natychmiast powiadomić Inspektora nadzoru inwestorskiego, który dokona odpowiednich zmian i poprawek.</w:t>
      </w:r>
    </w:p>
    <w:p w14:paraId="1E36466A"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Wszystkie wykonane roboty i dostarczone materiały mają być zgodne z dokumentacją projektową i SST.</w:t>
      </w:r>
    </w:p>
    <w:p w14:paraId="2338127C"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Wielkości określone w dokumentacji projektowej i w SST będą uważane za wartości docelowe, od których dopuszczalne są odchylenia w ramach określonego przedziału tolerancji.</w:t>
      </w:r>
    </w:p>
    <w:p w14:paraId="3929E332"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Cechy materiałów i elementów budowli muszą być jednorodne i wykazywać zgodność z określonymi wymaganiami, a rozrzuty tych cech nie mogą przekraczać dopuszczalnego przedziału tolerancji.</w:t>
      </w:r>
    </w:p>
    <w:p w14:paraId="16FDC394"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 przypadku, gdy dostarczane materiały lub wykonane roboty nie są zgodne z dokumentacją projektową lub SST i mają wpływ na niezadowalającą jakość elementu budowli, to takie materiały zostaną zastąpione innymi, a elementy budowli rozebrane i wykonane ponownie na koszt Wykonawcy.</w:t>
      </w:r>
    </w:p>
    <w:p w14:paraId="2044CECC"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p>
    <w:p w14:paraId="0ABE2D46" w14:textId="77777777" w:rsidR="000A3B2B" w:rsidRDefault="000A3B2B" w:rsidP="000E4A5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lastRenderedPageBreak/>
        <w:t>1.7.</w:t>
      </w:r>
      <w:r>
        <w:rPr>
          <w:rFonts w:ascii="Arial" w:hAnsi="Arial" w:cs="Arial"/>
          <w:b/>
          <w:bCs/>
          <w:color w:val="000000"/>
          <w:sz w:val="18"/>
          <w:szCs w:val="18"/>
          <w:lang w:val="x-none"/>
        </w:rPr>
        <w:tab/>
        <w:t>Określenia podstawowe (definicje pojęć)</w:t>
      </w:r>
    </w:p>
    <w:p w14:paraId="3CDB7CA5" w14:textId="77777777" w:rsidR="000A3B2B" w:rsidRDefault="000A3B2B" w:rsidP="000E4A5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1.7.1.</w:t>
      </w:r>
      <w:r>
        <w:rPr>
          <w:rFonts w:ascii="Arial" w:hAnsi="Arial" w:cs="Arial"/>
          <w:b/>
          <w:bCs/>
          <w:color w:val="000000"/>
          <w:sz w:val="18"/>
          <w:szCs w:val="18"/>
          <w:lang w:val="x-none"/>
        </w:rPr>
        <w:tab/>
        <w:t>Określenia podstawowe dotyczące wykonywania wszystkich rodzajów robót</w:t>
      </w:r>
    </w:p>
    <w:p w14:paraId="4B4991D8"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1.</w:t>
      </w:r>
      <w:r>
        <w:rPr>
          <w:rFonts w:ascii="Arial" w:hAnsi="Arial" w:cs="Arial"/>
          <w:color w:val="000000"/>
          <w:sz w:val="18"/>
          <w:szCs w:val="18"/>
          <w:lang w:val="x-none"/>
        </w:rPr>
        <w:tab/>
      </w:r>
      <w:r>
        <w:rPr>
          <w:rFonts w:ascii="Arial" w:hAnsi="Arial" w:cs="Arial"/>
          <w:b/>
          <w:bCs/>
          <w:color w:val="000000"/>
          <w:sz w:val="18"/>
          <w:szCs w:val="18"/>
          <w:lang w:val="x-none"/>
        </w:rPr>
        <w:t>Obiekt budowlany</w:t>
      </w:r>
      <w:r>
        <w:rPr>
          <w:rFonts w:ascii="Arial" w:hAnsi="Arial" w:cs="Arial"/>
          <w:color w:val="000000"/>
          <w:sz w:val="18"/>
          <w:szCs w:val="18"/>
          <w:lang w:val="x-none"/>
        </w:rPr>
        <w:t xml:space="preserve"> – budynek, budowla bądź obiekt małej architektury, wraz z instalacjami zapewniającymi możliwość użytkowania obiektu zgodnie z jego przeznaczeniem, wzniesiony z użyciem wyrobów budowlanych</w:t>
      </w:r>
    </w:p>
    <w:p w14:paraId="606CE562"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2.</w:t>
      </w:r>
      <w:r>
        <w:rPr>
          <w:rFonts w:ascii="Arial" w:hAnsi="Arial" w:cs="Arial"/>
          <w:color w:val="000000"/>
          <w:sz w:val="18"/>
          <w:szCs w:val="18"/>
          <w:lang w:val="x-none"/>
        </w:rPr>
        <w:tab/>
      </w:r>
      <w:r>
        <w:rPr>
          <w:rFonts w:ascii="Arial" w:hAnsi="Arial" w:cs="Arial"/>
          <w:b/>
          <w:bCs/>
          <w:color w:val="000000"/>
          <w:sz w:val="18"/>
          <w:szCs w:val="18"/>
          <w:lang w:val="x-none"/>
        </w:rPr>
        <w:t>Budynek</w:t>
      </w:r>
      <w:r>
        <w:rPr>
          <w:rFonts w:ascii="Arial" w:hAnsi="Arial" w:cs="Arial"/>
          <w:color w:val="000000"/>
          <w:sz w:val="18"/>
          <w:szCs w:val="18"/>
          <w:lang w:val="x-none"/>
        </w:rPr>
        <w:t xml:space="preserve"> – obiekt budowlany, który jest trwale związany z gruntem, wydzielony z przestrzeni za pomocą przegród budowlanych oraz posiada fundamenty i dach;</w:t>
      </w:r>
    </w:p>
    <w:p w14:paraId="4CA8B93E"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3.</w:t>
      </w:r>
      <w:r>
        <w:rPr>
          <w:rFonts w:ascii="Arial" w:hAnsi="Arial" w:cs="Arial"/>
          <w:color w:val="000000"/>
          <w:sz w:val="18"/>
          <w:szCs w:val="18"/>
          <w:lang w:val="x-none"/>
        </w:rPr>
        <w:tab/>
      </w:r>
      <w:r>
        <w:rPr>
          <w:rFonts w:ascii="Arial" w:hAnsi="Arial" w:cs="Arial"/>
          <w:b/>
          <w:bCs/>
          <w:color w:val="000000"/>
          <w:sz w:val="18"/>
          <w:szCs w:val="18"/>
          <w:lang w:val="x-none"/>
        </w:rPr>
        <w:t>Budowla</w:t>
      </w:r>
      <w:r>
        <w:rPr>
          <w:rFonts w:ascii="Arial" w:hAnsi="Arial" w:cs="Arial"/>
          <w:color w:val="000000"/>
          <w:sz w:val="18"/>
          <w:szCs w:val="18"/>
          <w:lang w:val="x-none"/>
        </w:rPr>
        <w:t xml:space="preserve"> – każdy obiekt budowlany nie będący budynkiem lub obiektem małej architektury, jak: lotniska, drogi, linie kolejowe, mosty, wiadukty, estakady, tunele, przepusty, sieci techniczne, wolno stojące maszty antenowe, wolno stojące trwale związane z gruntem urządzenia reklamowe, budowle ziemne, obronne (fortyfikacje), ochronne, hydrotechniczne, zbiorniki, wolno stojące instalacje przemysłowe lub urządzenia techniczne, oczyszczalnie ścieków, składowiska odpadów, stacje uzdatniania wody, konstrukcje oporowe, nadziemne i podziemne przejścia dla pieszych, sieci uzbrojenia terenu, budowle sportowe, cmentarze, pomniki, a także części budowlane urządzeń technicznych (kotłów, pieców przemysłowych i innych urządzeń) oraz fundamenty pod maszyny i urządzenia, jako odrębne pod względem technicznym części przedmiotów składających się na całość użytkową;</w:t>
      </w:r>
    </w:p>
    <w:p w14:paraId="7FD754CA"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4.</w:t>
      </w:r>
      <w:r>
        <w:rPr>
          <w:rFonts w:ascii="Arial" w:hAnsi="Arial" w:cs="Arial"/>
          <w:color w:val="000000"/>
          <w:sz w:val="18"/>
          <w:szCs w:val="18"/>
          <w:lang w:val="x-none"/>
        </w:rPr>
        <w:tab/>
      </w:r>
      <w:r>
        <w:rPr>
          <w:rFonts w:ascii="Arial" w:hAnsi="Arial" w:cs="Arial"/>
          <w:b/>
          <w:bCs/>
          <w:color w:val="000000"/>
          <w:sz w:val="18"/>
          <w:szCs w:val="18"/>
          <w:lang w:val="x-none"/>
        </w:rPr>
        <w:t xml:space="preserve">Obiekt liniowy </w:t>
      </w:r>
      <w:r>
        <w:rPr>
          <w:rFonts w:ascii="Arial" w:hAnsi="Arial" w:cs="Arial"/>
          <w:color w:val="000000"/>
          <w:sz w:val="18"/>
          <w:szCs w:val="18"/>
          <w:lang w:val="x-none"/>
        </w:rPr>
        <w:t>– obiekt budowlany, którego charakterystycznym parametrem jest długość, w szczególności droga wraz ze zjazdami, linia kolejowa, wodociąg, kanał, gazociąg, ciepłociąg, rurociąg, linia i trakcja elektroenergetyczna, linia kablowa nadziemna i umieszczona bezpośrednio w ziemi, podziemna, wał przeciwpowodziowy oraz kanalizacja kablowa, przy czym kable w niej zainstalowane nie stanowią obiektu budowlanego lub jego części ani urządzenia budowlanego;</w:t>
      </w:r>
    </w:p>
    <w:p w14:paraId="02DCBE5A"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5.</w:t>
      </w:r>
      <w:r>
        <w:rPr>
          <w:rFonts w:ascii="Arial" w:hAnsi="Arial" w:cs="Arial"/>
          <w:color w:val="000000"/>
          <w:sz w:val="18"/>
          <w:szCs w:val="18"/>
          <w:lang w:val="x-none"/>
        </w:rPr>
        <w:tab/>
      </w:r>
      <w:r>
        <w:rPr>
          <w:rFonts w:ascii="Arial" w:hAnsi="Arial" w:cs="Arial"/>
          <w:b/>
          <w:bCs/>
          <w:color w:val="000000"/>
          <w:sz w:val="18"/>
          <w:szCs w:val="18"/>
          <w:lang w:val="x-none"/>
        </w:rPr>
        <w:t>Obiekty małej architektury</w:t>
      </w:r>
      <w:r>
        <w:rPr>
          <w:rFonts w:ascii="Arial" w:hAnsi="Arial" w:cs="Arial"/>
          <w:color w:val="000000"/>
          <w:sz w:val="18"/>
          <w:szCs w:val="18"/>
          <w:lang w:val="x-none"/>
        </w:rPr>
        <w:t xml:space="preserve"> – niewielkie obiekty, a w szczególności: </w:t>
      </w:r>
    </w:p>
    <w:p w14:paraId="697F24A3" w14:textId="77777777" w:rsidR="000A3B2B" w:rsidRDefault="000A3B2B" w:rsidP="000E4A55">
      <w:pPr>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t>a)</w:t>
      </w:r>
      <w:r>
        <w:rPr>
          <w:rFonts w:ascii="Arial" w:hAnsi="Arial" w:cs="Arial"/>
          <w:color w:val="000000"/>
          <w:sz w:val="18"/>
          <w:szCs w:val="18"/>
          <w:lang w:val="x-none"/>
        </w:rPr>
        <w:tab/>
        <w:t>kultu religijnego, jak: kapliczki, krzyże przydrożne, figury,</w:t>
      </w:r>
    </w:p>
    <w:p w14:paraId="4DAD65EC" w14:textId="77777777" w:rsidR="000A3B2B" w:rsidRDefault="000A3B2B" w:rsidP="000E4A55">
      <w:pPr>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t>b)</w:t>
      </w:r>
      <w:r>
        <w:rPr>
          <w:rFonts w:ascii="Arial" w:hAnsi="Arial" w:cs="Arial"/>
          <w:color w:val="000000"/>
          <w:sz w:val="18"/>
          <w:szCs w:val="18"/>
          <w:lang w:val="x-none"/>
        </w:rPr>
        <w:tab/>
        <w:t>posągi, wodotryski i inne obiekty architektury ogrodowej,</w:t>
      </w:r>
    </w:p>
    <w:p w14:paraId="102BDE03" w14:textId="77777777" w:rsidR="000A3B2B" w:rsidRDefault="000A3B2B" w:rsidP="000E4A55">
      <w:pPr>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t>c)</w:t>
      </w:r>
      <w:r>
        <w:rPr>
          <w:rFonts w:ascii="Arial" w:hAnsi="Arial" w:cs="Arial"/>
          <w:color w:val="000000"/>
          <w:sz w:val="18"/>
          <w:szCs w:val="18"/>
          <w:lang w:val="x-none"/>
        </w:rPr>
        <w:tab/>
        <w:t>użytkowe służące rekreacji codziennej i utrzymaniu porządku, jak: piaskownice, huśtawki, drabinki, śmietniki.</w:t>
      </w:r>
    </w:p>
    <w:p w14:paraId="7DF0D34E"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6.</w:t>
      </w:r>
      <w:r>
        <w:rPr>
          <w:rFonts w:ascii="Arial" w:hAnsi="Arial" w:cs="Arial"/>
          <w:color w:val="000000"/>
          <w:sz w:val="18"/>
          <w:szCs w:val="18"/>
          <w:lang w:val="x-none"/>
        </w:rPr>
        <w:tab/>
      </w:r>
      <w:r>
        <w:rPr>
          <w:rFonts w:ascii="Arial" w:hAnsi="Arial" w:cs="Arial"/>
          <w:b/>
          <w:bCs/>
          <w:color w:val="000000"/>
          <w:sz w:val="18"/>
          <w:szCs w:val="18"/>
          <w:lang w:val="x-none"/>
        </w:rPr>
        <w:t>Tymczasowy obiekt budowlany</w:t>
      </w:r>
      <w:r>
        <w:rPr>
          <w:rFonts w:ascii="Arial" w:hAnsi="Arial" w:cs="Arial"/>
          <w:color w:val="000000"/>
          <w:sz w:val="18"/>
          <w:szCs w:val="18"/>
          <w:lang w:val="x-none"/>
        </w:rPr>
        <w:t xml:space="preserve"> – obiekt budowlany przeznaczony do czasowego użytkowania w okresie krótszym od jego trwałości technicznej, przewidziany do przeniesienia w inne miejsce lub rozbiórki, a także obiekt budowlany niepołączony trwale z gruntem, jak strzelnice, kioski uliczne, pawilony sprzedaży ulicznej i wystawowe, </w:t>
      </w:r>
      <w:proofErr w:type="spellStart"/>
      <w:r>
        <w:rPr>
          <w:rFonts w:ascii="Arial" w:hAnsi="Arial" w:cs="Arial"/>
          <w:color w:val="000000"/>
          <w:sz w:val="18"/>
          <w:szCs w:val="18"/>
          <w:lang w:val="x-none"/>
        </w:rPr>
        <w:t>przekrycia</w:t>
      </w:r>
      <w:proofErr w:type="spellEnd"/>
      <w:r>
        <w:rPr>
          <w:rFonts w:ascii="Arial" w:hAnsi="Arial" w:cs="Arial"/>
          <w:color w:val="000000"/>
          <w:sz w:val="18"/>
          <w:szCs w:val="18"/>
          <w:lang w:val="x-none"/>
        </w:rPr>
        <w:t xml:space="preserve"> namiotowe i powłoki pneumatyczne, urządzenia rozrywkowe, barakowozy, obiekty kontenerowe;</w:t>
      </w:r>
    </w:p>
    <w:p w14:paraId="1AE75CB6"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7.</w:t>
      </w:r>
      <w:r>
        <w:rPr>
          <w:rFonts w:ascii="Arial" w:hAnsi="Arial" w:cs="Arial"/>
          <w:color w:val="000000"/>
          <w:sz w:val="18"/>
          <w:szCs w:val="18"/>
          <w:lang w:val="x-none"/>
        </w:rPr>
        <w:tab/>
      </w:r>
      <w:r>
        <w:rPr>
          <w:rFonts w:ascii="Arial" w:hAnsi="Arial" w:cs="Arial"/>
          <w:b/>
          <w:bCs/>
          <w:color w:val="000000"/>
          <w:sz w:val="18"/>
          <w:szCs w:val="18"/>
          <w:lang w:val="x-none"/>
        </w:rPr>
        <w:t>Urządzenia budowlane</w:t>
      </w:r>
      <w:r>
        <w:rPr>
          <w:rFonts w:ascii="Arial" w:hAnsi="Arial" w:cs="Arial"/>
          <w:color w:val="000000"/>
          <w:sz w:val="18"/>
          <w:szCs w:val="18"/>
          <w:lang w:val="x-none"/>
        </w:rPr>
        <w:t xml:space="preserve"> – urządzenia techniczne związane z obiektem budowlanym zapewniające możliwość użytkowania obiektu zgodnie z jego przeznaczeniem, jak przyłącza i urządzenia instalacyjne, w tym służące oczyszczaniu lub gromadzeniu ścieków, a także przejazdy, ogrodzenia, place postojowe i place pod śmietniki;</w:t>
      </w:r>
    </w:p>
    <w:p w14:paraId="38DC71E2"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8.</w:t>
      </w:r>
      <w:r>
        <w:rPr>
          <w:rFonts w:ascii="Arial" w:hAnsi="Arial" w:cs="Arial"/>
          <w:color w:val="000000"/>
          <w:sz w:val="18"/>
          <w:szCs w:val="18"/>
          <w:lang w:val="x-none"/>
        </w:rPr>
        <w:tab/>
      </w:r>
      <w:r>
        <w:rPr>
          <w:rFonts w:ascii="Arial" w:hAnsi="Arial" w:cs="Arial"/>
          <w:b/>
          <w:bCs/>
          <w:color w:val="000000"/>
          <w:sz w:val="18"/>
          <w:szCs w:val="18"/>
          <w:lang w:val="x-none"/>
        </w:rPr>
        <w:t>Budowa</w:t>
      </w:r>
      <w:r>
        <w:rPr>
          <w:rFonts w:ascii="Arial" w:hAnsi="Arial" w:cs="Arial"/>
          <w:color w:val="000000"/>
          <w:sz w:val="18"/>
          <w:szCs w:val="18"/>
          <w:lang w:val="x-none"/>
        </w:rPr>
        <w:t xml:space="preserve"> – wykonywanie obiektu budowlanego w określonym miejscu, a także odbudowa, rozbudowa, nadbudowa obiektu budowlanego;</w:t>
      </w:r>
    </w:p>
    <w:p w14:paraId="7C09B4AE"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9.</w:t>
      </w:r>
      <w:r>
        <w:rPr>
          <w:rFonts w:ascii="Arial" w:hAnsi="Arial" w:cs="Arial"/>
          <w:color w:val="000000"/>
          <w:sz w:val="18"/>
          <w:szCs w:val="18"/>
          <w:lang w:val="x-none"/>
        </w:rPr>
        <w:tab/>
      </w:r>
      <w:r>
        <w:rPr>
          <w:rFonts w:ascii="Arial" w:hAnsi="Arial" w:cs="Arial"/>
          <w:b/>
          <w:bCs/>
          <w:color w:val="000000"/>
          <w:sz w:val="18"/>
          <w:szCs w:val="18"/>
          <w:lang w:val="x-none"/>
        </w:rPr>
        <w:t>Roboty budowlane</w:t>
      </w:r>
      <w:r>
        <w:rPr>
          <w:rFonts w:ascii="Arial" w:hAnsi="Arial" w:cs="Arial"/>
          <w:color w:val="000000"/>
          <w:sz w:val="18"/>
          <w:szCs w:val="18"/>
          <w:lang w:val="x-none"/>
        </w:rPr>
        <w:t xml:space="preserve"> – budowa, a także prace polegające na przebudowie, montażu, remoncie lub rozbiórce obiektu budowlanego;</w:t>
      </w:r>
    </w:p>
    <w:p w14:paraId="1B655F4A"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10.</w:t>
      </w:r>
      <w:r>
        <w:rPr>
          <w:rFonts w:ascii="Arial" w:hAnsi="Arial" w:cs="Arial"/>
          <w:color w:val="000000"/>
          <w:sz w:val="18"/>
          <w:szCs w:val="18"/>
          <w:lang w:val="x-none"/>
        </w:rPr>
        <w:tab/>
      </w:r>
      <w:r>
        <w:rPr>
          <w:rFonts w:ascii="Arial" w:hAnsi="Arial" w:cs="Arial"/>
          <w:b/>
          <w:bCs/>
          <w:color w:val="000000"/>
          <w:sz w:val="18"/>
          <w:szCs w:val="18"/>
          <w:lang w:val="x-none"/>
        </w:rPr>
        <w:t>Przebudowa</w:t>
      </w:r>
      <w:r>
        <w:rPr>
          <w:rFonts w:ascii="Arial" w:hAnsi="Arial" w:cs="Arial"/>
          <w:color w:val="000000"/>
          <w:sz w:val="18"/>
          <w:szCs w:val="18"/>
          <w:lang w:val="x-none"/>
        </w:rPr>
        <w:t xml:space="preserve"> – wykonywanie robót budowlanych, w wyniku których następuje zmiana parametrów użytkowych lub technicznych istniejącego obiektu budowlanego, z wyjątkiem charakterystycznych parametrów, jak: kubatura, powierzchnia zabudowy, wysokość długość, szerokość bądź liczba kondygnacji, w przypadku dróg dopuszczalne zmiany charakterystycznych parametrów w zakresie niewymagającym zmiany granic pasa drogowego;</w:t>
      </w:r>
    </w:p>
    <w:p w14:paraId="1B0558E6"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11.</w:t>
      </w:r>
      <w:r>
        <w:rPr>
          <w:rFonts w:ascii="Arial" w:hAnsi="Arial" w:cs="Arial"/>
          <w:color w:val="000000"/>
          <w:sz w:val="18"/>
          <w:szCs w:val="18"/>
          <w:lang w:val="x-none"/>
        </w:rPr>
        <w:tab/>
      </w:r>
      <w:r>
        <w:rPr>
          <w:rFonts w:ascii="Arial" w:hAnsi="Arial" w:cs="Arial"/>
          <w:b/>
          <w:bCs/>
          <w:color w:val="000000"/>
          <w:sz w:val="18"/>
          <w:szCs w:val="18"/>
          <w:lang w:val="x-none"/>
        </w:rPr>
        <w:t>Remont</w:t>
      </w:r>
      <w:r>
        <w:rPr>
          <w:rFonts w:ascii="Arial" w:hAnsi="Arial" w:cs="Arial"/>
          <w:color w:val="000000"/>
          <w:sz w:val="18"/>
          <w:szCs w:val="18"/>
          <w:lang w:val="x-none"/>
        </w:rPr>
        <w:t xml:space="preserve"> – wykonywanie w istniejącym obiekcie budowlanym robót budowlanych polegających na odtworzeniu stanu pierwotnego, a niestanowiących bieżącej konserwacji, przy czym dopuszcza się stosowanie wyrobów budowlanych innych niż użyto w stanie pierwotnym;</w:t>
      </w:r>
    </w:p>
    <w:p w14:paraId="3730402E"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12.</w:t>
      </w:r>
      <w:r>
        <w:rPr>
          <w:rFonts w:ascii="Arial" w:hAnsi="Arial" w:cs="Arial"/>
          <w:color w:val="000000"/>
          <w:sz w:val="18"/>
          <w:szCs w:val="18"/>
          <w:lang w:val="x-none"/>
        </w:rPr>
        <w:tab/>
      </w:r>
      <w:r>
        <w:rPr>
          <w:rFonts w:ascii="Arial" w:hAnsi="Arial" w:cs="Arial"/>
          <w:b/>
          <w:bCs/>
          <w:color w:val="000000"/>
          <w:sz w:val="18"/>
          <w:szCs w:val="18"/>
          <w:lang w:val="x-none"/>
        </w:rPr>
        <w:t>Rekultywacja</w:t>
      </w:r>
      <w:r>
        <w:rPr>
          <w:rFonts w:ascii="Arial" w:hAnsi="Arial" w:cs="Arial"/>
          <w:color w:val="000000"/>
          <w:sz w:val="18"/>
          <w:szCs w:val="18"/>
          <w:lang w:val="x-none"/>
        </w:rPr>
        <w:t xml:space="preserve"> – roboty mające na celu uporządkowanie i przywrócenie pierwotnych funkcji terenu naruszonego w czasie realizacji budowy lub robót budowlanych;</w:t>
      </w:r>
    </w:p>
    <w:p w14:paraId="511AE945"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13.</w:t>
      </w:r>
      <w:r>
        <w:rPr>
          <w:rFonts w:ascii="Arial" w:hAnsi="Arial" w:cs="Arial"/>
          <w:color w:val="000000"/>
          <w:sz w:val="18"/>
          <w:szCs w:val="18"/>
          <w:lang w:val="x-none"/>
        </w:rPr>
        <w:tab/>
      </w:r>
      <w:r>
        <w:rPr>
          <w:rFonts w:ascii="Arial" w:hAnsi="Arial" w:cs="Arial"/>
          <w:b/>
          <w:bCs/>
          <w:color w:val="000000"/>
          <w:sz w:val="18"/>
          <w:szCs w:val="18"/>
          <w:lang w:val="x-none"/>
        </w:rPr>
        <w:t>Utrzymanie</w:t>
      </w:r>
      <w:r>
        <w:rPr>
          <w:rFonts w:ascii="Arial" w:hAnsi="Arial" w:cs="Arial"/>
          <w:color w:val="000000"/>
          <w:sz w:val="18"/>
          <w:szCs w:val="18"/>
          <w:lang w:val="x-none"/>
        </w:rPr>
        <w:t xml:space="preserve"> – kombinacja wszystkich działań technicznych i związanych z nimi działań administracyjnych podejmowanych w okresie użytkowania elementu w celu utrzymania go w stanie, w którym może on spełniać funkcje od niego żądane;</w:t>
      </w:r>
    </w:p>
    <w:p w14:paraId="1073DDA0"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14.</w:t>
      </w:r>
      <w:r>
        <w:rPr>
          <w:rFonts w:ascii="Arial" w:hAnsi="Arial" w:cs="Arial"/>
          <w:color w:val="000000"/>
          <w:sz w:val="18"/>
          <w:szCs w:val="18"/>
          <w:lang w:val="x-none"/>
        </w:rPr>
        <w:tab/>
      </w:r>
      <w:r>
        <w:rPr>
          <w:rFonts w:ascii="Arial" w:hAnsi="Arial" w:cs="Arial"/>
          <w:b/>
          <w:bCs/>
          <w:color w:val="000000"/>
          <w:sz w:val="18"/>
          <w:szCs w:val="18"/>
          <w:lang w:val="x-none"/>
        </w:rPr>
        <w:t>Konserwacja</w:t>
      </w:r>
      <w:r>
        <w:rPr>
          <w:rFonts w:ascii="Arial" w:hAnsi="Arial" w:cs="Arial"/>
          <w:color w:val="000000"/>
          <w:sz w:val="18"/>
          <w:szCs w:val="18"/>
          <w:lang w:val="x-none"/>
        </w:rPr>
        <w:t xml:space="preserve"> – utrzymanie mające na celu zachowanie właściwego wyglądu budynku lub innej konstrukcji, szczególnie o charakterze zabytkowym, a także ochrona ekosystemu w przyrodzie;</w:t>
      </w:r>
    </w:p>
    <w:p w14:paraId="480A09A2"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15.</w:t>
      </w:r>
      <w:r>
        <w:rPr>
          <w:rFonts w:ascii="Arial" w:hAnsi="Arial" w:cs="Arial"/>
          <w:b/>
          <w:bCs/>
          <w:color w:val="000000"/>
          <w:sz w:val="18"/>
          <w:szCs w:val="18"/>
          <w:lang w:val="x-none"/>
        </w:rPr>
        <w:tab/>
        <w:t>Ochrona zabytków</w:t>
      </w:r>
      <w:r>
        <w:rPr>
          <w:rFonts w:ascii="Arial" w:hAnsi="Arial" w:cs="Arial"/>
          <w:color w:val="000000"/>
          <w:sz w:val="18"/>
          <w:szCs w:val="18"/>
          <w:lang w:val="x-none"/>
        </w:rPr>
        <w:t xml:space="preserve"> – zabezpieczenie starych lub zabytkowych budynków oraz innej konstrukcji przed zburzeniem lub popadnięciem w ruinę;</w:t>
      </w:r>
    </w:p>
    <w:p w14:paraId="442062C5"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16.</w:t>
      </w:r>
      <w:r>
        <w:rPr>
          <w:rFonts w:ascii="Arial" w:hAnsi="Arial" w:cs="Arial"/>
          <w:color w:val="000000"/>
          <w:sz w:val="18"/>
          <w:szCs w:val="18"/>
          <w:lang w:val="x-none"/>
        </w:rPr>
        <w:tab/>
      </w:r>
      <w:r>
        <w:rPr>
          <w:rFonts w:ascii="Arial" w:hAnsi="Arial" w:cs="Arial"/>
          <w:b/>
          <w:bCs/>
          <w:color w:val="000000"/>
          <w:sz w:val="18"/>
          <w:szCs w:val="18"/>
          <w:lang w:val="x-none"/>
        </w:rPr>
        <w:t>Roboty podstawowe</w:t>
      </w:r>
      <w:r>
        <w:rPr>
          <w:rFonts w:ascii="Arial" w:hAnsi="Arial" w:cs="Arial"/>
          <w:color w:val="000000"/>
          <w:sz w:val="18"/>
          <w:szCs w:val="18"/>
          <w:lang w:val="x-none"/>
        </w:rPr>
        <w:t xml:space="preserve"> – minimalny zakres prac, które po wykonaniu są możliwe do odebrania pod względem ilości i wymogów jakościowych oraz uwzględniają przyjęty stopień scalenia robót;</w:t>
      </w:r>
    </w:p>
    <w:p w14:paraId="2979EE05"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17.</w:t>
      </w:r>
      <w:r>
        <w:rPr>
          <w:rFonts w:ascii="Arial" w:hAnsi="Arial" w:cs="Arial"/>
          <w:color w:val="000000"/>
          <w:sz w:val="18"/>
          <w:szCs w:val="18"/>
          <w:lang w:val="x-none"/>
        </w:rPr>
        <w:tab/>
      </w:r>
      <w:r>
        <w:rPr>
          <w:rFonts w:ascii="Arial" w:hAnsi="Arial" w:cs="Arial"/>
          <w:b/>
          <w:bCs/>
          <w:color w:val="000000"/>
          <w:sz w:val="18"/>
          <w:szCs w:val="18"/>
          <w:lang w:val="x-none"/>
        </w:rPr>
        <w:t>Roboty tymczasowe</w:t>
      </w:r>
      <w:r>
        <w:rPr>
          <w:rFonts w:ascii="Arial" w:hAnsi="Arial" w:cs="Arial"/>
          <w:color w:val="000000"/>
          <w:sz w:val="18"/>
          <w:szCs w:val="18"/>
          <w:lang w:val="x-none"/>
        </w:rPr>
        <w:t xml:space="preserve"> – roboty projektowane i wykonywane jako potrzebne do wykonania robót podstawowych, ale nie przekazywane zamawiającemu i usuwane po wykonaniu robót podstawowych, z wyłączeniem przypadków, gdy istnieją uzasadnione podstawy do ich odrębnego rozliczania</w:t>
      </w:r>
    </w:p>
    <w:p w14:paraId="45ACF01C"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18.</w:t>
      </w:r>
      <w:r>
        <w:rPr>
          <w:rFonts w:ascii="Arial" w:hAnsi="Arial" w:cs="Arial"/>
          <w:color w:val="000000"/>
          <w:sz w:val="18"/>
          <w:szCs w:val="18"/>
          <w:lang w:val="x-none"/>
        </w:rPr>
        <w:tab/>
      </w:r>
      <w:r>
        <w:rPr>
          <w:rFonts w:ascii="Arial" w:hAnsi="Arial" w:cs="Arial"/>
          <w:b/>
          <w:bCs/>
          <w:color w:val="000000"/>
          <w:sz w:val="18"/>
          <w:szCs w:val="18"/>
          <w:lang w:val="x-none"/>
        </w:rPr>
        <w:t>Prace towarzyszące</w:t>
      </w:r>
      <w:r>
        <w:rPr>
          <w:rFonts w:ascii="Arial" w:hAnsi="Arial" w:cs="Arial"/>
          <w:color w:val="000000"/>
          <w:sz w:val="18"/>
          <w:szCs w:val="18"/>
          <w:lang w:val="x-none"/>
        </w:rPr>
        <w:t xml:space="preserve"> – prace niezbędne do wykonania robót podstawowych niezaliczane do robót tymczasowych, w tym geodezyjne wytyczenie i inwentaryzacja powykonawcza;</w:t>
      </w:r>
    </w:p>
    <w:p w14:paraId="16844827"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19.</w:t>
      </w:r>
      <w:r>
        <w:rPr>
          <w:rFonts w:ascii="Arial" w:hAnsi="Arial" w:cs="Arial"/>
          <w:color w:val="000000"/>
          <w:sz w:val="18"/>
          <w:szCs w:val="18"/>
          <w:lang w:val="x-none"/>
        </w:rPr>
        <w:tab/>
      </w:r>
      <w:r>
        <w:rPr>
          <w:rFonts w:ascii="Arial" w:hAnsi="Arial" w:cs="Arial"/>
          <w:b/>
          <w:bCs/>
          <w:color w:val="000000"/>
          <w:sz w:val="18"/>
          <w:szCs w:val="18"/>
          <w:lang w:val="x-none"/>
        </w:rPr>
        <w:t>Tyczenie</w:t>
      </w:r>
      <w:r>
        <w:rPr>
          <w:rFonts w:ascii="Arial" w:hAnsi="Arial" w:cs="Arial"/>
          <w:color w:val="000000"/>
          <w:sz w:val="18"/>
          <w:szCs w:val="18"/>
          <w:lang w:val="x-none"/>
        </w:rPr>
        <w:t xml:space="preserve"> – ustalenie znaków i linii referencyjnych w celu określenia położenia i poziomu elementów dla wykonania robót budowlanych;</w:t>
      </w:r>
    </w:p>
    <w:p w14:paraId="6BD0BBCF"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lastRenderedPageBreak/>
        <w:t>20.</w:t>
      </w:r>
      <w:r>
        <w:rPr>
          <w:rFonts w:ascii="Arial" w:hAnsi="Arial" w:cs="Arial"/>
          <w:color w:val="000000"/>
          <w:sz w:val="18"/>
          <w:szCs w:val="18"/>
          <w:lang w:val="x-none"/>
        </w:rPr>
        <w:tab/>
      </w:r>
      <w:r>
        <w:rPr>
          <w:rFonts w:ascii="Arial" w:hAnsi="Arial" w:cs="Arial"/>
          <w:b/>
          <w:bCs/>
          <w:color w:val="000000"/>
          <w:sz w:val="18"/>
          <w:szCs w:val="18"/>
          <w:lang w:val="x-none"/>
        </w:rPr>
        <w:t>Teren budowy</w:t>
      </w:r>
      <w:r>
        <w:rPr>
          <w:rFonts w:ascii="Arial" w:hAnsi="Arial" w:cs="Arial"/>
          <w:color w:val="000000"/>
          <w:sz w:val="18"/>
          <w:szCs w:val="18"/>
          <w:lang w:val="x-none"/>
        </w:rPr>
        <w:t xml:space="preserve"> – przestrzeń, w której prowadzone są roboty budowlane wraz z przestrzenią zajmowaną przez urządzenia zaplecza budowy;</w:t>
      </w:r>
    </w:p>
    <w:p w14:paraId="41C1E484"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21.</w:t>
      </w:r>
      <w:r>
        <w:rPr>
          <w:rFonts w:ascii="Arial" w:hAnsi="Arial" w:cs="Arial"/>
          <w:color w:val="000000"/>
          <w:sz w:val="18"/>
          <w:szCs w:val="18"/>
          <w:lang w:val="x-none"/>
        </w:rPr>
        <w:tab/>
      </w:r>
      <w:r>
        <w:rPr>
          <w:rFonts w:ascii="Arial" w:hAnsi="Arial" w:cs="Arial"/>
          <w:b/>
          <w:bCs/>
          <w:color w:val="000000"/>
          <w:sz w:val="18"/>
          <w:szCs w:val="18"/>
          <w:lang w:val="x-none"/>
        </w:rPr>
        <w:t xml:space="preserve">Teren zamknięty </w:t>
      </w:r>
      <w:r>
        <w:rPr>
          <w:rFonts w:ascii="Arial" w:hAnsi="Arial" w:cs="Arial"/>
          <w:color w:val="000000"/>
          <w:sz w:val="18"/>
          <w:szCs w:val="18"/>
          <w:lang w:val="x-none"/>
        </w:rPr>
        <w:t>– teren zamknięty, o którym mowa w przepisach prawa geodezyjnego i kartograficznego;</w:t>
      </w:r>
    </w:p>
    <w:p w14:paraId="46688095"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22.</w:t>
      </w:r>
      <w:r>
        <w:rPr>
          <w:rFonts w:ascii="Arial" w:hAnsi="Arial" w:cs="Arial"/>
          <w:color w:val="000000"/>
          <w:sz w:val="18"/>
          <w:szCs w:val="18"/>
          <w:lang w:val="x-none"/>
        </w:rPr>
        <w:tab/>
      </w:r>
      <w:r>
        <w:rPr>
          <w:rFonts w:ascii="Arial" w:hAnsi="Arial" w:cs="Arial"/>
          <w:b/>
          <w:bCs/>
          <w:color w:val="000000"/>
          <w:sz w:val="18"/>
          <w:szCs w:val="18"/>
          <w:lang w:val="x-none"/>
        </w:rPr>
        <w:t>Obszar oddziaływania obiektu</w:t>
      </w:r>
      <w:r>
        <w:rPr>
          <w:rFonts w:ascii="Arial" w:hAnsi="Arial" w:cs="Arial"/>
          <w:color w:val="000000"/>
          <w:sz w:val="18"/>
          <w:szCs w:val="18"/>
          <w:lang w:val="x-none"/>
        </w:rPr>
        <w:t xml:space="preserve"> – teren wyznaczony w otoczeniu obiektu budowlanego na podstawie przepisów odrębnych, wprowadzających związane z tym obiektem ograniczenia w zagospodarowaniu, w tym zabudowy tego terenu;</w:t>
      </w:r>
    </w:p>
    <w:p w14:paraId="3219ABCC"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23.</w:t>
      </w:r>
      <w:r>
        <w:rPr>
          <w:rFonts w:ascii="Arial" w:hAnsi="Arial" w:cs="Arial"/>
          <w:color w:val="000000"/>
          <w:sz w:val="18"/>
          <w:szCs w:val="18"/>
          <w:lang w:val="x-none"/>
        </w:rPr>
        <w:tab/>
      </w:r>
      <w:r>
        <w:rPr>
          <w:rFonts w:ascii="Arial" w:hAnsi="Arial" w:cs="Arial"/>
          <w:b/>
          <w:bCs/>
          <w:color w:val="000000"/>
          <w:sz w:val="18"/>
          <w:szCs w:val="18"/>
          <w:lang w:val="x-none"/>
        </w:rPr>
        <w:t>Część obiektu lub etap wykonania</w:t>
      </w:r>
      <w:r>
        <w:rPr>
          <w:rFonts w:ascii="Arial" w:hAnsi="Arial" w:cs="Arial"/>
          <w:color w:val="000000"/>
          <w:sz w:val="18"/>
          <w:szCs w:val="18"/>
          <w:lang w:val="x-none"/>
        </w:rPr>
        <w:t xml:space="preserve"> – część obiektu budowlanego zdolna do spełniania przewidywanych funkcji techniczno-użytkowych i możliwa do odebrania i przekazania do eksploatacji.</w:t>
      </w:r>
    </w:p>
    <w:p w14:paraId="1DE07885"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24.</w:t>
      </w:r>
      <w:r>
        <w:rPr>
          <w:rFonts w:ascii="Arial" w:hAnsi="Arial" w:cs="Arial"/>
          <w:b/>
          <w:bCs/>
          <w:color w:val="000000"/>
          <w:sz w:val="18"/>
          <w:szCs w:val="18"/>
          <w:lang w:val="x-none"/>
        </w:rPr>
        <w:tab/>
        <w:t>Droga tymczasowa (montażowa)</w:t>
      </w:r>
      <w:r>
        <w:rPr>
          <w:rFonts w:ascii="Arial" w:hAnsi="Arial" w:cs="Arial"/>
          <w:color w:val="000000"/>
          <w:sz w:val="18"/>
          <w:szCs w:val="18"/>
          <w:lang w:val="x-none"/>
        </w:rPr>
        <w:t xml:space="preserve"> – droga specjalnie przygotowana, przeznaczona do ruchu pojazdów obsługujących roboty budowlane na czas ich wykonywania, przewidziana do usunięcia po ich zakończeniu.</w:t>
      </w:r>
    </w:p>
    <w:p w14:paraId="477C3DC3"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25.</w:t>
      </w:r>
      <w:r>
        <w:rPr>
          <w:rFonts w:ascii="Arial" w:hAnsi="Arial" w:cs="Arial"/>
          <w:b/>
          <w:bCs/>
          <w:color w:val="000000"/>
          <w:sz w:val="18"/>
          <w:szCs w:val="18"/>
          <w:lang w:val="x-none"/>
        </w:rPr>
        <w:tab/>
        <w:t>Prawo do dysponowania nieruchomością na cele budowlane</w:t>
      </w:r>
      <w:r>
        <w:rPr>
          <w:rFonts w:ascii="Arial" w:hAnsi="Arial" w:cs="Arial"/>
          <w:color w:val="000000"/>
          <w:sz w:val="18"/>
          <w:szCs w:val="18"/>
          <w:lang w:val="x-none"/>
        </w:rPr>
        <w:t xml:space="preserve"> – tytuł prawny wynikający z prawa własności, użytkowania wieczystego, zarządu, ograniczonego prawa rzeczowego albo stosunku zobowiązaniowego, przewidującego uprawnienia do wykonywania robót budowlanych.</w:t>
      </w:r>
    </w:p>
    <w:p w14:paraId="045A4B91"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26.</w:t>
      </w:r>
      <w:r>
        <w:rPr>
          <w:rFonts w:ascii="Arial" w:hAnsi="Arial" w:cs="Arial"/>
          <w:color w:val="000000"/>
          <w:sz w:val="18"/>
          <w:szCs w:val="18"/>
          <w:lang w:val="x-none"/>
        </w:rPr>
        <w:tab/>
      </w:r>
      <w:r>
        <w:rPr>
          <w:rFonts w:ascii="Arial" w:hAnsi="Arial" w:cs="Arial"/>
          <w:b/>
          <w:bCs/>
          <w:color w:val="000000"/>
          <w:sz w:val="18"/>
          <w:szCs w:val="18"/>
          <w:lang w:val="x-none"/>
        </w:rPr>
        <w:t>Pozwolenie na budowę</w:t>
      </w:r>
      <w:r>
        <w:rPr>
          <w:rFonts w:ascii="Arial" w:hAnsi="Arial" w:cs="Arial"/>
          <w:color w:val="000000"/>
          <w:sz w:val="18"/>
          <w:szCs w:val="18"/>
          <w:lang w:val="x-none"/>
        </w:rPr>
        <w:t xml:space="preserve"> – decyzja administracyjna zezwalająca na rozpoczęcie i prowadzenie budowy lub wykonywanie robót budowlanych innych niż budowa obiektu budowlanego.</w:t>
      </w:r>
    </w:p>
    <w:p w14:paraId="1711B878"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27.</w:t>
      </w:r>
      <w:r>
        <w:rPr>
          <w:rFonts w:ascii="Arial" w:hAnsi="Arial" w:cs="Arial"/>
          <w:color w:val="000000"/>
          <w:sz w:val="18"/>
          <w:szCs w:val="18"/>
          <w:lang w:val="x-none"/>
        </w:rPr>
        <w:tab/>
      </w:r>
      <w:r>
        <w:rPr>
          <w:rFonts w:ascii="Arial" w:hAnsi="Arial" w:cs="Arial"/>
          <w:b/>
          <w:bCs/>
          <w:color w:val="000000"/>
          <w:sz w:val="18"/>
          <w:szCs w:val="18"/>
          <w:lang w:val="x-none"/>
        </w:rPr>
        <w:t xml:space="preserve">Zgłoszenie budowy </w:t>
      </w:r>
      <w:r>
        <w:rPr>
          <w:rFonts w:ascii="Arial" w:hAnsi="Arial" w:cs="Arial"/>
          <w:color w:val="000000"/>
          <w:sz w:val="18"/>
          <w:szCs w:val="18"/>
          <w:lang w:val="x-none"/>
        </w:rPr>
        <w:t>– zgłoszenie o którym mowa w art. 29 ust. 1 pkt 1a, 2b, 19 i 19a ustawy z dnia 7 lipca 1994 r. – Prawo budowlane; to jest przekazany właściwemu organowi, komplet dokumentów dotyczących budowy lub robót dla których z ustawy Prawo Budowlane wynika taki obowiązek, na minimum 30 dni przed planowanym terminem ich rozpoczęcia, do którego organ ten nie wniósł sprzeciwu.</w:t>
      </w:r>
    </w:p>
    <w:p w14:paraId="1DDE8F50"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28.</w:t>
      </w:r>
      <w:r>
        <w:rPr>
          <w:rFonts w:ascii="Arial" w:hAnsi="Arial" w:cs="Arial"/>
          <w:color w:val="000000"/>
          <w:sz w:val="18"/>
          <w:szCs w:val="18"/>
          <w:lang w:val="x-none"/>
        </w:rPr>
        <w:tab/>
      </w:r>
      <w:r>
        <w:rPr>
          <w:rFonts w:ascii="Arial" w:hAnsi="Arial" w:cs="Arial"/>
          <w:b/>
          <w:bCs/>
          <w:color w:val="000000"/>
          <w:sz w:val="18"/>
          <w:szCs w:val="18"/>
          <w:lang w:val="x-none"/>
        </w:rPr>
        <w:t>Właściwy organ</w:t>
      </w:r>
      <w:r>
        <w:rPr>
          <w:rFonts w:ascii="Arial" w:hAnsi="Arial" w:cs="Arial"/>
          <w:color w:val="000000"/>
          <w:sz w:val="18"/>
          <w:szCs w:val="18"/>
          <w:lang w:val="x-none"/>
        </w:rPr>
        <w:t xml:space="preserve"> – organy administracji architektoniczno-budowlanej i nadzoru budowlanego, stosownie do ich właściwości określonej w rozdziale 8 „Prawa budowlanego”.</w:t>
      </w:r>
    </w:p>
    <w:p w14:paraId="7E2CC0FB"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29.</w:t>
      </w:r>
      <w:r>
        <w:rPr>
          <w:rFonts w:ascii="Arial" w:hAnsi="Arial" w:cs="Arial"/>
          <w:color w:val="000000"/>
          <w:sz w:val="18"/>
          <w:szCs w:val="18"/>
          <w:lang w:val="x-none"/>
        </w:rPr>
        <w:tab/>
      </w:r>
      <w:r>
        <w:rPr>
          <w:rFonts w:ascii="Arial" w:hAnsi="Arial" w:cs="Arial"/>
          <w:b/>
          <w:bCs/>
          <w:color w:val="000000"/>
          <w:sz w:val="18"/>
          <w:szCs w:val="18"/>
          <w:lang w:val="x-none"/>
        </w:rPr>
        <w:t>Organ samorządu zawodowego</w:t>
      </w:r>
      <w:r>
        <w:rPr>
          <w:rFonts w:ascii="Arial" w:hAnsi="Arial" w:cs="Arial"/>
          <w:color w:val="000000"/>
          <w:sz w:val="18"/>
          <w:szCs w:val="18"/>
          <w:lang w:val="x-none"/>
        </w:rPr>
        <w:t xml:space="preserve"> – organy określone w ustawie z dnia 15 grudnia 2000 r. o samorządach zawodowych architektów oraz inżynierów budownictwa (Dz. U. z 2014 r. poz. 1946 oraz z 2016 r. poz. 65);</w:t>
      </w:r>
    </w:p>
    <w:p w14:paraId="15F463FC"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30.</w:t>
      </w:r>
      <w:r>
        <w:rPr>
          <w:rFonts w:ascii="Arial" w:hAnsi="Arial" w:cs="Arial"/>
          <w:color w:val="000000"/>
          <w:sz w:val="18"/>
          <w:szCs w:val="18"/>
          <w:lang w:val="x-none"/>
        </w:rPr>
        <w:tab/>
      </w:r>
      <w:r>
        <w:rPr>
          <w:rFonts w:ascii="Arial" w:hAnsi="Arial" w:cs="Arial"/>
          <w:b/>
          <w:bCs/>
          <w:color w:val="000000"/>
          <w:sz w:val="18"/>
          <w:szCs w:val="18"/>
          <w:lang w:val="x-none"/>
        </w:rPr>
        <w:t>Opłata</w:t>
      </w:r>
      <w:r>
        <w:rPr>
          <w:rFonts w:ascii="Arial" w:hAnsi="Arial" w:cs="Arial"/>
          <w:color w:val="000000"/>
          <w:sz w:val="18"/>
          <w:szCs w:val="18"/>
          <w:lang w:val="x-none"/>
        </w:rPr>
        <w:t xml:space="preserve"> – kwota należności wnoszona przez zobowiązanego za określone ustawą obowiązkowe kontrole dokonywane przez właściwy organ.</w:t>
      </w:r>
    </w:p>
    <w:p w14:paraId="5BAC6554"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31.</w:t>
      </w:r>
      <w:r>
        <w:rPr>
          <w:rFonts w:ascii="Arial" w:hAnsi="Arial" w:cs="Arial"/>
          <w:color w:val="000000"/>
          <w:sz w:val="18"/>
          <w:szCs w:val="18"/>
          <w:lang w:val="x-none"/>
        </w:rPr>
        <w:tab/>
      </w:r>
      <w:r>
        <w:rPr>
          <w:rFonts w:ascii="Arial" w:hAnsi="Arial" w:cs="Arial"/>
          <w:b/>
          <w:bCs/>
          <w:color w:val="000000"/>
          <w:sz w:val="18"/>
          <w:szCs w:val="18"/>
          <w:lang w:val="x-none"/>
        </w:rPr>
        <w:t xml:space="preserve">Kierownik budowy </w:t>
      </w:r>
      <w:r>
        <w:rPr>
          <w:rFonts w:ascii="Arial" w:hAnsi="Arial" w:cs="Arial"/>
          <w:color w:val="000000"/>
          <w:sz w:val="18"/>
          <w:szCs w:val="18"/>
          <w:lang w:val="x-none"/>
        </w:rPr>
        <w:t>– osoba posiadająca kompetencje wynikające z ustawy Prawo Budowlane, wyznaczona przez Wykonawcę robót, upoważniona do kierowania robotami i do występowania w jego imieniu w sprawach realizacji kontraktu oraz odpowiedzialna za prowadzenie budowy (robót) zgodnie z dokumentacją projektową i odpowiednimi przepisami;</w:t>
      </w:r>
    </w:p>
    <w:p w14:paraId="7FB83CDA"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32.</w:t>
      </w:r>
      <w:r>
        <w:rPr>
          <w:rFonts w:ascii="Arial" w:hAnsi="Arial" w:cs="Arial"/>
          <w:b/>
          <w:bCs/>
          <w:color w:val="000000"/>
          <w:sz w:val="18"/>
          <w:szCs w:val="18"/>
          <w:lang w:val="x-none"/>
        </w:rPr>
        <w:tab/>
        <w:t>Inspektor nadzoru inwestorskiego</w:t>
      </w:r>
      <w:r>
        <w:rPr>
          <w:rFonts w:ascii="Arial" w:hAnsi="Arial" w:cs="Arial"/>
          <w:color w:val="000000"/>
          <w:sz w:val="18"/>
          <w:szCs w:val="18"/>
          <w:lang w:val="x-none"/>
        </w:rPr>
        <w:t xml:space="preserve"> – osoba posiadająca odpowiednie wykształcenie techniczne i praktykę zawodową oraz uprawnienia budowlane, wykonująca samodzielne funkcje techniczne w budownictwie, której inwestor powierza nadzór nad budową obiektu budowlanego. Reprezentuje on interesy inwestora na budowie i wykonuje bieżącą kontrolę jakości i ilości wykonanych robot, bierze udział w sprawdzeniach i odbiorach robót zakrywanych i zanikających, badaniu i odbiorze instalacji oraz urządzeń technicznych, jak również przy odbiorze gotowego obiektu;</w:t>
      </w:r>
    </w:p>
    <w:p w14:paraId="5A036244"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33.</w:t>
      </w:r>
      <w:r>
        <w:rPr>
          <w:rFonts w:ascii="Arial" w:hAnsi="Arial" w:cs="Arial"/>
          <w:b/>
          <w:bCs/>
          <w:color w:val="000000"/>
          <w:sz w:val="18"/>
          <w:szCs w:val="18"/>
          <w:lang w:val="x-none"/>
        </w:rPr>
        <w:tab/>
        <w:t xml:space="preserve">Polecenie Inspektora nadzoru inwestorskiego </w:t>
      </w:r>
      <w:r>
        <w:rPr>
          <w:rFonts w:ascii="Arial" w:hAnsi="Arial" w:cs="Arial"/>
          <w:color w:val="000000"/>
          <w:sz w:val="18"/>
          <w:szCs w:val="18"/>
          <w:lang w:val="x-none"/>
        </w:rPr>
        <w:t>– wszelkie polecenia przekazane Wykonawcy przez inspektora nadzoru inwestorskiego w formie zapisu w dzienniku budowy lub innej pisemnej, dotyczące sposobu realizacji robót lub innych spraw związanych z prowadzeniem budowy;</w:t>
      </w:r>
    </w:p>
    <w:p w14:paraId="4EDDBA45"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34.</w:t>
      </w:r>
      <w:r>
        <w:rPr>
          <w:rFonts w:ascii="Arial" w:hAnsi="Arial" w:cs="Arial"/>
          <w:color w:val="000000"/>
          <w:sz w:val="18"/>
          <w:szCs w:val="18"/>
          <w:lang w:val="x-none"/>
        </w:rPr>
        <w:tab/>
      </w:r>
      <w:r>
        <w:rPr>
          <w:rFonts w:ascii="Arial" w:hAnsi="Arial" w:cs="Arial"/>
          <w:b/>
          <w:bCs/>
          <w:color w:val="000000"/>
          <w:sz w:val="18"/>
          <w:szCs w:val="18"/>
          <w:lang w:val="x-none"/>
        </w:rPr>
        <w:t>Projektant</w:t>
      </w:r>
      <w:r>
        <w:rPr>
          <w:rFonts w:ascii="Arial" w:hAnsi="Arial" w:cs="Arial"/>
          <w:color w:val="000000"/>
          <w:sz w:val="18"/>
          <w:szCs w:val="18"/>
          <w:lang w:val="x-none"/>
        </w:rPr>
        <w:t xml:space="preserve"> – osoba prawna lub fizyczna, wskazana przez jednostkę będącą autorem dokumentacji projektowej do pełnienia nadzoru autorskiego, albo osoba fizyczna wskazana z imienia i nazwiska jako projektant w projekcie budowlanym lub wykonawczym;</w:t>
      </w:r>
    </w:p>
    <w:p w14:paraId="2B3FD4AA"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35.</w:t>
      </w:r>
      <w:r>
        <w:rPr>
          <w:rFonts w:ascii="Arial" w:hAnsi="Arial" w:cs="Arial"/>
          <w:color w:val="000000"/>
          <w:sz w:val="18"/>
          <w:szCs w:val="18"/>
          <w:lang w:val="x-none"/>
        </w:rPr>
        <w:tab/>
      </w:r>
      <w:r>
        <w:rPr>
          <w:rFonts w:ascii="Arial" w:hAnsi="Arial" w:cs="Arial"/>
          <w:b/>
          <w:bCs/>
          <w:color w:val="000000"/>
          <w:sz w:val="18"/>
          <w:szCs w:val="18"/>
          <w:lang w:val="x-none"/>
        </w:rPr>
        <w:t>Zarządzający realizacją umowy</w:t>
      </w:r>
      <w:r>
        <w:rPr>
          <w:rFonts w:ascii="Arial" w:hAnsi="Arial" w:cs="Arial"/>
          <w:color w:val="000000"/>
          <w:sz w:val="18"/>
          <w:szCs w:val="18"/>
          <w:lang w:val="x-none"/>
        </w:rPr>
        <w:t xml:space="preserve"> – osoba prawna lub fizyczna określona w istotnych postanowieniach umowy, zwana dalej zarządzającym, wyznaczona przez zamawiającego, upoważniona do nadzorowania realizacji robót i administrowania umową w zakresie określonym w udzielonym pełnomocnictwie;</w:t>
      </w:r>
    </w:p>
    <w:p w14:paraId="4ACE514D"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36.</w:t>
      </w:r>
      <w:r>
        <w:rPr>
          <w:rFonts w:ascii="Arial" w:hAnsi="Arial" w:cs="Arial"/>
          <w:color w:val="000000"/>
          <w:sz w:val="18"/>
          <w:szCs w:val="18"/>
          <w:lang w:val="x-none"/>
        </w:rPr>
        <w:tab/>
      </w:r>
      <w:r>
        <w:rPr>
          <w:rFonts w:ascii="Arial" w:hAnsi="Arial" w:cs="Arial"/>
          <w:b/>
          <w:bCs/>
          <w:color w:val="000000"/>
          <w:sz w:val="18"/>
          <w:szCs w:val="18"/>
          <w:lang w:val="x-none"/>
        </w:rPr>
        <w:t>Zamawiający</w:t>
      </w:r>
      <w:r>
        <w:rPr>
          <w:rFonts w:ascii="Arial" w:hAnsi="Arial" w:cs="Arial"/>
          <w:color w:val="000000"/>
          <w:sz w:val="18"/>
          <w:szCs w:val="18"/>
          <w:lang w:val="x-none"/>
        </w:rPr>
        <w:t xml:space="preserve"> – osoba lub organizacja odpowiedzialna za zainicjowanie i finansowanie przedsięwzięcia oraz przyjęcie karty przedsięwzięcia;</w:t>
      </w:r>
    </w:p>
    <w:p w14:paraId="6811E51D"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37.</w:t>
      </w:r>
      <w:r>
        <w:rPr>
          <w:rFonts w:ascii="Arial" w:hAnsi="Arial" w:cs="Arial"/>
          <w:color w:val="000000"/>
          <w:sz w:val="18"/>
          <w:szCs w:val="18"/>
          <w:lang w:val="x-none"/>
        </w:rPr>
        <w:tab/>
      </w:r>
      <w:r>
        <w:rPr>
          <w:rFonts w:ascii="Arial" w:hAnsi="Arial" w:cs="Arial"/>
          <w:b/>
          <w:bCs/>
          <w:color w:val="000000"/>
          <w:sz w:val="18"/>
          <w:szCs w:val="18"/>
          <w:lang w:val="x-none"/>
        </w:rPr>
        <w:t>Producent</w:t>
      </w:r>
      <w:r>
        <w:rPr>
          <w:rFonts w:ascii="Arial" w:hAnsi="Arial" w:cs="Arial"/>
          <w:color w:val="000000"/>
          <w:sz w:val="18"/>
          <w:szCs w:val="18"/>
          <w:lang w:val="x-none"/>
        </w:rPr>
        <w:t xml:space="preserve"> – osoba lub organizacja wytwarzająca poza terenem budowy materiały, wyroby, elementy oraz inne przedmioty;</w:t>
      </w:r>
    </w:p>
    <w:p w14:paraId="118F8A31"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38.</w:t>
      </w:r>
      <w:r>
        <w:rPr>
          <w:rFonts w:ascii="Arial" w:hAnsi="Arial" w:cs="Arial"/>
          <w:color w:val="000000"/>
          <w:sz w:val="18"/>
          <w:szCs w:val="18"/>
          <w:lang w:val="x-none"/>
        </w:rPr>
        <w:tab/>
      </w:r>
      <w:r>
        <w:rPr>
          <w:rFonts w:ascii="Arial" w:hAnsi="Arial" w:cs="Arial"/>
          <w:b/>
          <w:bCs/>
          <w:color w:val="000000"/>
          <w:sz w:val="18"/>
          <w:szCs w:val="18"/>
          <w:lang w:val="x-none"/>
        </w:rPr>
        <w:t>Dostawca</w:t>
      </w:r>
      <w:r>
        <w:rPr>
          <w:rFonts w:ascii="Arial" w:hAnsi="Arial" w:cs="Arial"/>
          <w:color w:val="000000"/>
          <w:sz w:val="18"/>
          <w:szCs w:val="18"/>
          <w:lang w:val="x-none"/>
        </w:rPr>
        <w:t xml:space="preserve"> – osoba lub organizacja dostarczająca materiały lub wyroby, ale która nie jest producentem lub wytwórcą;</w:t>
      </w:r>
    </w:p>
    <w:p w14:paraId="4AB5288E"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39.</w:t>
      </w:r>
      <w:r>
        <w:rPr>
          <w:rFonts w:ascii="Arial" w:hAnsi="Arial" w:cs="Arial"/>
          <w:color w:val="000000"/>
          <w:sz w:val="18"/>
          <w:szCs w:val="18"/>
          <w:lang w:val="x-none"/>
        </w:rPr>
        <w:tab/>
      </w:r>
      <w:r>
        <w:rPr>
          <w:rFonts w:ascii="Arial" w:hAnsi="Arial" w:cs="Arial"/>
          <w:b/>
          <w:bCs/>
          <w:color w:val="000000"/>
          <w:sz w:val="18"/>
          <w:szCs w:val="18"/>
          <w:lang w:val="x-none"/>
        </w:rPr>
        <w:t>Konsultant</w:t>
      </w:r>
      <w:r>
        <w:rPr>
          <w:rFonts w:ascii="Arial" w:hAnsi="Arial" w:cs="Arial"/>
          <w:color w:val="000000"/>
          <w:sz w:val="18"/>
          <w:szCs w:val="18"/>
          <w:lang w:val="x-none"/>
        </w:rPr>
        <w:t xml:space="preserve"> – osoba lub organizacja udzielająca określonych porad lub usług związanych z pewnymi aspektami przedsięwzięcia;</w:t>
      </w:r>
    </w:p>
    <w:p w14:paraId="22E1B69D"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40.</w:t>
      </w:r>
      <w:r>
        <w:rPr>
          <w:rFonts w:ascii="Arial" w:hAnsi="Arial" w:cs="Arial"/>
          <w:color w:val="000000"/>
          <w:sz w:val="18"/>
          <w:szCs w:val="18"/>
          <w:lang w:val="x-none"/>
        </w:rPr>
        <w:tab/>
      </w:r>
      <w:r>
        <w:rPr>
          <w:rFonts w:ascii="Arial" w:hAnsi="Arial" w:cs="Arial"/>
          <w:b/>
          <w:bCs/>
          <w:color w:val="000000"/>
          <w:sz w:val="18"/>
          <w:szCs w:val="18"/>
          <w:lang w:val="x-none"/>
        </w:rPr>
        <w:t xml:space="preserve">Dokumentacja budowy </w:t>
      </w:r>
      <w:r>
        <w:rPr>
          <w:rFonts w:ascii="Arial" w:hAnsi="Arial" w:cs="Arial"/>
          <w:color w:val="000000"/>
          <w:sz w:val="18"/>
          <w:szCs w:val="18"/>
          <w:lang w:val="x-none"/>
        </w:rPr>
        <w:t>– pozwolenie na budowę wraz z załączonym projektem budowlanym, projekt wykonawczy</w:t>
      </w:r>
    </w:p>
    <w:tbl>
      <w:tblPr>
        <w:tblW w:w="0" w:type="auto"/>
        <w:tblCellSpacing w:w="0" w:type="dxa"/>
        <w:tblInd w:w="-8" w:type="dxa"/>
        <w:tblLayout w:type="fixed"/>
        <w:tblCellMar>
          <w:left w:w="0" w:type="dxa"/>
          <w:right w:w="0" w:type="dxa"/>
        </w:tblCellMar>
        <w:tblLook w:val="0000" w:firstRow="0" w:lastRow="0" w:firstColumn="0" w:lastColumn="0" w:noHBand="0" w:noVBand="0"/>
      </w:tblPr>
      <w:tblGrid>
        <w:gridCol w:w="7508"/>
      </w:tblGrid>
      <w:tr w:rsidR="000A3B2B" w14:paraId="2CD3D937" w14:textId="77777777" w:rsidTr="00B40B3F">
        <w:trPr>
          <w:trHeight w:val="60"/>
          <w:tblCellSpacing w:w="0" w:type="dxa"/>
        </w:trPr>
        <w:tc>
          <w:tcPr>
            <w:tcW w:w="7508" w:type="dxa"/>
            <w:tcBorders>
              <w:top w:val="nil"/>
              <w:left w:val="single" w:sz="6" w:space="0" w:color="000000"/>
              <w:bottom w:val="nil"/>
              <w:right w:val="nil"/>
            </w:tcBorders>
          </w:tcPr>
          <w:p w14:paraId="48277582" w14:textId="77777777" w:rsidR="000A3B2B" w:rsidRDefault="000A3B2B">
            <w:pPr>
              <w:autoSpaceDE w:val="0"/>
              <w:autoSpaceDN w:val="0"/>
              <w:adjustRightInd w:val="0"/>
              <w:spacing w:after="0" w:line="240" w:lineRule="auto"/>
              <w:ind w:left="285" w:hanging="285"/>
              <w:rPr>
                <w:rFonts w:ascii="Arial" w:hAnsi="Arial" w:cs="Arial"/>
                <w:color w:val="000000"/>
                <w:sz w:val="18"/>
                <w:szCs w:val="18"/>
                <w:lang w:val="x-none"/>
              </w:rPr>
            </w:pPr>
            <w:r>
              <w:rPr>
                <w:rFonts w:ascii="Arial" w:hAnsi="Arial" w:cs="Arial"/>
                <w:color w:val="000000"/>
                <w:sz w:val="18"/>
                <w:szCs w:val="18"/>
                <w:lang w:val="x-none"/>
              </w:rPr>
              <w:t>, dziennik budowy, protokoły odbiorów częściowych i końcowych, w miarę potrzeby, rysunki</w:t>
            </w:r>
          </w:p>
        </w:tc>
      </w:tr>
    </w:tbl>
    <w:p w14:paraId="5640D66A"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ab/>
        <w:t>i opisy służące realizacji obiektu, operaty geodezyjne i książka obmiarów, a w przypadku realizacji obiektów metodą montażu – także dziennik montażu;</w:t>
      </w:r>
    </w:p>
    <w:p w14:paraId="106E8CA2"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41.</w:t>
      </w:r>
      <w:r>
        <w:rPr>
          <w:rFonts w:ascii="Arial" w:hAnsi="Arial" w:cs="Arial"/>
          <w:color w:val="000000"/>
          <w:sz w:val="18"/>
          <w:szCs w:val="18"/>
          <w:lang w:val="x-none"/>
        </w:rPr>
        <w:tab/>
      </w:r>
      <w:r>
        <w:rPr>
          <w:rFonts w:ascii="Arial" w:hAnsi="Arial" w:cs="Arial"/>
          <w:b/>
          <w:bCs/>
          <w:color w:val="000000"/>
          <w:sz w:val="18"/>
          <w:szCs w:val="18"/>
          <w:lang w:val="x-none"/>
        </w:rPr>
        <w:t>Dokumentacja powykonawcza</w:t>
      </w:r>
      <w:r>
        <w:rPr>
          <w:rFonts w:ascii="Arial" w:hAnsi="Arial" w:cs="Arial"/>
          <w:color w:val="000000"/>
          <w:sz w:val="18"/>
          <w:szCs w:val="18"/>
          <w:lang w:val="x-none"/>
        </w:rPr>
        <w:t xml:space="preserve"> – dokumentacja budowy z naniesionymi zmianami dokonanymi w toku wykonywania robót oraz geodezyjnymi pomiarami powykonawczymi (zgodnie z ust. z 7 lipca 1994 r. Prawo budowlane – Dz. U. z 1994 Nr 89, poz. 414 z późniejszymi zmianami);</w:t>
      </w:r>
    </w:p>
    <w:p w14:paraId="7C15DA72"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lastRenderedPageBreak/>
        <w:t>42.</w:t>
      </w:r>
      <w:r>
        <w:rPr>
          <w:rFonts w:ascii="Arial" w:hAnsi="Arial" w:cs="Arial"/>
          <w:b/>
          <w:bCs/>
          <w:color w:val="000000"/>
          <w:sz w:val="18"/>
          <w:szCs w:val="18"/>
          <w:lang w:val="x-none"/>
        </w:rPr>
        <w:tab/>
        <w:t>Dokumentacja projektowa</w:t>
      </w:r>
      <w:r>
        <w:rPr>
          <w:rFonts w:ascii="Arial" w:hAnsi="Arial" w:cs="Arial"/>
          <w:color w:val="000000"/>
          <w:sz w:val="18"/>
          <w:szCs w:val="18"/>
          <w:lang w:val="x-none"/>
        </w:rPr>
        <w:t xml:space="preserve"> – zestaw opracowań służący do opisu przedmiotu zamówienia na wykonanie robót budowlanych.</w:t>
      </w:r>
    </w:p>
    <w:p w14:paraId="6D6A3F12" w14:textId="77777777" w:rsidR="000A3B2B" w:rsidRDefault="000A3B2B" w:rsidP="000E4A55">
      <w:pPr>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b/>
          <w:bCs/>
          <w:color w:val="000000"/>
          <w:sz w:val="18"/>
          <w:szCs w:val="18"/>
          <w:lang w:val="x-none"/>
        </w:rPr>
        <w:t>a)</w:t>
      </w:r>
      <w:r>
        <w:rPr>
          <w:rFonts w:ascii="Arial" w:hAnsi="Arial" w:cs="Arial"/>
          <w:color w:val="000000"/>
          <w:sz w:val="18"/>
          <w:szCs w:val="18"/>
          <w:lang w:val="x-none"/>
        </w:rPr>
        <w:tab/>
        <w:t>Dla robót, w przypadku których jest wymagane uzyskanie pozwolenia na budowę, składa się w szczególności:</w:t>
      </w:r>
    </w:p>
    <w:p w14:paraId="200298E4" w14:textId="77777777" w:rsidR="000A3B2B" w:rsidRDefault="000A3B2B" w:rsidP="000E4A55">
      <w:pPr>
        <w:autoSpaceDE w:val="0"/>
        <w:autoSpaceDN w:val="0"/>
        <w:adjustRightInd w:val="0"/>
        <w:spacing w:after="30" w:line="240" w:lineRule="auto"/>
        <w:ind w:left="900" w:hanging="285"/>
        <w:jc w:val="both"/>
        <w:rPr>
          <w:rFonts w:ascii="Arial" w:hAnsi="Arial" w:cs="Arial"/>
          <w:color w:val="000000"/>
          <w:sz w:val="18"/>
          <w:szCs w:val="18"/>
          <w:lang w:val="x-none"/>
        </w:rPr>
      </w:pPr>
      <w:r>
        <w:rPr>
          <w:rFonts w:ascii="Arial" w:hAnsi="Arial" w:cs="Arial"/>
          <w:color w:val="000000"/>
          <w:sz w:val="18"/>
          <w:szCs w:val="18"/>
          <w:lang w:val="x-none"/>
        </w:rPr>
        <w:t>1)</w:t>
      </w:r>
      <w:r>
        <w:rPr>
          <w:rFonts w:ascii="Arial" w:hAnsi="Arial" w:cs="Arial"/>
          <w:color w:val="000000"/>
          <w:sz w:val="18"/>
          <w:szCs w:val="18"/>
          <w:lang w:val="x-none"/>
        </w:rPr>
        <w:tab/>
        <w:t>projektu budowlanego w zakresie uwzględniającym specyfikę robót budowlanych;</w:t>
      </w:r>
    </w:p>
    <w:p w14:paraId="1EB02657" w14:textId="77777777" w:rsidR="000A3B2B" w:rsidRDefault="000A3B2B" w:rsidP="000E4A55">
      <w:pPr>
        <w:autoSpaceDE w:val="0"/>
        <w:autoSpaceDN w:val="0"/>
        <w:adjustRightInd w:val="0"/>
        <w:spacing w:after="30" w:line="240" w:lineRule="auto"/>
        <w:ind w:left="900" w:hanging="285"/>
        <w:jc w:val="both"/>
        <w:rPr>
          <w:rFonts w:ascii="Arial" w:hAnsi="Arial" w:cs="Arial"/>
          <w:color w:val="000000"/>
          <w:sz w:val="18"/>
          <w:szCs w:val="18"/>
          <w:lang w:val="x-none"/>
        </w:rPr>
      </w:pPr>
      <w:r>
        <w:rPr>
          <w:rFonts w:ascii="Arial" w:hAnsi="Arial" w:cs="Arial"/>
          <w:color w:val="000000"/>
          <w:sz w:val="18"/>
          <w:szCs w:val="18"/>
          <w:lang w:val="x-none"/>
        </w:rPr>
        <w:t>2)</w:t>
      </w:r>
      <w:r>
        <w:rPr>
          <w:rFonts w:ascii="Arial" w:hAnsi="Arial" w:cs="Arial"/>
          <w:color w:val="000000"/>
          <w:sz w:val="18"/>
          <w:szCs w:val="18"/>
          <w:lang w:val="x-none"/>
        </w:rPr>
        <w:tab/>
        <w:t>projektów wykonawczych w zakresie, o którym mowa w § 5 Rozporządzenie Ministra Infrastruktury z dnia 2 września 2004 r. w sprawie szczegółowego zakresu i formy dokumentacji projektowej, specyfikacji technicznych wykonania i odbioru robót budowlanych oraz programu funkcjonalno-użytkowego;</w:t>
      </w:r>
    </w:p>
    <w:p w14:paraId="66BBA454" w14:textId="77777777" w:rsidR="000A3B2B" w:rsidRDefault="000A3B2B" w:rsidP="000E4A55">
      <w:pPr>
        <w:autoSpaceDE w:val="0"/>
        <w:autoSpaceDN w:val="0"/>
        <w:adjustRightInd w:val="0"/>
        <w:spacing w:after="30" w:line="240" w:lineRule="auto"/>
        <w:ind w:left="900" w:hanging="285"/>
        <w:jc w:val="both"/>
        <w:rPr>
          <w:rFonts w:ascii="Arial" w:hAnsi="Arial" w:cs="Arial"/>
          <w:color w:val="000000"/>
          <w:sz w:val="18"/>
          <w:szCs w:val="18"/>
          <w:lang w:val="x-none"/>
        </w:rPr>
      </w:pPr>
      <w:r>
        <w:rPr>
          <w:rFonts w:ascii="Arial" w:hAnsi="Arial" w:cs="Arial"/>
          <w:color w:val="000000"/>
          <w:sz w:val="18"/>
          <w:szCs w:val="18"/>
          <w:lang w:val="x-none"/>
        </w:rPr>
        <w:t>3)</w:t>
      </w:r>
      <w:r>
        <w:rPr>
          <w:rFonts w:ascii="Arial" w:hAnsi="Arial" w:cs="Arial"/>
          <w:color w:val="000000"/>
          <w:sz w:val="18"/>
          <w:szCs w:val="18"/>
          <w:lang w:val="x-none"/>
        </w:rPr>
        <w:tab/>
        <w:t>przedmiaru robót w zakresie, o którym mowa w § 6 Rozporządzenie Ministra Infrastruktury z dnia 2 września 2004 r. w sprawie szczegółowego zakresu i formy dokumentacji projektowej, specyfikacji technicznych wykonania i odbioru robót budowlanych oraz programu funkcjonalno-użytkowego;</w:t>
      </w:r>
    </w:p>
    <w:p w14:paraId="479C2AB8" w14:textId="77777777" w:rsidR="000A3B2B" w:rsidRDefault="000A3B2B" w:rsidP="000E4A55">
      <w:pPr>
        <w:autoSpaceDE w:val="0"/>
        <w:autoSpaceDN w:val="0"/>
        <w:adjustRightInd w:val="0"/>
        <w:spacing w:after="30" w:line="240" w:lineRule="auto"/>
        <w:ind w:left="900" w:hanging="285"/>
        <w:jc w:val="both"/>
        <w:rPr>
          <w:rFonts w:ascii="Arial" w:hAnsi="Arial" w:cs="Arial"/>
          <w:color w:val="000000"/>
          <w:sz w:val="18"/>
          <w:szCs w:val="18"/>
          <w:lang w:val="x-none"/>
        </w:rPr>
      </w:pPr>
      <w:r>
        <w:rPr>
          <w:rFonts w:ascii="Arial" w:hAnsi="Arial" w:cs="Arial"/>
          <w:color w:val="000000"/>
          <w:sz w:val="18"/>
          <w:szCs w:val="18"/>
          <w:lang w:val="x-none"/>
        </w:rPr>
        <w:t>4)</w:t>
      </w:r>
      <w:r>
        <w:rPr>
          <w:rFonts w:ascii="Arial" w:hAnsi="Arial" w:cs="Arial"/>
          <w:color w:val="000000"/>
          <w:sz w:val="18"/>
          <w:szCs w:val="18"/>
          <w:lang w:val="x-none"/>
        </w:rPr>
        <w:tab/>
        <w:t>informacji dotyczącej bezpieczeństwa i ochrony zdrowia, w przypadkach gdy jej opracowanie jest wymagane na podstawie odrębnych przepisów.</w:t>
      </w:r>
    </w:p>
    <w:p w14:paraId="4D1FA684" w14:textId="77777777" w:rsidR="000A3B2B" w:rsidRDefault="000A3B2B" w:rsidP="000E4A55">
      <w:pPr>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b/>
          <w:bCs/>
          <w:color w:val="000000"/>
          <w:sz w:val="18"/>
          <w:szCs w:val="18"/>
          <w:lang w:val="x-none"/>
        </w:rPr>
        <w:t>b)</w:t>
      </w:r>
      <w:r>
        <w:rPr>
          <w:rFonts w:ascii="Arial" w:hAnsi="Arial" w:cs="Arial"/>
          <w:color w:val="000000"/>
          <w:sz w:val="18"/>
          <w:szCs w:val="18"/>
          <w:lang w:val="x-none"/>
        </w:rPr>
        <w:tab/>
        <w:t>Dla robót, w przypadku których nie jest wymagane uzyskanie pozwolenia na budowę składa, się w szczególności:</w:t>
      </w:r>
    </w:p>
    <w:p w14:paraId="5243EF57" w14:textId="77777777" w:rsidR="000A3B2B" w:rsidRDefault="000A3B2B" w:rsidP="000E4A55">
      <w:pPr>
        <w:autoSpaceDE w:val="0"/>
        <w:autoSpaceDN w:val="0"/>
        <w:adjustRightInd w:val="0"/>
        <w:spacing w:after="30" w:line="240" w:lineRule="auto"/>
        <w:ind w:left="900" w:hanging="285"/>
        <w:jc w:val="both"/>
        <w:rPr>
          <w:rFonts w:ascii="Arial" w:hAnsi="Arial" w:cs="Arial"/>
          <w:color w:val="000000"/>
          <w:sz w:val="18"/>
          <w:szCs w:val="18"/>
          <w:lang w:val="x-none"/>
        </w:rPr>
      </w:pPr>
      <w:r>
        <w:rPr>
          <w:rFonts w:ascii="Arial" w:hAnsi="Arial" w:cs="Arial"/>
          <w:color w:val="000000"/>
          <w:sz w:val="18"/>
          <w:szCs w:val="18"/>
          <w:lang w:val="x-none"/>
        </w:rPr>
        <w:t>1)</w:t>
      </w:r>
      <w:r>
        <w:rPr>
          <w:rFonts w:ascii="Arial" w:hAnsi="Arial" w:cs="Arial"/>
          <w:color w:val="000000"/>
          <w:sz w:val="18"/>
          <w:szCs w:val="18"/>
          <w:lang w:val="x-none"/>
        </w:rPr>
        <w:tab/>
        <w:t>planów, rysunków lub innych dokumentów umożliwiających jednoznaczne określenie rodzaju i zakresu robót budowlanych podstawowych oraz uwarunkowań i dokładnej lokalizacji ich wykonywania;</w:t>
      </w:r>
    </w:p>
    <w:p w14:paraId="1341D132" w14:textId="77777777" w:rsidR="000A3B2B" w:rsidRDefault="000A3B2B" w:rsidP="000E4A55">
      <w:pPr>
        <w:autoSpaceDE w:val="0"/>
        <w:autoSpaceDN w:val="0"/>
        <w:adjustRightInd w:val="0"/>
        <w:spacing w:after="30" w:line="240" w:lineRule="auto"/>
        <w:ind w:left="900" w:hanging="285"/>
        <w:jc w:val="both"/>
        <w:rPr>
          <w:rFonts w:ascii="Arial" w:hAnsi="Arial" w:cs="Arial"/>
          <w:color w:val="000000"/>
          <w:sz w:val="18"/>
          <w:szCs w:val="18"/>
          <w:lang w:val="x-none"/>
        </w:rPr>
      </w:pPr>
      <w:r>
        <w:rPr>
          <w:rFonts w:ascii="Arial" w:hAnsi="Arial" w:cs="Arial"/>
          <w:color w:val="000000"/>
          <w:sz w:val="18"/>
          <w:szCs w:val="18"/>
          <w:lang w:val="x-none"/>
        </w:rPr>
        <w:t>2)</w:t>
      </w:r>
      <w:r>
        <w:rPr>
          <w:rFonts w:ascii="Arial" w:hAnsi="Arial" w:cs="Arial"/>
          <w:color w:val="000000"/>
          <w:sz w:val="18"/>
          <w:szCs w:val="18"/>
          <w:lang w:val="x-none"/>
        </w:rPr>
        <w:tab/>
        <w:t>przedmiaru robót, w zakresie o którym mowa w § 6 Rozporządzenie Ministra Infrastruktury z dnia 2 września 2004 r. w sprawie szczegółowego zakresu i formy dokumentacji projektowej, specyfikacji technicznych wykonania i odbioru robót budowlanych oraz programu funkcjonalno-użytkowego;</w:t>
      </w:r>
    </w:p>
    <w:p w14:paraId="5F0336EA" w14:textId="77777777" w:rsidR="000A3B2B" w:rsidRDefault="000A3B2B" w:rsidP="000E4A55">
      <w:pPr>
        <w:autoSpaceDE w:val="0"/>
        <w:autoSpaceDN w:val="0"/>
        <w:adjustRightInd w:val="0"/>
        <w:spacing w:after="30" w:line="240" w:lineRule="auto"/>
        <w:ind w:left="900" w:hanging="285"/>
        <w:jc w:val="both"/>
        <w:rPr>
          <w:rFonts w:ascii="Arial" w:hAnsi="Arial" w:cs="Arial"/>
          <w:color w:val="000000"/>
          <w:sz w:val="18"/>
          <w:szCs w:val="18"/>
          <w:lang w:val="x-none"/>
        </w:rPr>
      </w:pPr>
      <w:r>
        <w:rPr>
          <w:rFonts w:ascii="Arial" w:hAnsi="Arial" w:cs="Arial"/>
          <w:color w:val="000000"/>
          <w:sz w:val="18"/>
          <w:szCs w:val="18"/>
          <w:lang w:val="x-none"/>
        </w:rPr>
        <w:t>3)</w:t>
      </w:r>
      <w:r>
        <w:rPr>
          <w:rFonts w:ascii="Arial" w:hAnsi="Arial" w:cs="Arial"/>
          <w:color w:val="000000"/>
          <w:sz w:val="18"/>
          <w:szCs w:val="18"/>
          <w:lang w:val="x-none"/>
        </w:rPr>
        <w:tab/>
        <w:t>projektów, pozwoleń, uzgodnień i opinii wymaganych odrębnymi przepisami.</w:t>
      </w:r>
    </w:p>
    <w:p w14:paraId="195EA15A"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43.</w:t>
      </w:r>
      <w:r>
        <w:rPr>
          <w:rFonts w:ascii="Arial" w:hAnsi="Arial" w:cs="Arial"/>
          <w:color w:val="000000"/>
          <w:sz w:val="18"/>
          <w:szCs w:val="18"/>
          <w:lang w:val="x-none"/>
        </w:rPr>
        <w:tab/>
      </w:r>
      <w:r>
        <w:rPr>
          <w:rFonts w:ascii="Arial" w:hAnsi="Arial" w:cs="Arial"/>
          <w:b/>
          <w:bCs/>
          <w:color w:val="000000"/>
          <w:sz w:val="18"/>
          <w:szCs w:val="18"/>
          <w:lang w:val="x-none"/>
        </w:rPr>
        <w:t>Projekt budowlany</w:t>
      </w:r>
      <w:r>
        <w:rPr>
          <w:rFonts w:ascii="Arial" w:hAnsi="Arial" w:cs="Arial"/>
          <w:color w:val="000000"/>
          <w:sz w:val="18"/>
          <w:szCs w:val="18"/>
          <w:lang w:val="x-none"/>
        </w:rPr>
        <w:t xml:space="preserve"> – projekt opracowany zgodnie z Rozporządzeniem Ministra Transportu, Budownictwa i Gospodarki Morskiej z dnia 25 kwietnia 2012 r. w sprawie szczegółowego zakresu i formy projektu budowlanego (Dz. U. 2012 r. Nr 0, poz. 462 z późniejszymi zmianami), dla przedmiotu zamówienia, dla którego wymagane jest uzyskanie pozwolenia na budowę;</w:t>
      </w:r>
    </w:p>
    <w:p w14:paraId="5E60B436"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44.</w:t>
      </w:r>
      <w:r>
        <w:rPr>
          <w:rFonts w:ascii="Arial" w:hAnsi="Arial" w:cs="Arial"/>
          <w:b/>
          <w:bCs/>
          <w:color w:val="000000"/>
          <w:sz w:val="18"/>
          <w:szCs w:val="18"/>
          <w:lang w:val="x-none"/>
        </w:rPr>
        <w:tab/>
        <w:t>Projekt wykonawczy</w:t>
      </w:r>
      <w:r>
        <w:rPr>
          <w:rFonts w:ascii="Arial" w:hAnsi="Arial" w:cs="Arial"/>
          <w:color w:val="000000"/>
          <w:sz w:val="18"/>
          <w:szCs w:val="18"/>
          <w:lang w:val="x-none"/>
        </w:rPr>
        <w:t xml:space="preserve"> – projekt w zakresie wynikającym z Rozporządzenia Ministra Transportu, Budownictwa i Gospodarki Morskiej z dnia 25 kwietnia 2012 r. w sprawie szczegółowego zakresu i formy projektu budowlanego (Dz. U. 2012 r. Nr 0, poz. 462 z późniejszymi zmianami);</w:t>
      </w:r>
    </w:p>
    <w:p w14:paraId="3EEE7680"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45.</w:t>
      </w:r>
      <w:r>
        <w:rPr>
          <w:rFonts w:ascii="Arial" w:hAnsi="Arial" w:cs="Arial"/>
          <w:color w:val="000000"/>
          <w:sz w:val="18"/>
          <w:szCs w:val="18"/>
          <w:lang w:val="x-none"/>
        </w:rPr>
        <w:tab/>
      </w:r>
      <w:r>
        <w:rPr>
          <w:rFonts w:ascii="Arial" w:hAnsi="Arial" w:cs="Arial"/>
          <w:b/>
          <w:bCs/>
          <w:color w:val="000000"/>
          <w:sz w:val="18"/>
          <w:szCs w:val="18"/>
          <w:lang w:val="x-none"/>
        </w:rPr>
        <w:t>Specyfikacje techniczne wykonania i odbioru robót</w:t>
      </w:r>
      <w:r>
        <w:rPr>
          <w:rFonts w:ascii="Arial" w:hAnsi="Arial" w:cs="Arial"/>
          <w:color w:val="000000"/>
          <w:sz w:val="18"/>
          <w:szCs w:val="18"/>
          <w:lang w:val="x-none"/>
        </w:rPr>
        <w:t xml:space="preserve"> – opracowania zawierające w szczególności zbiory wymagań, które są niezbędne do określenia standardu i jakości wykonania robót, w zakresie sposobu wykonania robót budowlanych, właściwości wyrobów budowlanych oraz oceny prawidłowości wykonania poszczególnych robót;</w:t>
      </w:r>
    </w:p>
    <w:p w14:paraId="5D44E224"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46.</w:t>
      </w:r>
      <w:r>
        <w:rPr>
          <w:rFonts w:ascii="Arial" w:hAnsi="Arial" w:cs="Arial"/>
          <w:color w:val="000000"/>
          <w:sz w:val="18"/>
          <w:szCs w:val="18"/>
          <w:lang w:val="x-none"/>
        </w:rPr>
        <w:tab/>
      </w:r>
      <w:r>
        <w:rPr>
          <w:rFonts w:ascii="Arial" w:hAnsi="Arial" w:cs="Arial"/>
          <w:b/>
          <w:bCs/>
          <w:color w:val="000000"/>
          <w:sz w:val="18"/>
          <w:szCs w:val="18"/>
          <w:lang w:val="x-none"/>
        </w:rPr>
        <w:t xml:space="preserve">Przedmiar robót </w:t>
      </w:r>
      <w:r>
        <w:rPr>
          <w:rFonts w:ascii="Arial" w:hAnsi="Arial" w:cs="Arial"/>
          <w:color w:val="000000"/>
          <w:sz w:val="18"/>
          <w:szCs w:val="18"/>
          <w:lang w:val="x-none"/>
        </w:rPr>
        <w:t>– zestawienie przewidywanych do wykonania robót podstawowych w kolejności technologicznej ich wykonania wraz z ich szczegółowym opisem lub wskazaniem podstaw ustalających szczegółowy opis oraz wskazaniem właściwych specyfikacji technicznych wykonania i odbioru robót budowlanych, z wyliczeniem i zestawieniem ilości jednostek przedmiarowych robót podstawowych;</w:t>
      </w:r>
    </w:p>
    <w:p w14:paraId="36A47085"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47.</w:t>
      </w:r>
      <w:r>
        <w:rPr>
          <w:rFonts w:ascii="Arial" w:hAnsi="Arial" w:cs="Arial"/>
          <w:color w:val="000000"/>
          <w:sz w:val="18"/>
          <w:szCs w:val="18"/>
          <w:lang w:val="x-none"/>
        </w:rPr>
        <w:tab/>
      </w:r>
      <w:r>
        <w:rPr>
          <w:rFonts w:ascii="Arial" w:hAnsi="Arial" w:cs="Arial"/>
          <w:b/>
          <w:bCs/>
          <w:color w:val="000000"/>
          <w:sz w:val="18"/>
          <w:szCs w:val="18"/>
          <w:lang w:val="x-none"/>
        </w:rPr>
        <w:t>Książka obmiarów</w:t>
      </w:r>
      <w:r>
        <w:rPr>
          <w:rFonts w:ascii="Arial" w:hAnsi="Arial" w:cs="Arial"/>
          <w:color w:val="000000"/>
          <w:sz w:val="18"/>
          <w:szCs w:val="18"/>
          <w:lang w:val="x-none"/>
        </w:rPr>
        <w:t xml:space="preserve"> – rejestr z ponumerowanymi stronami, służący do wpisywania przez Wykonawcę obmiaru dokonanych robót w formie wyliczeń, szkiców i ewentualnie dodatkowych załączników. Wpisy w książce obmiarów wymagają potwierdzenia przez Inspektora nadzoru;</w:t>
      </w:r>
    </w:p>
    <w:p w14:paraId="5D7D784E"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48.</w:t>
      </w:r>
      <w:r>
        <w:rPr>
          <w:rFonts w:ascii="Arial" w:hAnsi="Arial" w:cs="Arial"/>
          <w:color w:val="000000"/>
          <w:sz w:val="18"/>
          <w:szCs w:val="18"/>
          <w:lang w:val="x-none"/>
        </w:rPr>
        <w:tab/>
      </w:r>
      <w:r>
        <w:rPr>
          <w:rFonts w:ascii="Arial" w:hAnsi="Arial" w:cs="Arial"/>
          <w:b/>
          <w:bCs/>
          <w:color w:val="000000"/>
          <w:sz w:val="18"/>
          <w:szCs w:val="18"/>
          <w:lang w:val="x-none"/>
        </w:rPr>
        <w:t xml:space="preserve">Dziennik budowy a także dziennik rozbiórki lub montażu </w:t>
      </w:r>
      <w:r>
        <w:rPr>
          <w:rFonts w:ascii="Arial" w:hAnsi="Arial" w:cs="Arial"/>
          <w:color w:val="000000"/>
          <w:sz w:val="18"/>
          <w:szCs w:val="18"/>
          <w:lang w:val="x-none"/>
        </w:rPr>
        <w:t>– dziennik wydany przez właściwy organ zgodnie z obowiązującymi przepisami, stanowiący urzędowy dokument przeznaczony do rejestracji, w formie wpisów przebiegu robót budowlanych oraz zdarzeń i okoliczności zachodzących w czasie wykonywania robót i mających znaczenie przy ocenie technicznej prawidłowości ich wykonania (Rozporządzenie Ministra Infrastruktury z dnia 26 czerwca 2002 r. w sprawie dziennika budowy, montażu i rozbiórki, tablicy informacyjnej oraz ogłoszenia zawierającego dane dotyczące bezpieczeństwa pracy i ochrony zdrowia z późniejszymi zmianami (Dz. U. z 2002 r. Nr 108, poz. 953, Dz. U. z 2004 Nr 198, poz. 2042));</w:t>
      </w:r>
    </w:p>
    <w:p w14:paraId="317D27F2"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49.</w:t>
      </w:r>
      <w:r>
        <w:rPr>
          <w:rFonts w:ascii="Arial" w:hAnsi="Arial" w:cs="Arial"/>
          <w:color w:val="000000"/>
          <w:sz w:val="18"/>
          <w:szCs w:val="18"/>
          <w:lang w:val="x-none"/>
        </w:rPr>
        <w:tab/>
      </w:r>
      <w:r>
        <w:rPr>
          <w:rFonts w:ascii="Arial" w:hAnsi="Arial" w:cs="Arial"/>
          <w:b/>
          <w:bCs/>
          <w:color w:val="000000"/>
          <w:sz w:val="18"/>
          <w:szCs w:val="18"/>
          <w:lang w:val="x-none"/>
        </w:rPr>
        <w:t>Laboratorium</w:t>
      </w:r>
      <w:r>
        <w:rPr>
          <w:rFonts w:ascii="Arial" w:hAnsi="Arial" w:cs="Arial"/>
          <w:color w:val="000000"/>
          <w:sz w:val="18"/>
          <w:szCs w:val="18"/>
          <w:lang w:val="x-none"/>
        </w:rPr>
        <w:t xml:space="preserve"> – laboratorium jednostki naukowej, zamawiającego, wykonawcy lub inne laboratorium badawcze zaakceptowane przez Zamawiającego, konieczne do przeprowadzania niezbędnych badań i prób związanych z oceną jakości stosowanych wyrobów budowlanych oraz rodzajów prowadzonych robót;</w:t>
      </w:r>
    </w:p>
    <w:p w14:paraId="29724010"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50.</w:t>
      </w:r>
      <w:r>
        <w:rPr>
          <w:rFonts w:ascii="Arial" w:hAnsi="Arial" w:cs="Arial"/>
          <w:color w:val="000000"/>
          <w:sz w:val="18"/>
          <w:szCs w:val="18"/>
          <w:lang w:val="x-none"/>
        </w:rPr>
        <w:tab/>
      </w:r>
      <w:r>
        <w:rPr>
          <w:rFonts w:ascii="Arial" w:hAnsi="Arial" w:cs="Arial"/>
          <w:b/>
          <w:bCs/>
          <w:color w:val="000000"/>
          <w:sz w:val="18"/>
          <w:szCs w:val="18"/>
          <w:lang w:val="x-none"/>
        </w:rPr>
        <w:t>Próbka</w:t>
      </w:r>
      <w:r>
        <w:rPr>
          <w:rFonts w:ascii="Arial" w:hAnsi="Arial" w:cs="Arial"/>
          <w:color w:val="000000"/>
          <w:sz w:val="18"/>
          <w:szCs w:val="18"/>
          <w:lang w:val="x-none"/>
        </w:rPr>
        <w:t xml:space="preserve"> – jedna lub więcej sztuk reprezentatywnych dla danej populacji lub fragment materiału, pobrane losowo z partii tej populacji lub materiału przedstawionego do oceny;</w:t>
      </w:r>
    </w:p>
    <w:p w14:paraId="1F1074CA"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51.</w:t>
      </w:r>
      <w:r>
        <w:rPr>
          <w:rFonts w:ascii="Arial" w:hAnsi="Arial" w:cs="Arial"/>
          <w:color w:val="000000"/>
          <w:sz w:val="18"/>
          <w:szCs w:val="18"/>
          <w:lang w:val="x-none"/>
        </w:rPr>
        <w:tab/>
      </w:r>
      <w:r>
        <w:rPr>
          <w:rFonts w:ascii="Arial" w:hAnsi="Arial" w:cs="Arial"/>
          <w:b/>
          <w:bCs/>
          <w:color w:val="000000"/>
          <w:sz w:val="18"/>
          <w:szCs w:val="18"/>
          <w:lang w:val="x-none"/>
        </w:rPr>
        <w:t>Próbka laboratoryjna</w:t>
      </w:r>
      <w:r>
        <w:rPr>
          <w:rFonts w:ascii="Arial" w:hAnsi="Arial" w:cs="Arial"/>
          <w:color w:val="000000"/>
          <w:sz w:val="18"/>
          <w:szCs w:val="18"/>
          <w:lang w:val="x-none"/>
        </w:rPr>
        <w:t xml:space="preserve"> – próbka przeznaczona do oceny laboratoryjnej;</w:t>
      </w:r>
    </w:p>
    <w:p w14:paraId="555D2E17"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52.</w:t>
      </w:r>
      <w:r>
        <w:rPr>
          <w:rFonts w:ascii="Arial" w:hAnsi="Arial" w:cs="Arial"/>
          <w:color w:val="000000"/>
          <w:sz w:val="18"/>
          <w:szCs w:val="18"/>
          <w:lang w:val="x-none"/>
        </w:rPr>
        <w:tab/>
      </w:r>
      <w:r>
        <w:rPr>
          <w:rFonts w:ascii="Arial" w:hAnsi="Arial" w:cs="Arial"/>
          <w:b/>
          <w:bCs/>
          <w:color w:val="000000"/>
          <w:sz w:val="18"/>
          <w:szCs w:val="18"/>
          <w:lang w:val="x-none"/>
        </w:rPr>
        <w:t>Partia</w:t>
      </w:r>
      <w:r>
        <w:rPr>
          <w:rFonts w:ascii="Arial" w:hAnsi="Arial" w:cs="Arial"/>
          <w:color w:val="000000"/>
          <w:sz w:val="18"/>
          <w:szCs w:val="18"/>
          <w:lang w:val="x-none"/>
        </w:rPr>
        <w:t xml:space="preserve"> – ilość materiału lub jednostek wytworzonych lub wyprodukowanych w ten sam sposób, w tym samym czasie i w tych samych warunkach, która może być traktowana jako jednorodna lub identyczna;</w:t>
      </w:r>
    </w:p>
    <w:p w14:paraId="72BE17D9"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53.</w:t>
      </w:r>
      <w:r>
        <w:rPr>
          <w:rFonts w:ascii="Arial" w:hAnsi="Arial" w:cs="Arial"/>
          <w:color w:val="000000"/>
          <w:sz w:val="18"/>
          <w:szCs w:val="18"/>
          <w:lang w:val="x-none"/>
        </w:rPr>
        <w:tab/>
      </w:r>
      <w:r>
        <w:rPr>
          <w:rFonts w:ascii="Arial" w:hAnsi="Arial" w:cs="Arial"/>
          <w:b/>
          <w:bCs/>
          <w:color w:val="000000"/>
          <w:sz w:val="18"/>
          <w:szCs w:val="18"/>
          <w:lang w:val="x-none"/>
        </w:rPr>
        <w:t>Seria</w:t>
      </w:r>
      <w:r>
        <w:rPr>
          <w:rFonts w:ascii="Arial" w:hAnsi="Arial" w:cs="Arial"/>
          <w:color w:val="000000"/>
          <w:sz w:val="18"/>
          <w:szCs w:val="18"/>
          <w:lang w:val="x-none"/>
        </w:rPr>
        <w:t xml:space="preserve"> – określona liczba jednostek wyrobu;</w:t>
      </w:r>
    </w:p>
    <w:p w14:paraId="01A5C477"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54.</w:t>
      </w:r>
      <w:r>
        <w:rPr>
          <w:rFonts w:ascii="Arial" w:hAnsi="Arial" w:cs="Arial"/>
          <w:color w:val="000000"/>
          <w:sz w:val="18"/>
          <w:szCs w:val="18"/>
          <w:lang w:val="x-none"/>
        </w:rPr>
        <w:tab/>
      </w:r>
      <w:r>
        <w:rPr>
          <w:rFonts w:ascii="Arial" w:hAnsi="Arial" w:cs="Arial"/>
          <w:b/>
          <w:bCs/>
          <w:color w:val="000000"/>
          <w:sz w:val="18"/>
          <w:szCs w:val="18"/>
          <w:lang w:val="x-none"/>
        </w:rPr>
        <w:t>Materiały</w:t>
      </w:r>
      <w:r>
        <w:rPr>
          <w:rFonts w:ascii="Arial" w:hAnsi="Arial" w:cs="Arial"/>
          <w:color w:val="000000"/>
          <w:sz w:val="18"/>
          <w:szCs w:val="18"/>
          <w:lang w:val="x-none"/>
        </w:rPr>
        <w:t xml:space="preserve"> – wszelkie materiały naturalne i wytwarzane jak również różne tworzywa i wyroby budowlane niezbędne do wykonania robót, zgodnie z dokumentacją projektową i specyfikacjami technicznymi zaakceptowane przez inspektora nadzoru inwestorskiego;</w:t>
      </w:r>
    </w:p>
    <w:p w14:paraId="4F6EBA9C"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55.</w:t>
      </w:r>
      <w:r>
        <w:rPr>
          <w:rFonts w:ascii="Arial" w:hAnsi="Arial" w:cs="Arial"/>
          <w:color w:val="000000"/>
          <w:sz w:val="18"/>
          <w:szCs w:val="18"/>
          <w:lang w:val="x-none"/>
        </w:rPr>
        <w:tab/>
      </w:r>
      <w:r>
        <w:rPr>
          <w:rFonts w:ascii="Arial" w:hAnsi="Arial" w:cs="Arial"/>
          <w:b/>
          <w:bCs/>
          <w:color w:val="000000"/>
          <w:sz w:val="18"/>
          <w:szCs w:val="18"/>
          <w:lang w:val="x-none"/>
        </w:rPr>
        <w:t>Wyrób budowlany</w:t>
      </w:r>
      <w:r>
        <w:rPr>
          <w:rFonts w:ascii="Arial" w:hAnsi="Arial" w:cs="Arial"/>
          <w:color w:val="000000"/>
          <w:sz w:val="18"/>
          <w:szCs w:val="18"/>
          <w:lang w:val="x-none"/>
        </w:rPr>
        <w:t xml:space="preserve"> – każdy wyrób lub zestaw wyprodukowany i wprowadzony do obrotu w celu trwałego wbudowania w obiektach budowlanych lub ich częściach, którego właściwości wpływają na właściwości użytkowe </w:t>
      </w:r>
      <w:r>
        <w:rPr>
          <w:rFonts w:ascii="Arial" w:hAnsi="Arial" w:cs="Arial"/>
          <w:color w:val="000000"/>
          <w:sz w:val="18"/>
          <w:szCs w:val="18"/>
          <w:lang w:val="x-none"/>
        </w:rPr>
        <w:lastRenderedPageBreak/>
        <w:t>obiektów budowlanych w stosunku do podstawowych wymagań dotyczących obiektów budowlanych o których mowa w art. 5 „Prawa budowlanego”;</w:t>
      </w:r>
    </w:p>
    <w:p w14:paraId="65F9C10C"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56.</w:t>
      </w:r>
      <w:r>
        <w:rPr>
          <w:rFonts w:ascii="Arial" w:hAnsi="Arial" w:cs="Arial"/>
          <w:color w:val="000000"/>
          <w:sz w:val="18"/>
          <w:szCs w:val="18"/>
          <w:lang w:val="x-none"/>
        </w:rPr>
        <w:tab/>
      </w:r>
      <w:r>
        <w:rPr>
          <w:rFonts w:ascii="Arial" w:hAnsi="Arial" w:cs="Arial"/>
          <w:b/>
          <w:bCs/>
          <w:color w:val="000000"/>
          <w:sz w:val="18"/>
          <w:szCs w:val="18"/>
          <w:lang w:val="x-none"/>
        </w:rPr>
        <w:t>Zestaw</w:t>
      </w:r>
      <w:r>
        <w:rPr>
          <w:rFonts w:ascii="Arial" w:hAnsi="Arial" w:cs="Arial"/>
          <w:color w:val="000000"/>
          <w:sz w:val="18"/>
          <w:szCs w:val="18"/>
          <w:lang w:val="x-none"/>
        </w:rPr>
        <w:t xml:space="preserve"> – wyrób budowlany wprowadzony do obrotu przez jednego producenta jako zestaw co najmniej dwóch odrębnych składników, które muszą zostać połączone, aby mogły zostać włączone w obiektach budowlanych;</w:t>
      </w:r>
    </w:p>
    <w:p w14:paraId="396FCE83"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57.</w:t>
      </w:r>
      <w:r>
        <w:rPr>
          <w:rFonts w:ascii="Arial" w:hAnsi="Arial" w:cs="Arial"/>
          <w:color w:val="000000"/>
          <w:sz w:val="18"/>
          <w:szCs w:val="18"/>
          <w:lang w:val="x-none"/>
        </w:rPr>
        <w:tab/>
      </w:r>
      <w:r>
        <w:rPr>
          <w:rFonts w:ascii="Arial" w:hAnsi="Arial" w:cs="Arial"/>
          <w:b/>
          <w:bCs/>
          <w:color w:val="000000"/>
          <w:sz w:val="18"/>
          <w:szCs w:val="18"/>
          <w:lang w:val="x-none"/>
        </w:rPr>
        <w:t>Cykl życia</w:t>
      </w:r>
      <w:r>
        <w:rPr>
          <w:rFonts w:ascii="Arial" w:hAnsi="Arial" w:cs="Arial"/>
          <w:color w:val="000000"/>
          <w:sz w:val="18"/>
          <w:szCs w:val="18"/>
          <w:lang w:val="x-none"/>
        </w:rPr>
        <w:t xml:space="preserve"> – kolejne powiązane ze sobą etapy cyklu życia wyrobu budowlanego, od nabycia surowca lub jego pozyskania z zasobów naturalnych do ostatecznego usunięcia wyrobu;</w:t>
      </w:r>
    </w:p>
    <w:p w14:paraId="115259AD"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58.</w:t>
      </w:r>
      <w:r>
        <w:rPr>
          <w:rFonts w:ascii="Arial" w:hAnsi="Arial" w:cs="Arial"/>
          <w:color w:val="000000"/>
          <w:sz w:val="18"/>
          <w:szCs w:val="18"/>
          <w:lang w:val="x-none"/>
        </w:rPr>
        <w:tab/>
      </w:r>
      <w:r>
        <w:rPr>
          <w:rFonts w:ascii="Arial" w:hAnsi="Arial" w:cs="Arial"/>
          <w:b/>
          <w:bCs/>
          <w:color w:val="000000"/>
          <w:sz w:val="18"/>
          <w:szCs w:val="18"/>
          <w:lang w:val="x-none"/>
        </w:rPr>
        <w:t>Właściwości użytkowe</w:t>
      </w:r>
      <w:r>
        <w:rPr>
          <w:rFonts w:ascii="Arial" w:hAnsi="Arial" w:cs="Arial"/>
          <w:color w:val="000000"/>
          <w:sz w:val="18"/>
          <w:szCs w:val="18"/>
          <w:lang w:val="x-none"/>
        </w:rPr>
        <w:t xml:space="preserve"> – zdolność wyrobu do spełnienia żądanych funkcji w zamierzonych warunkach użytkowania lub zachowania w trakcie użytkowania;</w:t>
      </w:r>
    </w:p>
    <w:p w14:paraId="1F46EC69"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59.</w:t>
      </w:r>
      <w:r>
        <w:rPr>
          <w:rFonts w:ascii="Arial" w:hAnsi="Arial" w:cs="Arial"/>
          <w:color w:val="000000"/>
          <w:sz w:val="18"/>
          <w:szCs w:val="18"/>
          <w:lang w:val="x-none"/>
        </w:rPr>
        <w:tab/>
      </w:r>
      <w:r>
        <w:rPr>
          <w:rFonts w:ascii="Arial" w:hAnsi="Arial" w:cs="Arial"/>
          <w:b/>
          <w:bCs/>
          <w:color w:val="000000"/>
          <w:sz w:val="18"/>
          <w:szCs w:val="18"/>
          <w:lang w:val="x-none"/>
        </w:rPr>
        <w:t xml:space="preserve">Aprobata techniczna </w:t>
      </w:r>
      <w:r>
        <w:rPr>
          <w:rFonts w:ascii="Arial" w:hAnsi="Arial" w:cs="Arial"/>
          <w:color w:val="000000"/>
          <w:sz w:val="18"/>
          <w:szCs w:val="18"/>
          <w:lang w:val="x-none"/>
        </w:rPr>
        <w:t>– pozytywna ocena techniczna przydatności wyrobu budowlanego do zamierzonego stosowania, uzależniona od spełnienia wymogów podstawowych przez obiekty budowlane, w których wyrób budowlany jest stosowany. – dotyczy dokumentów wystawionych przed 31.12.2016 r. do końca okresu ich ważności;</w:t>
      </w:r>
    </w:p>
    <w:p w14:paraId="7EE83236"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60.</w:t>
      </w:r>
      <w:r>
        <w:rPr>
          <w:rFonts w:ascii="Arial" w:hAnsi="Arial" w:cs="Arial"/>
          <w:color w:val="000000"/>
          <w:sz w:val="18"/>
          <w:szCs w:val="18"/>
          <w:lang w:val="x-none"/>
        </w:rPr>
        <w:tab/>
      </w:r>
      <w:r>
        <w:rPr>
          <w:rFonts w:ascii="Arial" w:hAnsi="Arial" w:cs="Arial"/>
          <w:b/>
          <w:bCs/>
          <w:color w:val="000000"/>
          <w:sz w:val="18"/>
          <w:szCs w:val="18"/>
          <w:lang w:val="x-none"/>
        </w:rPr>
        <w:t>Zharmonizowane specyfikacje techniczne</w:t>
      </w:r>
      <w:r>
        <w:rPr>
          <w:rFonts w:ascii="Arial" w:hAnsi="Arial" w:cs="Arial"/>
          <w:color w:val="000000"/>
          <w:sz w:val="18"/>
          <w:szCs w:val="18"/>
          <w:lang w:val="x-none"/>
        </w:rPr>
        <w:t xml:space="preserve"> – normy zharmonizowane i europejskie dokumenty oceny;</w:t>
      </w:r>
    </w:p>
    <w:p w14:paraId="2CDB390E"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61.</w:t>
      </w:r>
      <w:r>
        <w:rPr>
          <w:rFonts w:ascii="Arial" w:hAnsi="Arial" w:cs="Arial"/>
          <w:color w:val="000000"/>
          <w:sz w:val="18"/>
          <w:szCs w:val="18"/>
          <w:lang w:val="x-none"/>
        </w:rPr>
        <w:tab/>
      </w:r>
      <w:r>
        <w:rPr>
          <w:rFonts w:ascii="Arial" w:hAnsi="Arial" w:cs="Arial"/>
          <w:b/>
          <w:bCs/>
          <w:color w:val="000000"/>
          <w:sz w:val="18"/>
          <w:szCs w:val="18"/>
          <w:lang w:val="x-none"/>
        </w:rPr>
        <w:t>Norma zharmonizowana</w:t>
      </w:r>
      <w:r>
        <w:rPr>
          <w:rFonts w:ascii="Arial" w:hAnsi="Arial" w:cs="Arial"/>
          <w:color w:val="000000"/>
          <w:sz w:val="18"/>
          <w:szCs w:val="18"/>
          <w:lang w:val="x-none"/>
        </w:rPr>
        <w:t xml:space="preserve"> – norma przyjęta przez jeden z europejskich organów normalizacyjnych wymienionych w załączniku I do dyrektywy 98/34/WE, na podstawie wniosku wydanego przez Komisję, zgodnie z art. 6 tej dyrektywy;</w:t>
      </w:r>
    </w:p>
    <w:p w14:paraId="7128963D"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62.</w:t>
      </w:r>
      <w:r>
        <w:rPr>
          <w:rFonts w:ascii="Arial" w:hAnsi="Arial" w:cs="Arial"/>
          <w:b/>
          <w:bCs/>
          <w:color w:val="000000"/>
          <w:sz w:val="18"/>
          <w:szCs w:val="18"/>
          <w:lang w:val="x-none"/>
        </w:rPr>
        <w:tab/>
        <w:t xml:space="preserve">Europejski dokument oceny </w:t>
      </w:r>
      <w:r>
        <w:rPr>
          <w:rFonts w:ascii="Arial" w:hAnsi="Arial" w:cs="Arial"/>
          <w:color w:val="000000"/>
          <w:sz w:val="18"/>
          <w:szCs w:val="18"/>
          <w:lang w:val="x-none"/>
        </w:rPr>
        <w:t>– dokument przyjęty przez organizację JOT do celów wydawania europejskich ocen technicznych;</w:t>
      </w:r>
    </w:p>
    <w:p w14:paraId="3D189F4A"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63.</w:t>
      </w:r>
      <w:r>
        <w:rPr>
          <w:rFonts w:ascii="Arial" w:hAnsi="Arial" w:cs="Arial"/>
          <w:color w:val="000000"/>
          <w:sz w:val="18"/>
          <w:szCs w:val="18"/>
          <w:lang w:val="x-none"/>
        </w:rPr>
        <w:tab/>
      </w:r>
      <w:r>
        <w:rPr>
          <w:rFonts w:ascii="Arial" w:hAnsi="Arial" w:cs="Arial"/>
          <w:b/>
          <w:bCs/>
          <w:color w:val="000000"/>
          <w:sz w:val="18"/>
          <w:szCs w:val="18"/>
          <w:lang w:val="x-none"/>
        </w:rPr>
        <w:t>Europejska ocena techniczna</w:t>
      </w:r>
      <w:r>
        <w:rPr>
          <w:rFonts w:ascii="Arial" w:hAnsi="Arial" w:cs="Arial"/>
          <w:color w:val="000000"/>
          <w:sz w:val="18"/>
          <w:szCs w:val="18"/>
          <w:lang w:val="x-none"/>
        </w:rPr>
        <w:t xml:space="preserve"> – udokumentowana ocena właściwości użytkowych wyrobu budowlanego w odniesieniu do jego zasadniczych charakterystyk zgodnie z odnośnym europejskim dokumentem oceny;</w:t>
      </w:r>
    </w:p>
    <w:p w14:paraId="74A3C0E8"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64.</w:t>
      </w:r>
      <w:r>
        <w:rPr>
          <w:rFonts w:ascii="Arial" w:hAnsi="Arial" w:cs="Arial"/>
          <w:color w:val="000000"/>
          <w:sz w:val="18"/>
          <w:szCs w:val="18"/>
          <w:lang w:val="x-none"/>
        </w:rPr>
        <w:tab/>
      </w:r>
      <w:r>
        <w:rPr>
          <w:rFonts w:ascii="Arial" w:hAnsi="Arial" w:cs="Arial"/>
          <w:b/>
          <w:bCs/>
          <w:color w:val="000000"/>
          <w:sz w:val="18"/>
          <w:szCs w:val="18"/>
          <w:lang w:val="x-none"/>
        </w:rPr>
        <w:t>Krajowa ocena techniczna</w:t>
      </w:r>
      <w:r>
        <w:rPr>
          <w:rFonts w:ascii="Arial" w:hAnsi="Arial" w:cs="Arial"/>
          <w:color w:val="000000"/>
          <w:sz w:val="18"/>
          <w:szCs w:val="18"/>
          <w:lang w:val="x-none"/>
        </w:rPr>
        <w:t xml:space="preserve"> – udokumentowana, pozytywna ocena właściwości użytkowych tych zasadniczych charakterystyk wyrobu budowlanego, które zgodnie z zamierzonym zastosowaniem mają wpływ na spełnienie podstawowych wymagań, o których mowa w art. 5 ust. 1 pkt 1 ustawy z dnia 7 lipca 1994 r. – Prawo budowlane (Dz. U. z 2013 r. poz. 1409, z </w:t>
      </w:r>
      <w:proofErr w:type="spellStart"/>
      <w:r>
        <w:rPr>
          <w:rFonts w:ascii="Arial" w:hAnsi="Arial" w:cs="Arial"/>
          <w:color w:val="000000"/>
          <w:sz w:val="18"/>
          <w:szCs w:val="18"/>
          <w:lang w:val="x-none"/>
        </w:rPr>
        <w:t>późn</w:t>
      </w:r>
      <w:proofErr w:type="spellEnd"/>
      <w:r>
        <w:rPr>
          <w:rFonts w:ascii="Arial" w:hAnsi="Arial" w:cs="Arial"/>
          <w:color w:val="000000"/>
          <w:sz w:val="18"/>
          <w:szCs w:val="18"/>
          <w:lang w:val="x-none"/>
        </w:rPr>
        <w:t>. zm.), przez obiekty budowlane, w których wyrób będzie zastosowany;</w:t>
      </w:r>
    </w:p>
    <w:p w14:paraId="492C7B1E"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65.</w:t>
      </w:r>
      <w:r>
        <w:rPr>
          <w:rFonts w:ascii="Arial" w:hAnsi="Arial" w:cs="Arial"/>
          <w:color w:val="000000"/>
          <w:sz w:val="18"/>
          <w:szCs w:val="18"/>
          <w:lang w:val="x-none"/>
        </w:rPr>
        <w:tab/>
      </w:r>
      <w:r>
        <w:rPr>
          <w:rFonts w:ascii="Arial" w:hAnsi="Arial" w:cs="Arial"/>
          <w:b/>
          <w:bCs/>
          <w:color w:val="000000"/>
          <w:sz w:val="18"/>
          <w:szCs w:val="18"/>
          <w:lang w:val="x-none"/>
        </w:rPr>
        <w:t xml:space="preserve">Zakładowa kontrola produkcji </w:t>
      </w:r>
      <w:r>
        <w:rPr>
          <w:rFonts w:ascii="Arial" w:hAnsi="Arial" w:cs="Arial"/>
          <w:color w:val="000000"/>
          <w:sz w:val="18"/>
          <w:szCs w:val="18"/>
          <w:lang w:val="x-none"/>
        </w:rPr>
        <w:t>– udokumentowana stała i wewnętrzna kontrola produkcji w zakładzie produkcyjnym zgodnie ze stosownymi zharmonizowanymi specyfikacjami technicznymi;</w:t>
      </w:r>
    </w:p>
    <w:p w14:paraId="4A7C0B09"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66.</w:t>
      </w:r>
      <w:r>
        <w:rPr>
          <w:rFonts w:ascii="Arial" w:hAnsi="Arial" w:cs="Arial"/>
          <w:b/>
          <w:bCs/>
          <w:color w:val="000000"/>
          <w:sz w:val="18"/>
          <w:szCs w:val="18"/>
          <w:lang w:val="x-none"/>
        </w:rPr>
        <w:tab/>
        <w:t>Ustalenia techniczne</w:t>
      </w:r>
      <w:r>
        <w:rPr>
          <w:rFonts w:ascii="Arial" w:hAnsi="Arial" w:cs="Arial"/>
          <w:color w:val="000000"/>
          <w:sz w:val="18"/>
          <w:szCs w:val="18"/>
          <w:lang w:val="x-none"/>
        </w:rPr>
        <w:t xml:space="preserve"> – ustalenia podane w normach, aprobatach technicznych (wydanych przed 31.12.2016 r. – a po tym terminie w krajowych ocenach technicznych) i szczegółowych specyfikacjach technicznych;</w:t>
      </w:r>
    </w:p>
    <w:p w14:paraId="13C029A5"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67.</w:t>
      </w:r>
      <w:r>
        <w:rPr>
          <w:rFonts w:ascii="Arial" w:hAnsi="Arial" w:cs="Arial"/>
          <w:b/>
          <w:bCs/>
          <w:color w:val="000000"/>
          <w:sz w:val="18"/>
          <w:szCs w:val="18"/>
          <w:lang w:val="x-none"/>
        </w:rPr>
        <w:tab/>
        <w:t xml:space="preserve">Instrukcja technicznej obsługi (eksploatacji) </w:t>
      </w:r>
      <w:r>
        <w:rPr>
          <w:rFonts w:ascii="Arial" w:hAnsi="Arial" w:cs="Arial"/>
          <w:color w:val="000000"/>
          <w:sz w:val="18"/>
          <w:szCs w:val="18"/>
          <w:lang w:val="x-none"/>
        </w:rPr>
        <w:t>– instrukcja opracowana przez projektanta lub dostawcę urządzeń technicznych i maszyn, określająca rodzaje i kolejność lub współzależność czynności obsługi, przeglądów i zabiegów konserwacyjnych, warunkujących ich efektywne i bezpieczne użytkowanie. Instrukcja techniczna obsługi (eksploatacji) jest również składnikiem dokumentacji powykonawczej obiektu budowlanego;</w:t>
      </w:r>
    </w:p>
    <w:p w14:paraId="4E0A5C75"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68.</w:t>
      </w:r>
      <w:r>
        <w:rPr>
          <w:rFonts w:ascii="Arial" w:hAnsi="Arial" w:cs="Arial"/>
          <w:b/>
          <w:bCs/>
          <w:color w:val="000000"/>
          <w:sz w:val="18"/>
          <w:szCs w:val="18"/>
          <w:lang w:val="x-none"/>
        </w:rPr>
        <w:tab/>
        <w:t xml:space="preserve">Istotne wymagania </w:t>
      </w:r>
      <w:r>
        <w:rPr>
          <w:rFonts w:ascii="Arial" w:hAnsi="Arial" w:cs="Arial"/>
          <w:color w:val="000000"/>
          <w:sz w:val="18"/>
          <w:szCs w:val="18"/>
          <w:lang w:val="x-none"/>
        </w:rPr>
        <w:t>– wymagania dotyczące bezpieczeństwa, zdrowia i pewnych innych aspektów interesu wspólnego, jakie mają spełniać roboty budowlane;</w:t>
      </w:r>
    </w:p>
    <w:p w14:paraId="7E89D336"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69.</w:t>
      </w:r>
      <w:r>
        <w:rPr>
          <w:rFonts w:ascii="Arial" w:hAnsi="Arial" w:cs="Arial"/>
          <w:color w:val="000000"/>
          <w:sz w:val="18"/>
          <w:szCs w:val="18"/>
          <w:lang w:val="x-none"/>
        </w:rPr>
        <w:tab/>
      </w:r>
      <w:r>
        <w:rPr>
          <w:rFonts w:ascii="Arial" w:hAnsi="Arial" w:cs="Arial"/>
          <w:b/>
          <w:bCs/>
          <w:color w:val="000000"/>
          <w:sz w:val="18"/>
          <w:szCs w:val="18"/>
          <w:lang w:val="x-none"/>
        </w:rPr>
        <w:t>Odpowiednia zgodność</w:t>
      </w:r>
      <w:r>
        <w:rPr>
          <w:rFonts w:ascii="Arial" w:hAnsi="Arial" w:cs="Arial"/>
          <w:color w:val="000000"/>
          <w:sz w:val="18"/>
          <w:szCs w:val="18"/>
          <w:lang w:val="x-none"/>
        </w:rPr>
        <w:t xml:space="preserve"> – zgodność wykonanych robót z dopuszczalnymi tolerancjami, a jeśli granice tolerancji nie zostały określone – z przeciętnymi tolerancjami przyjmowanymi zwyczajowo dla danego rodzaju robót budowlanych;</w:t>
      </w:r>
    </w:p>
    <w:p w14:paraId="0878AF3D"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70.</w:t>
      </w:r>
      <w:r>
        <w:rPr>
          <w:rFonts w:ascii="Arial" w:hAnsi="Arial" w:cs="Arial"/>
          <w:color w:val="000000"/>
          <w:sz w:val="18"/>
          <w:szCs w:val="18"/>
          <w:lang w:val="x-none"/>
        </w:rPr>
        <w:tab/>
      </w:r>
      <w:r>
        <w:rPr>
          <w:rFonts w:ascii="Arial" w:hAnsi="Arial" w:cs="Arial"/>
          <w:b/>
          <w:bCs/>
          <w:color w:val="000000"/>
          <w:sz w:val="18"/>
          <w:szCs w:val="18"/>
          <w:lang w:val="x-none"/>
        </w:rPr>
        <w:t xml:space="preserve">Normy europejskie </w:t>
      </w:r>
      <w:r>
        <w:rPr>
          <w:rFonts w:ascii="Arial" w:hAnsi="Arial" w:cs="Arial"/>
          <w:color w:val="000000"/>
          <w:sz w:val="18"/>
          <w:szCs w:val="18"/>
          <w:lang w:val="x-none"/>
        </w:rPr>
        <w:t xml:space="preserve">– normy przyjęte przez Europejski Komitet Normalizacyjny (CEN) oraz Europejski Komitet Normalizacyjny Elektrotechniki (CENELEC) lub Europejski Instytut Norm Telekomunikacyjnych (ETSI) jako „standardy europejskie (EN)” lub „dokumenty </w:t>
      </w:r>
      <w:proofErr w:type="spellStart"/>
      <w:r>
        <w:rPr>
          <w:rFonts w:ascii="Arial" w:hAnsi="Arial" w:cs="Arial"/>
          <w:color w:val="000000"/>
          <w:sz w:val="18"/>
          <w:szCs w:val="18"/>
          <w:lang w:val="x-none"/>
        </w:rPr>
        <w:t>harmonizacyjne</w:t>
      </w:r>
      <w:proofErr w:type="spellEnd"/>
      <w:r>
        <w:rPr>
          <w:rFonts w:ascii="Arial" w:hAnsi="Arial" w:cs="Arial"/>
          <w:color w:val="000000"/>
          <w:sz w:val="18"/>
          <w:szCs w:val="18"/>
          <w:lang w:val="x-none"/>
        </w:rPr>
        <w:t xml:space="preserve"> (HD)”, zgodnie z ogólnymi zasadami działania tych organizacji;</w:t>
      </w:r>
    </w:p>
    <w:p w14:paraId="18E76AF0"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71.</w:t>
      </w:r>
      <w:r>
        <w:rPr>
          <w:rFonts w:ascii="Arial" w:hAnsi="Arial" w:cs="Arial"/>
          <w:color w:val="000000"/>
          <w:sz w:val="18"/>
          <w:szCs w:val="18"/>
          <w:lang w:val="x-none"/>
        </w:rPr>
        <w:tab/>
      </w:r>
      <w:r>
        <w:rPr>
          <w:rFonts w:ascii="Arial" w:hAnsi="Arial" w:cs="Arial"/>
          <w:b/>
          <w:bCs/>
          <w:color w:val="000000"/>
          <w:sz w:val="18"/>
          <w:szCs w:val="18"/>
          <w:lang w:val="x-none"/>
        </w:rPr>
        <w:t xml:space="preserve">Wspólny Słownik Zamówień </w:t>
      </w:r>
      <w:r>
        <w:rPr>
          <w:rFonts w:ascii="Arial" w:hAnsi="Arial" w:cs="Arial"/>
          <w:color w:val="000000"/>
          <w:sz w:val="18"/>
          <w:szCs w:val="18"/>
          <w:lang w:val="x-none"/>
        </w:rPr>
        <w:t xml:space="preserve">– wspólny dla wszystkich krajów Unii Europejskiej zespół kodów z systemem klasyfikacji produktów, usług i robót budowlanych, (ang. </w:t>
      </w:r>
      <w:proofErr w:type="spellStart"/>
      <w:r>
        <w:rPr>
          <w:rFonts w:ascii="Arial" w:hAnsi="Arial" w:cs="Arial"/>
          <w:color w:val="000000"/>
          <w:sz w:val="18"/>
          <w:szCs w:val="18"/>
          <w:lang w:val="x-none"/>
        </w:rPr>
        <w:t>Common</w:t>
      </w:r>
      <w:proofErr w:type="spellEnd"/>
      <w:r>
        <w:rPr>
          <w:rFonts w:ascii="Arial" w:hAnsi="Arial" w:cs="Arial"/>
          <w:color w:val="000000"/>
          <w:sz w:val="18"/>
          <w:szCs w:val="18"/>
          <w:lang w:val="x-none"/>
        </w:rPr>
        <w:t xml:space="preserve"> </w:t>
      </w:r>
      <w:proofErr w:type="spellStart"/>
      <w:r>
        <w:rPr>
          <w:rFonts w:ascii="Arial" w:hAnsi="Arial" w:cs="Arial"/>
          <w:color w:val="000000"/>
          <w:sz w:val="18"/>
          <w:szCs w:val="18"/>
          <w:lang w:val="x-none"/>
        </w:rPr>
        <w:t>Procurement</w:t>
      </w:r>
      <w:proofErr w:type="spellEnd"/>
      <w:r>
        <w:rPr>
          <w:rFonts w:ascii="Arial" w:hAnsi="Arial" w:cs="Arial"/>
          <w:color w:val="000000"/>
          <w:sz w:val="18"/>
          <w:szCs w:val="18"/>
          <w:lang w:val="x-none"/>
        </w:rPr>
        <w:t xml:space="preserve"> </w:t>
      </w:r>
      <w:proofErr w:type="spellStart"/>
      <w:r>
        <w:rPr>
          <w:rFonts w:ascii="Arial" w:hAnsi="Arial" w:cs="Arial"/>
          <w:color w:val="000000"/>
          <w:sz w:val="18"/>
          <w:szCs w:val="18"/>
          <w:lang w:val="x-none"/>
        </w:rPr>
        <w:t>Vocabulary</w:t>
      </w:r>
      <w:proofErr w:type="spellEnd"/>
      <w:r>
        <w:rPr>
          <w:rFonts w:ascii="Arial" w:hAnsi="Arial" w:cs="Arial"/>
          <w:color w:val="000000"/>
          <w:sz w:val="18"/>
          <w:szCs w:val="18"/>
          <w:lang w:val="x-none"/>
        </w:rPr>
        <w:t xml:space="preserve"> – skrót CPV) stworzony na potrzeby zamówień publicznych, który obowiązuje we wszystkich krajach Unii Europejskiej, a wprowadzony zastał rozporządzeniem (WE) nr 2195/2002 Parlamentu Europejskiego i Rady w sprawie Wspólnego Słownika Zamówień (CPV) oraz dyrektywy 2004/17/WE i 2004/18/WE Parlamentu Europejskiego i Rady dotyczące procedur udzielania zamówień publicznych w zakresie zmiany CPV Rozporządzeniem Komisji (WE) nr 213/2008 z dnia 28 listopada zmieniającym;</w:t>
      </w:r>
    </w:p>
    <w:p w14:paraId="00FE4060"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72.</w:t>
      </w:r>
      <w:r>
        <w:rPr>
          <w:rFonts w:ascii="Arial" w:hAnsi="Arial" w:cs="Arial"/>
          <w:color w:val="000000"/>
          <w:sz w:val="18"/>
          <w:szCs w:val="18"/>
          <w:lang w:val="x-none"/>
        </w:rPr>
        <w:tab/>
      </w:r>
      <w:r>
        <w:rPr>
          <w:rFonts w:ascii="Arial" w:hAnsi="Arial" w:cs="Arial"/>
          <w:b/>
          <w:bCs/>
          <w:color w:val="000000"/>
          <w:sz w:val="18"/>
          <w:szCs w:val="18"/>
          <w:lang w:val="x-none"/>
        </w:rPr>
        <w:t>Grupy, klasy, kategorie robót</w:t>
      </w:r>
      <w:r>
        <w:rPr>
          <w:rFonts w:ascii="Arial" w:hAnsi="Arial" w:cs="Arial"/>
          <w:color w:val="000000"/>
          <w:sz w:val="18"/>
          <w:szCs w:val="18"/>
          <w:lang w:val="x-none"/>
        </w:rPr>
        <w:t xml:space="preserve"> – grupy, klasy, kategorie określone w rozporządzeniu nr 2195/2002 z dnia 5 listopada 2002 r. w sprawie Wspólnego Słownika Zamówień (Dz. Urz. WE L 340 z 16.12.2002, z </w:t>
      </w:r>
      <w:proofErr w:type="spellStart"/>
      <w:r>
        <w:rPr>
          <w:rFonts w:ascii="Arial" w:hAnsi="Arial" w:cs="Arial"/>
          <w:color w:val="000000"/>
          <w:sz w:val="18"/>
          <w:szCs w:val="18"/>
          <w:lang w:val="x-none"/>
        </w:rPr>
        <w:t>późn</w:t>
      </w:r>
      <w:proofErr w:type="spellEnd"/>
      <w:r>
        <w:rPr>
          <w:rFonts w:ascii="Arial" w:hAnsi="Arial" w:cs="Arial"/>
          <w:color w:val="000000"/>
          <w:sz w:val="18"/>
          <w:szCs w:val="18"/>
          <w:lang w:val="x-none"/>
        </w:rPr>
        <w:t>. zm.), zwanym dalej „Wspólnym Słownikiem Zamówień”.</w:t>
      </w:r>
    </w:p>
    <w:p w14:paraId="34F8456B"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p>
    <w:p w14:paraId="338BE999" w14:textId="77777777" w:rsidR="000A3B2B" w:rsidRDefault="000A3B2B" w:rsidP="000E4A5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1.7.2.</w:t>
      </w:r>
      <w:r>
        <w:rPr>
          <w:rFonts w:ascii="Arial" w:hAnsi="Arial" w:cs="Arial"/>
          <w:b/>
          <w:bCs/>
          <w:color w:val="000000"/>
          <w:sz w:val="18"/>
          <w:szCs w:val="18"/>
          <w:lang w:val="x-none"/>
        </w:rPr>
        <w:tab/>
        <w:t>Terminy stosowane w umowach</w:t>
      </w:r>
    </w:p>
    <w:p w14:paraId="198D5BC1"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1.</w:t>
      </w:r>
      <w:r>
        <w:rPr>
          <w:rFonts w:ascii="Arial" w:hAnsi="Arial" w:cs="Arial"/>
          <w:color w:val="000000"/>
          <w:sz w:val="18"/>
          <w:szCs w:val="18"/>
          <w:lang w:val="x-none"/>
        </w:rPr>
        <w:tab/>
      </w:r>
      <w:r>
        <w:rPr>
          <w:rFonts w:ascii="Arial" w:hAnsi="Arial" w:cs="Arial"/>
          <w:b/>
          <w:bCs/>
          <w:color w:val="000000"/>
          <w:sz w:val="18"/>
          <w:szCs w:val="18"/>
          <w:lang w:val="x-none"/>
        </w:rPr>
        <w:t xml:space="preserve">Harmonogram wykonania robót </w:t>
      </w:r>
      <w:r>
        <w:rPr>
          <w:rFonts w:ascii="Arial" w:hAnsi="Arial" w:cs="Arial"/>
          <w:color w:val="000000"/>
          <w:sz w:val="18"/>
          <w:szCs w:val="18"/>
          <w:lang w:val="x-none"/>
        </w:rPr>
        <w:t>– dokument określający całkowity czas wykonania robót wraz z terminami rozpoczęcia i zakończenia robót każdego z wykonawców i terminami realizacji poszczególnych rodzajów lub etapów robót;</w:t>
      </w:r>
    </w:p>
    <w:p w14:paraId="5F05A9AE"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2.</w:t>
      </w:r>
      <w:r>
        <w:rPr>
          <w:rFonts w:ascii="Arial" w:hAnsi="Arial" w:cs="Arial"/>
          <w:color w:val="000000"/>
          <w:sz w:val="18"/>
          <w:szCs w:val="18"/>
          <w:lang w:val="x-none"/>
        </w:rPr>
        <w:tab/>
      </w:r>
      <w:r>
        <w:rPr>
          <w:rFonts w:ascii="Arial" w:hAnsi="Arial" w:cs="Arial"/>
          <w:b/>
          <w:bCs/>
          <w:color w:val="000000"/>
          <w:sz w:val="18"/>
          <w:szCs w:val="18"/>
          <w:lang w:val="x-none"/>
        </w:rPr>
        <w:t>Wada</w:t>
      </w:r>
      <w:r>
        <w:rPr>
          <w:rFonts w:ascii="Arial" w:hAnsi="Arial" w:cs="Arial"/>
          <w:color w:val="000000"/>
          <w:sz w:val="18"/>
          <w:szCs w:val="18"/>
          <w:lang w:val="x-none"/>
        </w:rPr>
        <w:t xml:space="preserve"> – niezgodność wykonania przedmiotu umowy z wymaganiami ustalonymi w tej umowie;</w:t>
      </w:r>
    </w:p>
    <w:p w14:paraId="774B60FF"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3.</w:t>
      </w:r>
      <w:r>
        <w:rPr>
          <w:rFonts w:ascii="Arial" w:hAnsi="Arial" w:cs="Arial"/>
          <w:color w:val="000000"/>
          <w:sz w:val="18"/>
          <w:szCs w:val="18"/>
          <w:lang w:val="x-none"/>
        </w:rPr>
        <w:tab/>
      </w:r>
      <w:r>
        <w:rPr>
          <w:rFonts w:ascii="Arial" w:hAnsi="Arial" w:cs="Arial"/>
          <w:b/>
          <w:bCs/>
          <w:color w:val="000000"/>
          <w:sz w:val="18"/>
          <w:szCs w:val="18"/>
          <w:lang w:val="x-none"/>
        </w:rPr>
        <w:t>Arbitraż</w:t>
      </w:r>
      <w:r>
        <w:rPr>
          <w:rFonts w:ascii="Arial" w:hAnsi="Arial" w:cs="Arial"/>
          <w:color w:val="000000"/>
          <w:sz w:val="18"/>
          <w:szCs w:val="18"/>
          <w:lang w:val="x-none"/>
        </w:rPr>
        <w:t xml:space="preserve"> – sposób rozstrzygania sporów poza sądem przez jedną lub kilka osób, wybranych zwykle przez strony;</w:t>
      </w:r>
    </w:p>
    <w:p w14:paraId="21D504A2"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4.</w:t>
      </w:r>
      <w:r>
        <w:rPr>
          <w:rFonts w:ascii="Arial" w:hAnsi="Arial" w:cs="Arial"/>
          <w:color w:val="000000"/>
          <w:sz w:val="18"/>
          <w:szCs w:val="18"/>
          <w:lang w:val="x-none"/>
        </w:rPr>
        <w:tab/>
      </w:r>
      <w:r>
        <w:rPr>
          <w:rFonts w:ascii="Arial" w:hAnsi="Arial" w:cs="Arial"/>
          <w:b/>
          <w:bCs/>
          <w:color w:val="000000"/>
          <w:sz w:val="18"/>
          <w:szCs w:val="18"/>
          <w:lang w:val="x-none"/>
        </w:rPr>
        <w:t>Roszczenie</w:t>
      </w:r>
      <w:r>
        <w:rPr>
          <w:rFonts w:ascii="Arial" w:hAnsi="Arial" w:cs="Arial"/>
          <w:color w:val="000000"/>
          <w:sz w:val="18"/>
          <w:szCs w:val="18"/>
          <w:lang w:val="x-none"/>
        </w:rPr>
        <w:t xml:space="preserve"> – żądanie przez wykonawcę dodatkowej zapłaty, do której jego zdaniem jest, zgodnie z umową, upoważniony lub żądanie zapłaty za szkodę wynikającą z niedotrzymania warunków umowy;</w:t>
      </w:r>
    </w:p>
    <w:p w14:paraId="041F8735"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lastRenderedPageBreak/>
        <w:t>5.</w:t>
      </w:r>
      <w:r>
        <w:rPr>
          <w:rFonts w:ascii="Arial" w:hAnsi="Arial" w:cs="Arial"/>
          <w:color w:val="000000"/>
          <w:sz w:val="18"/>
          <w:szCs w:val="18"/>
          <w:lang w:val="x-none"/>
        </w:rPr>
        <w:tab/>
      </w:r>
      <w:r>
        <w:rPr>
          <w:rFonts w:ascii="Arial" w:hAnsi="Arial" w:cs="Arial"/>
          <w:b/>
          <w:bCs/>
          <w:color w:val="000000"/>
          <w:sz w:val="18"/>
          <w:szCs w:val="18"/>
          <w:lang w:val="x-none"/>
        </w:rPr>
        <w:t xml:space="preserve">Siła wyższa </w:t>
      </w:r>
      <w:r>
        <w:rPr>
          <w:rFonts w:ascii="Arial" w:hAnsi="Arial" w:cs="Arial"/>
          <w:color w:val="000000"/>
          <w:sz w:val="18"/>
          <w:szCs w:val="18"/>
          <w:lang w:val="x-none"/>
        </w:rPr>
        <w:t>– zdarzenie, którego nie można było przewidzieć ani mu zapobiec i będące poza wpływem stron umowy, które uniemożliwia wykonawcy wypełnienie swoich zobowiązań w całości lub w części;</w:t>
      </w:r>
    </w:p>
    <w:p w14:paraId="4892B340"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6.</w:t>
      </w:r>
      <w:r>
        <w:rPr>
          <w:rFonts w:ascii="Arial" w:hAnsi="Arial" w:cs="Arial"/>
          <w:color w:val="000000"/>
          <w:sz w:val="18"/>
          <w:szCs w:val="18"/>
          <w:lang w:val="x-none"/>
        </w:rPr>
        <w:tab/>
      </w:r>
      <w:r>
        <w:rPr>
          <w:rFonts w:ascii="Arial" w:hAnsi="Arial" w:cs="Arial"/>
          <w:b/>
          <w:bCs/>
          <w:color w:val="000000"/>
          <w:sz w:val="18"/>
          <w:szCs w:val="18"/>
          <w:lang w:val="x-none"/>
        </w:rPr>
        <w:t>Potrącenia</w:t>
      </w:r>
      <w:r>
        <w:rPr>
          <w:rFonts w:ascii="Arial" w:hAnsi="Arial" w:cs="Arial"/>
          <w:color w:val="000000"/>
          <w:sz w:val="18"/>
          <w:szCs w:val="18"/>
          <w:lang w:val="x-none"/>
        </w:rPr>
        <w:t xml:space="preserve"> – sankcje za niezgodne z umową wykonanie robót, przez zmniejszenie kwoty umownej. Sankcje będą zastosowane, gdy zamawiający zaakceptuje je zamiast wykonania poprawek robót wykonanych niezgodnie z umową;</w:t>
      </w:r>
    </w:p>
    <w:p w14:paraId="3EF38487"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7.</w:t>
      </w:r>
      <w:r>
        <w:rPr>
          <w:rFonts w:ascii="Arial" w:hAnsi="Arial" w:cs="Arial"/>
          <w:color w:val="000000"/>
          <w:sz w:val="18"/>
          <w:szCs w:val="18"/>
          <w:lang w:val="x-none"/>
        </w:rPr>
        <w:tab/>
      </w:r>
      <w:r>
        <w:rPr>
          <w:rFonts w:ascii="Arial" w:hAnsi="Arial" w:cs="Arial"/>
          <w:b/>
          <w:bCs/>
          <w:color w:val="000000"/>
          <w:sz w:val="18"/>
          <w:szCs w:val="18"/>
          <w:lang w:val="x-none"/>
        </w:rPr>
        <w:t>Zaliczka</w:t>
      </w:r>
      <w:r>
        <w:rPr>
          <w:rFonts w:ascii="Arial" w:hAnsi="Arial" w:cs="Arial"/>
          <w:color w:val="000000"/>
          <w:sz w:val="18"/>
          <w:szCs w:val="18"/>
          <w:lang w:val="x-none"/>
        </w:rPr>
        <w:t xml:space="preserve"> – kwota pieniędzy wypłacona wykonawcy przez zamawiającego po podpisaniu umowy, ale przed rozpoczęciem robót, dostaw lub świadczeniem usług;</w:t>
      </w:r>
    </w:p>
    <w:p w14:paraId="1F300690"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8.</w:t>
      </w:r>
      <w:r>
        <w:rPr>
          <w:rFonts w:ascii="Arial" w:hAnsi="Arial" w:cs="Arial"/>
          <w:color w:val="000000"/>
          <w:sz w:val="18"/>
          <w:szCs w:val="18"/>
          <w:lang w:val="x-none"/>
        </w:rPr>
        <w:tab/>
      </w:r>
      <w:r>
        <w:rPr>
          <w:rFonts w:ascii="Arial" w:hAnsi="Arial" w:cs="Arial"/>
          <w:b/>
          <w:bCs/>
          <w:color w:val="000000"/>
          <w:sz w:val="18"/>
          <w:szCs w:val="18"/>
          <w:lang w:val="x-none"/>
        </w:rPr>
        <w:t xml:space="preserve">Faktura końcowa </w:t>
      </w:r>
      <w:r>
        <w:rPr>
          <w:rFonts w:ascii="Arial" w:hAnsi="Arial" w:cs="Arial"/>
          <w:color w:val="000000"/>
          <w:sz w:val="18"/>
          <w:szCs w:val="18"/>
          <w:lang w:val="x-none"/>
        </w:rPr>
        <w:t>– dokument akceptowany przez strony umowy, ustalający ostateczne koszty wykonania robót lub usług i ostateczną kwotę wynagrodzenia;</w:t>
      </w:r>
    </w:p>
    <w:p w14:paraId="10787BC9"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9.</w:t>
      </w:r>
      <w:r>
        <w:rPr>
          <w:rFonts w:ascii="Arial" w:hAnsi="Arial" w:cs="Arial"/>
          <w:color w:val="000000"/>
          <w:sz w:val="18"/>
          <w:szCs w:val="18"/>
          <w:lang w:val="x-none"/>
        </w:rPr>
        <w:tab/>
      </w:r>
      <w:r>
        <w:rPr>
          <w:rFonts w:ascii="Arial" w:hAnsi="Arial" w:cs="Arial"/>
          <w:b/>
          <w:bCs/>
          <w:color w:val="000000"/>
          <w:sz w:val="18"/>
          <w:szCs w:val="18"/>
          <w:lang w:val="x-none"/>
        </w:rPr>
        <w:t xml:space="preserve">Protokół odbioru końcowego </w:t>
      </w:r>
      <w:r>
        <w:rPr>
          <w:rFonts w:ascii="Arial" w:hAnsi="Arial" w:cs="Arial"/>
          <w:color w:val="000000"/>
          <w:sz w:val="18"/>
          <w:szCs w:val="18"/>
          <w:lang w:val="x-none"/>
        </w:rPr>
        <w:t>– dokument stanowiący podstawę ostatecznego rozliczenia wykonanych robót lub usług;</w:t>
      </w:r>
    </w:p>
    <w:p w14:paraId="79318DB5"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10.</w:t>
      </w:r>
      <w:r>
        <w:rPr>
          <w:rFonts w:ascii="Arial" w:hAnsi="Arial" w:cs="Arial"/>
          <w:color w:val="000000"/>
          <w:sz w:val="18"/>
          <w:szCs w:val="18"/>
          <w:lang w:val="x-none"/>
        </w:rPr>
        <w:tab/>
      </w:r>
      <w:r>
        <w:rPr>
          <w:rFonts w:ascii="Arial" w:hAnsi="Arial" w:cs="Arial"/>
          <w:b/>
          <w:bCs/>
          <w:color w:val="000000"/>
          <w:sz w:val="18"/>
          <w:szCs w:val="18"/>
          <w:lang w:val="x-none"/>
        </w:rPr>
        <w:t xml:space="preserve">Wynagrodzenie końcowe </w:t>
      </w:r>
      <w:r>
        <w:rPr>
          <w:rFonts w:ascii="Arial" w:hAnsi="Arial" w:cs="Arial"/>
          <w:color w:val="000000"/>
          <w:sz w:val="18"/>
          <w:szCs w:val="18"/>
          <w:lang w:val="x-none"/>
        </w:rPr>
        <w:t>– ostateczna kwota w fakturze końcowej;</w:t>
      </w:r>
    </w:p>
    <w:p w14:paraId="7D1641BA"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11.</w:t>
      </w:r>
      <w:r>
        <w:rPr>
          <w:rFonts w:ascii="Arial" w:hAnsi="Arial" w:cs="Arial"/>
          <w:color w:val="000000"/>
          <w:sz w:val="18"/>
          <w:szCs w:val="18"/>
          <w:lang w:val="x-none"/>
        </w:rPr>
        <w:tab/>
      </w:r>
      <w:r>
        <w:rPr>
          <w:rFonts w:ascii="Arial" w:hAnsi="Arial" w:cs="Arial"/>
          <w:b/>
          <w:bCs/>
          <w:color w:val="000000"/>
          <w:sz w:val="18"/>
          <w:szCs w:val="18"/>
          <w:lang w:val="x-none"/>
        </w:rPr>
        <w:t>Protokół odbioru częściowego</w:t>
      </w:r>
      <w:r>
        <w:rPr>
          <w:rFonts w:ascii="Arial" w:hAnsi="Arial" w:cs="Arial"/>
          <w:color w:val="000000"/>
          <w:sz w:val="18"/>
          <w:szCs w:val="18"/>
          <w:lang w:val="x-none"/>
        </w:rPr>
        <w:t xml:space="preserve"> – dokument, który stanowi podstawę płatności za wykonane roboty, usługi lub dostawy materiałów na określony dzień;</w:t>
      </w:r>
    </w:p>
    <w:p w14:paraId="59E468D7"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12.</w:t>
      </w:r>
      <w:r>
        <w:rPr>
          <w:rFonts w:ascii="Arial" w:hAnsi="Arial" w:cs="Arial"/>
          <w:color w:val="000000"/>
          <w:sz w:val="18"/>
          <w:szCs w:val="18"/>
          <w:lang w:val="x-none"/>
        </w:rPr>
        <w:tab/>
      </w:r>
      <w:r>
        <w:rPr>
          <w:rFonts w:ascii="Arial" w:hAnsi="Arial" w:cs="Arial"/>
          <w:b/>
          <w:bCs/>
          <w:color w:val="000000"/>
          <w:sz w:val="18"/>
          <w:szCs w:val="18"/>
          <w:lang w:val="x-none"/>
        </w:rPr>
        <w:t xml:space="preserve">Wynagrodzenie częściowe </w:t>
      </w:r>
      <w:r>
        <w:rPr>
          <w:rFonts w:ascii="Arial" w:hAnsi="Arial" w:cs="Arial"/>
          <w:color w:val="000000"/>
          <w:sz w:val="18"/>
          <w:szCs w:val="18"/>
          <w:lang w:val="x-none"/>
        </w:rPr>
        <w:t>– wynagrodzenie, które wynika z faktury częściowej;</w:t>
      </w:r>
    </w:p>
    <w:p w14:paraId="2A96EC14"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13.</w:t>
      </w:r>
      <w:r>
        <w:rPr>
          <w:rFonts w:ascii="Arial" w:hAnsi="Arial" w:cs="Arial"/>
          <w:color w:val="000000"/>
          <w:sz w:val="18"/>
          <w:szCs w:val="18"/>
          <w:lang w:val="x-none"/>
        </w:rPr>
        <w:tab/>
      </w:r>
      <w:r>
        <w:rPr>
          <w:rFonts w:ascii="Arial" w:hAnsi="Arial" w:cs="Arial"/>
          <w:b/>
          <w:bCs/>
          <w:color w:val="000000"/>
          <w:sz w:val="18"/>
          <w:szCs w:val="18"/>
          <w:lang w:val="x-none"/>
        </w:rPr>
        <w:t>Faktura częściowa</w:t>
      </w:r>
      <w:r>
        <w:rPr>
          <w:rFonts w:ascii="Arial" w:hAnsi="Arial" w:cs="Arial"/>
          <w:color w:val="000000"/>
          <w:sz w:val="18"/>
          <w:szCs w:val="18"/>
          <w:lang w:val="x-none"/>
        </w:rPr>
        <w:t xml:space="preserve"> – rozliczenie przejściowe między stronami umowy odnośnie do kwoty wynagrodzenia za całość robót lub usług wykonanych na określony dzień;</w:t>
      </w:r>
    </w:p>
    <w:p w14:paraId="7AEB8B49"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14.</w:t>
      </w:r>
      <w:r>
        <w:rPr>
          <w:rFonts w:ascii="Arial" w:hAnsi="Arial" w:cs="Arial"/>
          <w:color w:val="000000"/>
          <w:sz w:val="18"/>
          <w:szCs w:val="18"/>
          <w:lang w:val="x-none"/>
        </w:rPr>
        <w:tab/>
      </w:r>
      <w:r>
        <w:rPr>
          <w:rFonts w:ascii="Arial" w:hAnsi="Arial" w:cs="Arial"/>
          <w:b/>
          <w:bCs/>
          <w:color w:val="000000"/>
          <w:sz w:val="18"/>
          <w:szCs w:val="18"/>
          <w:lang w:val="x-none"/>
        </w:rPr>
        <w:t>Kosztorys</w:t>
      </w:r>
      <w:r>
        <w:rPr>
          <w:rFonts w:ascii="Arial" w:hAnsi="Arial" w:cs="Arial"/>
          <w:color w:val="000000"/>
          <w:sz w:val="18"/>
          <w:szCs w:val="18"/>
          <w:lang w:val="x-none"/>
        </w:rPr>
        <w:t xml:space="preserve"> – dokument określający całkowite wynagrodzenie wykonawcy w ofercie, ustalone na podstawie przedmiaru robót z podaniem cen szczegółowych odniesionych do poszczególnych pozycji przedmiaru;</w:t>
      </w:r>
    </w:p>
    <w:p w14:paraId="394B6F6C"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15.</w:t>
      </w:r>
      <w:r>
        <w:rPr>
          <w:rFonts w:ascii="Arial" w:hAnsi="Arial" w:cs="Arial"/>
          <w:color w:val="000000"/>
          <w:sz w:val="18"/>
          <w:szCs w:val="18"/>
          <w:lang w:val="x-none"/>
        </w:rPr>
        <w:tab/>
      </w:r>
      <w:r>
        <w:rPr>
          <w:rFonts w:ascii="Arial" w:hAnsi="Arial" w:cs="Arial"/>
          <w:b/>
          <w:bCs/>
          <w:color w:val="000000"/>
          <w:sz w:val="18"/>
          <w:szCs w:val="18"/>
          <w:lang w:val="x-none"/>
        </w:rPr>
        <w:t>Cena jednostkowa</w:t>
      </w:r>
      <w:r>
        <w:rPr>
          <w:rFonts w:ascii="Arial" w:hAnsi="Arial" w:cs="Arial"/>
          <w:color w:val="000000"/>
          <w:sz w:val="18"/>
          <w:szCs w:val="18"/>
          <w:lang w:val="x-none"/>
        </w:rPr>
        <w:t xml:space="preserve"> – cena ustalona na jednostkę rzeczową wykonania robót budowlanych, dostaw lub usług; suma kosztów bezpośredniej robocizny, materiałów i pracy sprzętu oraz kosztów pośrednich i zysku, wyliczona na jednostkę przedmiarową robót podstawowych;</w:t>
      </w:r>
    </w:p>
    <w:p w14:paraId="1DFE5E79"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16.</w:t>
      </w:r>
      <w:r>
        <w:rPr>
          <w:rFonts w:ascii="Arial" w:hAnsi="Arial" w:cs="Arial"/>
          <w:color w:val="000000"/>
          <w:sz w:val="18"/>
          <w:szCs w:val="18"/>
          <w:lang w:val="x-none"/>
        </w:rPr>
        <w:tab/>
      </w:r>
      <w:r>
        <w:rPr>
          <w:rFonts w:ascii="Arial" w:hAnsi="Arial" w:cs="Arial"/>
          <w:b/>
          <w:bCs/>
          <w:color w:val="000000"/>
          <w:sz w:val="18"/>
          <w:szCs w:val="18"/>
          <w:lang w:val="x-none"/>
        </w:rPr>
        <w:t>Obmiar robót</w:t>
      </w:r>
      <w:r>
        <w:rPr>
          <w:rFonts w:ascii="Arial" w:hAnsi="Arial" w:cs="Arial"/>
          <w:color w:val="000000"/>
          <w:sz w:val="18"/>
          <w:szCs w:val="18"/>
          <w:lang w:val="x-none"/>
        </w:rPr>
        <w:t xml:space="preserve"> – szczegółowy opis robót wykonywanych lub już zakończonych z podaniem ich ilości;</w:t>
      </w:r>
    </w:p>
    <w:p w14:paraId="427B1270"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17.</w:t>
      </w:r>
      <w:r>
        <w:rPr>
          <w:rFonts w:ascii="Arial" w:hAnsi="Arial" w:cs="Arial"/>
          <w:color w:val="000000"/>
          <w:sz w:val="18"/>
          <w:szCs w:val="18"/>
          <w:lang w:val="x-none"/>
        </w:rPr>
        <w:tab/>
      </w:r>
      <w:r>
        <w:rPr>
          <w:rFonts w:ascii="Arial" w:hAnsi="Arial" w:cs="Arial"/>
          <w:b/>
          <w:bCs/>
          <w:color w:val="000000"/>
          <w:sz w:val="18"/>
          <w:szCs w:val="18"/>
          <w:lang w:val="x-none"/>
        </w:rPr>
        <w:t xml:space="preserve">Rozliczenie końcowe </w:t>
      </w:r>
      <w:r>
        <w:rPr>
          <w:rFonts w:ascii="Arial" w:hAnsi="Arial" w:cs="Arial"/>
          <w:color w:val="000000"/>
          <w:sz w:val="18"/>
          <w:szCs w:val="18"/>
          <w:lang w:val="x-none"/>
        </w:rPr>
        <w:t>– dokument finansowy sporządzany po wykonaniu robót przez przedstawiciela zamawiającego, stwierdzający różnicę między kwotą faktury końcowej a sumą wynikającą ze wszystkich dotychczasowych płatności;</w:t>
      </w:r>
    </w:p>
    <w:p w14:paraId="067F1B4C"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18.</w:t>
      </w:r>
      <w:r>
        <w:rPr>
          <w:rFonts w:ascii="Arial" w:hAnsi="Arial" w:cs="Arial"/>
          <w:color w:val="000000"/>
          <w:sz w:val="18"/>
          <w:szCs w:val="18"/>
          <w:lang w:val="x-none"/>
        </w:rPr>
        <w:tab/>
      </w:r>
      <w:r>
        <w:rPr>
          <w:rFonts w:ascii="Arial" w:hAnsi="Arial" w:cs="Arial"/>
          <w:b/>
          <w:bCs/>
          <w:color w:val="000000"/>
          <w:sz w:val="18"/>
          <w:szCs w:val="18"/>
          <w:lang w:val="x-none"/>
        </w:rPr>
        <w:t xml:space="preserve">Wykonanie obiektu budowlanego </w:t>
      </w:r>
      <w:r>
        <w:rPr>
          <w:rFonts w:ascii="Arial" w:hAnsi="Arial" w:cs="Arial"/>
          <w:color w:val="000000"/>
          <w:sz w:val="18"/>
          <w:szCs w:val="18"/>
          <w:lang w:val="x-none"/>
        </w:rPr>
        <w:t>– stan gotowości do użytkowania obiektu budowlanego, mimo że część robót nieistotnych może pozostawać jeszcze do wykonania;</w:t>
      </w:r>
    </w:p>
    <w:p w14:paraId="5546E675"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19.</w:t>
      </w:r>
      <w:r>
        <w:rPr>
          <w:rFonts w:ascii="Arial" w:hAnsi="Arial" w:cs="Arial"/>
          <w:b/>
          <w:bCs/>
          <w:color w:val="000000"/>
          <w:sz w:val="18"/>
          <w:szCs w:val="18"/>
          <w:lang w:val="x-none"/>
        </w:rPr>
        <w:tab/>
        <w:t xml:space="preserve">Protokół odbioru obiektu </w:t>
      </w:r>
      <w:r>
        <w:rPr>
          <w:rFonts w:ascii="Arial" w:hAnsi="Arial" w:cs="Arial"/>
          <w:color w:val="000000"/>
          <w:sz w:val="18"/>
          <w:szCs w:val="18"/>
          <w:lang w:val="x-none"/>
        </w:rPr>
        <w:t>– dokument potwierdzający wykonanie obiektu budowlanego;</w:t>
      </w:r>
    </w:p>
    <w:p w14:paraId="1C040B05"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20.</w:t>
      </w:r>
      <w:r>
        <w:rPr>
          <w:rFonts w:ascii="Arial" w:hAnsi="Arial" w:cs="Arial"/>
          <w:color w:val="000000"/>
          <w:sz w:val="18"/>
          <w:szCs w:val="18"/>
          <w:lang w:val="x-none"/>
        </w:rPr>
        <w:tab/>
      </w:r>
      <w:r>
        <w:rPr>
          <w:rFonts w:ascii="Arial" w:hAnsi="Arial" w:cs="Arial"/>
          <w:b/>
          <w:bCs/>
          <w:color w:val="000000"/>
          <w:sz w:val="18"/>
          <w:szCs w:val="18"/>
          <w:lang w:val="x-none"/>
        </w:rPr>
        <w:t>Odbiór końcowy</w:t>
      </w:r>
      <w:r>
        <w:rPr>
          <w:rFonts w:ascii="Arial" w:hAnsi="Arial" w:cs="Arial"/>
          <w:color w:val="000000"/>
          <w:sz w:val="18"/>
          <w:szCs w:val="18"/>
          <w:lang w:val="x-none"/>
        </w:rPr>
        <w:t xml:space="preserve"> – proces przekazywania zamawiającemu zakończonego obiektu budowlanego z zastrzeżeniem lub bez;</w:t>
      </w:r>
    </w:p>
    <w:p w14:paraId="62278399"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21.</w:t>
      </w:r>
      <w:r>
        <w:rPr>
          <w:rFonts w:ascii="Arial" w:hAnsi="Arial" w:cs="Arial"/>
          <w:color w:val="000000"/>
          <w:sz w:val="18"/>
          <w:szCs w:val="18"/>
          <w:lang w:val="x-none"/>
        </w:rPr>
        <w:tab/>
      </w:r>
      <w:r>
        <w:rPr>
          <w:rFonts w:ascii="Arial" w:hAnsi="Arial" w:cs="Arial"/>
          <w:b/>
          <w:bCs/>
          <w:color w:val="000000"/>
          <w:sz w:val="18"/>
          <w:szCs w:val="18"/>
          <w:lang w:val="x-none"/>
        </w:rPr>
        <w:t>Rękojmia</w:t>
      </w:r>
      <w:r>
        <w:rPr>
          <w:rFonts w:ascii="Arial" w:hAnsi="Arial" w:cs="Arial"/>
          <w:color w:val="000000"/>
          <w:sz w:val="18"/>
          <w:szCs w:val="18"/>
          <w:lang w:val="x-none"/>
        </w:rPr>
        <w:t xml:space="preserve"> – zobowiązanie, z którego wynika, ze przez określony czas po odbiorze robót i usług wykonawca będzie naprawiał wszelkie wady i usterki wskazane przez zamawiającego lub jego przedstawiciela;</w:t>
      </w:r>
    </w:p>
    <w:p w14:paraId="20F07B0C"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22.</w:t>
      </w:r>
      <w:r>
        <w:rPr>
          <w:rFonts w:ascii="Arial" w:hAnsi="Arial" w:cs="Arial"/>
          <w:color w:val="000000"/>
          <w:sz w:val="18"/>
          <w:szCs w:val="18"/>
          <w:lang w:val="x-none"/>
        </w:rPr>
        <w:tab/>
      </w:r>
      <w:r>
        <w:rPr>
          <w:rFonts w:ascii="Arial" w:hAnsi="Arial" w:cs="Arial"/>
          <w:b/>
          <w:bCs/>
          <w:color w:val="000000"/>
          <w:sz w:val="18"/>
          <w:szCs w:val="18"/>
          <w:lang w:val="x-none"/>
        </w:rPr>
        <w:t xml:space="preserve">Protokół usunięcia wad </w:t>
      </w:r>
      <w:r>
        <w:rPr>
          <w:rFonts w:ascii="Arial" w:hAnsi="Arial" w:cs="Arial"/>
          <w:color w:val="000000"/>
          <w:sz w:val="18"/>
          <w:szCs w:val="18"/>
          <w:lang w:val="x-none"/>
        </w:rPr>
        <w:t>– dokument wydany po zakończeniu okresu rękojmi, potwierdzający usunięcie stwierdzonych wad;</w:t>
      </w:r>
    </w:p>
    <w:p w14:paraId="44AD3581"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23.</w:t>
      </w:r>
      <w:r>
        <w:rPr>
          <w:rFonts w:ascii="Arial" w:hAnsi="Arial" w:cs="Arial"/>
          <w:b/>
          <w:bCs/>
          <w:color w:val="000000"/>
          <w:sz w:val="18"/>
          <w:szCs w:val="18"/>
          <w:lang w:val="x-none"/>
        </w:rPr>
        <w:tab/>
        <w:t>Okres rękojmi</w:t>
      </w:r>
      <w:r>
        <w:rPr>
          <w:rFonts w:ascii="Arial" w:hAnsi="Arial" w:cs="Arial"/>
          <w:color w:val="000000"/>
          <w:sz w:val="18"/>
          <w:szCs w:val="18"/>
          <w:lang w:val="x-none"/>
        </w:rPr>
        <w:t xml:space="preserve"> – okres od zakończenia robót, podczas którego wykonawca jest zobowiązany do usunięcia wad i usterek w materiałach i wykonanych robotach, wskazanych przez zamawiającego lub jego przedstawicieli;</w:t>
      </w:r>
    </w:p>
    <w:p w14:paraId="43EA6DE7"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24.</w:t>
      </w:r>
      <w:r>
        <w:rPr>
          <w:rFonts w:ascii="Arial" w:hAnsi="Arial" w:cs="Arial"/>
          <w:b/>
          <w:bCs/>
          <w:color w:val="000000"/>
          <w:sz w:val="18"/>
          <w:szCs w:val="18"/>
          <w:lang w:val="x-none"/>
        </w:rPr>
        <w:tab/>
        <w:t>Warunki techniczne użytkowania</w:t>
      </w:r>
      <w:r>
        <w:rPr>
          <w:rFonts w:ascii="Arial" w:hAnsi="Arial" w:cs="Arial"/>
          <w:color w:val="000000"/>
          <w:sz w:val="18"/>
          <w:szCs w:val="18"/>
          <w:lang w:val="x-none"/>
        </w:rPr>
        <w:t xml:space="preserve"> – dokument, który określa warunki użytkowania obiektu, przeprowadzania okresowych przeglądów i zalecenia dotyczące konserwacji obiektu;</w:t>
      </w:r>
    </w:p>
    <w:p w14:paraId="1387212B"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25.</w:t>
      </w:r>
      <w:r>
        <w:rPr>
          <w:rFonts w:ascii="Arial" w:hAnsi="Arial" w:cs="Arial"/>
          <w:b/>
          <w:bCs/>
          <w:color w:val="000000"/>
          <w:sz w:val="18"/>
          <w:szCs w:val="18"/>
          <w:lang w:val="x-none"/>
        </w:rPr>
        <w:tab/>
        <w:t xml:space="preserve">Instrukcja użytkowania </w:t>
      </w:r>
      <w:r>
        <w:rPr>
          <w:rFonts w:ascii="Arial" w:hAnsi="Arial" w:cs="Arial"/>
          <w:color w:val="000000"/>
          <w:sz w:val="18"/>
          <w:szCs w:val="18"/>
          <w:lang w:val="x-none"/>
        </w:rPr>
        <w:t>– dokument, który zawiera zalecenia w zakresie użytkowania instalacji lub urządzeń.</w:t>
      </w:r>
    </w:p>
    <w:p w14:paraId="421037D4"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p>
    <w:p w14:paraId="033A8541" w14:textId="77777777" w:rsidR="000A3B2B" w:rsidRDefault="000A3B2B" w:rsidP="000E4A5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1.7.6.</w:t>
      </w:r>
      <w:r>
        <w:rPr>
          <w:rFonts w:ascii="Arial" w:hAnsi="Arial" w:cs="Arial"/>
          <w:b/>
          <w:bCs/>
          <w:color w:val="000000"/>
          <w:sz w:val="18"/>
          <w:szCs w:val="18"/>
          <w:lang w:val="x-none"/>
        </w:rPr>
        <w:tab/>
        <w:t>Wybrane określenia podstawowe dotyczące instalacji i sieci sanitarnych:</w:t>
      </w:r>
    </w:p>
    <w:p w14:paraId="7716BBCB"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1.</w:t>
      </w:r>
      <w:r>
        <w:rPr>
          <w:rFonts w:ascii="Arial" w:hAnsi="Arial" w:cs="Arial"/>
          <w:color w:val="000000"/>
          <w:sz w:val="18"/>
          <w:szCs w:val="18"/>
          <w:lang w:val="x-none"/>
        </w:rPr>
        <w:tab/>
      </w:r>
      <w:r>
        <w:rPr>
          <w:rFonts w:ascii="Arial" w:hAnsi="Arial" w:cs="Arial"/>
          <w:b/>
          <w:bCs/>
          <w:color w:val="000000"/>
          <w:sz w:val="18"/>
          <w:szCs w:val="18"/>
          <w:lang w:val="x-none"/>
        </w:rPr>
        <w:t>Instalacja</w:t>
      </w:r>
      <w:r>
        <w:rPr>
          <w:rFonts w:ascii="Arial" w:hAnsi="Arial" w:cs="Arial"/>
          <w:color w:val="000000"/>
          <w:sz w:val="18"/>
          <w:szCs w:val="18"/>
          <w:lang w:val="x-none"/>
        </w:rPr>
        <w:t xml:space="preserve"> – sieć transportu wody, gazu, ciepłego powietrza, elektryczności lub odpadów;</w:t>
      </w:r>
    </w:p>
    <w:p w14:paraId="3E2F48E5"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2.</w:t>
      </w:r>
      <w:r>
        <w:rPr>
          <w:rFonts w:ascii="Arial" w:hAnsi="Arial" w:cs="Arial"/>
          <w:color w:val="000000"/>
          <w:sz w:val="18"/>
          <w:szCs w:val="18"/>
          <w:lang w:val="x-none"/>
        </w:rPr>
        <w:tab/>
      </w:r>
      <w:r>
        <w:rPr>
          <w:rFonts w:ascii="Arial" w:hAnsi="Arial" w:cs="Arial"/>
          <w:b/>
          <w:bCs/>
          <w:color w:val="000000"/>
          <w:sz w:val="18"/>
          <w:szCs w:val="18"/>
          <w:lang w:val="x-none"/>
        </w:rPr>
        <w:t>Sieć wodociągowa</w:t>
      </w:r>
      <w:r>
        <w:rPr>
          <w:rFonts w:ascii="Arial" w:hAnsi="Arial" w:cs="Arial"/>
          <w:color w:val="000000"/>
          <w:sz w:val="18"/>
          <w:szCs w:val="18"/>
          <w:lang w:val="x-none"/>
        </w:rPr>
        <w:t xml:space="preserve"> – instalacja doprowadzająca wodę do poszczególnych działek budowlanych;</w:t>
      </w:r>
    </w:p>
    <w:p w14:paraId="370C4432"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3.</w:t>
      </w:r>
      <w:r>
        <w:rPr>
          <w:rFonts w:ascii="Arial" w:hAnsi="Arial" w:cs="Arial"/>
          <w:color w:val="000000"/>
          <w:sz w:val="18"/>
          <w:szCs w:val="18"/>
          <w:lang w:val="x-none"/>
        </w:rPr>
        <w:tab/>
      </w:r>
      <w:r>
        <w:rPr>
          <w:rFonts w:ascii="Arial" w:hAnsi="Arial" w:cs="Arial"/>
          <w:b/>
          <w:bCs/>
          <w:color w:val="000000"/>
          <w:sz w:val="18"/>
          <w:szCs w:val="18"/>
          <w:lang w:val="x-none"/>
        </w:rPr>
        <w:t xml:space="preserve">Sieć odwadniająca </w:t>
      </w:r>
      <w:r>
        <w:rPr>
          <w:rFonts w:ascii="Arial" w:hAnsi="Arial" w:cs="Arial"/>
          <w:color w:val="000000"/>
          <w:sz w:val="18"/>
          <w:szCs w:val="18"/>
          <w:lang w:val="x-none"/>
        </w:rPr>
        <w:t>– system kanałów odprowadzających i budowli pomocniczych służących do odprowadzania ich zawartości do ścieku, sieci kanalizacyjnej lub innych specjalnie wyznaczonych do tego miejsc;</w:t>
      </w:r>
    </w:p>
    <w:p w14:paraId="6CA1052F"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4.</w:t>
      </w:r>
      <w:r>
        <w:rPr>
          <w:rFonts w:ascii="Arial" w:hAnsi="Arial" w:cs="Arial"/>
          <w:color w:val="000000"/>
          <w:sz w:val="18"/>
          <w:szCs w:val="18"/>
          <w:lang w:val="x-none"/>
        </w:rPr>
        <w:tab/>
      </w:r>
      <w:r>
        <w:rPr>
          <w:rFonts w:ascii="Arial" w:hAnsi="Arial" w:cs="Arial"/>
          <w:b/>
          <w:bCs/>
          <w:color w:val="000000"/>
          <w:sz w:val="18"/>
          <w:szCs w:val="18"/>
          <w:lang w:val="x-none"/>
        </w:rPr>
        <w:t xml:space="preserve">Odwodnienie terenu </w:t>
      </w:r>
      <w:r>
        <w:rPr>
          <w:rFonts w:ascii="Arial" w:hAnsi="Arial" w:cs="Arial"/>
          <w:color w:val="000000"/>
          <w:sz w:val="18"/>
          <w:szCs w:val="18"/>
          <w:lang w:val="x-none"/>
        </w:rPr>
        <w:t>– system przewodów, konstrukcji i nasypów wymaganych do sterowania poziomem wody i zabezpieczenia terenu zurbanizowanego oraz upraw przed zalaniem zarówno wodą słodką, jak i słoną lub złagodzeniem takiego zalania;</w:t>
      </w:r>
    </w:p>
    <w:p w14:paraId="7850BFCD"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5.</w:t>
      </w:r>
      <w:r>
        <w:rPr>
          <w:rFonts w:ascii="Arial" w:hAnsi="Arial" w:cs="Arial"/>
          <w:color w:val="000000"/>
          <w:sz w:val="18"/>
          <w:szCs w:val="18"/>
          <w:lang w:val="x-none"/>
        </w:rPr>
        <w:tab/>
      </w:r>
      <w:r>
        <w:rPr>
          <w:rFonts w:ascii="Arial" w:hAnsi="Arial" w:cs="Arial"/>
          <w:b/>
          <w:bCs/>
          <w:color w:val="000000"/>
          <w:sz w:val="18"/>
          <w:szCs w:val="18"/>
          <w:lang w:val="x-none"/>
        </w:rPr>
        <w:t xml:space="preserve">Kanał ściekowy </w:t>
      </w:r>
      <w:r>
        <w:rPr>
          <w:rFonts w:ascii="Arial" w:hAnsi="Arial" w:cs="Arial"/>
          <w:color w:val="000000"/>
          <w:sz w:val="18"/>
          <w:szCs w:val="18"/>
          <w:lang w:val="x-none"/>
        </w:rPr>
        <w:t>– rurociąg lub inna konstrukcja, zwykle podziemna, do odprowadzania ścieków lub innych zbędnych cieczy;</w:t>
      </w:r>
    </w:p>
    <w:p w14:paraId="4CDB12AF"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6.</w:t>
      </w:r>
      <w:r>
        <w:rPr>
          <w:rFonts w:ascii="Arial" w:hAnsi="Arial" w:cs="Arial"/>
          <w:color w:val="000000"/>
          <w:sz w:val="18"/>
          <w:szCs w:val="18"/>
          <w:lang w:val="x-none"/>
        </w:rPr>
        <w:tab/>
      </w:r>
      <w:r>
        <w:rPr>
          <w:rFonts w:ascii="Arial" w:hAnsi="Arial" w:cs="Arial"/>
          <w:b/>
          <w:bCs/>
          <w:color w:val="000000"/>
          <w:sz w:val="18"/>
          <w:szCs w:val="18"/>
          <w:lang w:val="x-none"/>
        </w:rPr>
        <w:t xml:space="preserve">Sieć kanalizacyjna </w:t>
      </w:r>
      <w:r>
        <w:rPr>
          <w:rFonts w:ascii="Arial" w:hAnsi="Arial" w:cs="Arial"/>
          <w:color w:val="000000"/>
          <w:sz w:val="18"/>
          <w:szCs w:val="18"/>
          <w:lang w:val="x-none"/>
        </w:rPr>
        <w:t>– kanał ściekowy i budowle pomocnicze służące do odprowadzania ścieków do oczyszczalni ścieków lub innych miejsc usuwania;</w:t>
      </w:r>
    </w:p>
    <w:p w14:paraId="0B689D1E"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7.</w:t>
      </w:r>
      <w:r>
        <w:rPr>
          <w:rFonts w:ascii="Arial" w:hAnsi="Arial" w:cs="Arial"/>
          <w:color w:val="000000"/>
          <w:sz w:val="18"/>
          <w:szCs w:val="18"/>
          <w:lang w:val="x-none"/>
        </w:rPr>
        <w:tab/>
      </w:r>
      <w:r>
        <w:rPr>
          <w:rFonts w:ascii="Arial" w:hAnsi="Arial" w:cs="Arial"/>
          <w:b/>
          <w:bCs/>
          <w:color w:val="000000"/>
          <w:sz w:val="18"/>
          <w:szCs w:val="18"/>
          <w:lang w:val="x-none"/>
        </w:rPr>
        <w:t xml:space="preserve">Kanalizacja podciśnieniowa </w:t>
      </w:r>
      <w:r>
        <w:rPr>
          <w:rFonts w:ascii="Arial" w:hAnsi="Arial" w:cs="Arial"/>
          <w:color w:val="000000"/>
          <w:sz w:val="18"/>
          <w:szCs w:val="18"/>
          <w:lang w:val="x-none"/>
        </w:rPr>
        <w:t>– kanał ściekowy pracujący w podciśnieniu;</w:t>
      </w:r>
    </w:p>
    <w:p w14:paraId="47603DB2"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8.</w:t>
      </w:r>
      <w:r>
        <w:rPr>
          <w:rFonts w:ascii="Arial" w:hAnsi="Arial" w:cs="Arial"/>
          <w:color w:val="000000"/>
          <w:sz w:val="18"/>
          <w:szCs w:val="18"/>
          <w:lang w:val="x-none"/>
        </w:rPr>
        <w:tab/>
      </w:r>
      <w:r>
        <w:rPr>
          <w:rFonts w:ascii="Arial" w:hAnsi="Arial" w:cs="Arial"/>
          <w:b/>
          <w:bCs/>
          <w:color w:val="000000"/>
          <w:sz w:val="18"/>
          <w:szCs w:val="18"/>
          <w:lang w:val="x-none"/>
        </w:rPr>
        <w:t>Instalacja sanitarna</w:t>
      </w:r>
      <w:r>
        <w:rPr>
          <w:rFonts w:ascii="Arial" w:hAnsi="Arial" w:cs="Arial"/>
          <w:color w:val="000000"/>
          <w:sz w:val="18"/>
          <w:szCs w:val="18"/>
          <w:lang w:val="x-none"/>
        </w:rPr>
        <w:t xml:space="preserve"> – zespół urządzeń umożliwiający dostarczanie ciepłej i zimnej wody do urządzeń sanitarnych w budynku i usuwający z niego odpady;</w:t>
      </w:r>
    </w:p>
    <w:p w14:paraId="522BBF89"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9.</w:t>
      </w:r>
      <w:r>
        <w:rPr>
          <w:rFonts w:ascii="Arial" w:hAnsi="Arial" w:cs="Arial"/>
          <w:color w:val="000000"/>
          <w:sz w:val="18"/>
          <w:szCs w:val="18"/>
          <w:lang w:val="x-none"/>
        </w:rPr>
        <w:tab/>
      </w:r>
      <w:r>
        <w:rPr>
          <w:rFonts w:ascii="Arial" w:hAnsi="Arial" w:cs="Arial"/>
          <w:b/>
          <w:bCs/>
          <w:color w:val="000000"/>
          <w:sz w:val="18"/>
          <w:szCs w:val="18"/>
          <w:lang w:val="x-none"/>
        </w:rPr>
        <w:t xml:space="preserve">Zespół urządzeń </w:t>
      </w:r>
      <w:r>
        <w:rPr>
          <w:rFonts w:ascii="Arial" w:hAnsi="Arial" w:cs="Arial"/>
          <w:color w:val="000000"/>
          <w:sz w:val="18"/>
          <w:szCs w:val="18"/>
          <w:lang w:val="x-none"/>
        </w:rPr>
        <w:t>– zestaw materiałów i elementów tak zamontowanych, aby zapewniały prawidłowe działanie instalacji;</w:t>
      </w:r>
    </w:p>
    <w:p w14:paraId="735FDDDB"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lastRenderedPageBreak/>
        <w:t>10.</w:t>
      </w:r>
      <w:r>
        <w:rPr>
          <w:rFonts w:ascii="Arial" w:hAnsi="Arial" w:cs="Arial"/>
          <w:color w:val="000000"/>
          <w:sz w:val="18"/>
          <w:szCs w:val="18"/>
          <w:lang w:val="x-none"/>
        </w:rPr>
        <w:tab/>
      </w:r>
      <w:r>
        <w:rPr>
          <w:rFonts w:ascii="Arial" w:hAnsi="Arial" w:cs="Arial"/>
          <w:b/>
          <w:bCs/>
          <w:color w:val="000000"/>
          <w:sz w:val="18"/>
          <w:szCs w:val="18"/>
          <w:lang w:val="x-none"/>
        </w:rPr>
        <w:t>Urządzenie</w:t>
      </w:r>
      <w:r>
        <w:rPr>
          <w:rFonts w:ascii="Arial" w:hAnsi="Arial" w:cs="Arial"/>
          <w:color w:val="000000"/>
          <w:sz w:val="18"/>
          <w:szCs w:val="18"/>
          <w:lang w:val="x-none"/>
        </w:rPr>
        <w:t xml:space="preserve"> – wyposażenie do użytkowania przez mieszkańców, związane z obsługą instalacji;</w:t>
      </w:r>
    </w:p>
    <w:p w14:paraId="3FCF1AC3"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11.</w:t>
      </w:r>
      <w:r>
        <w:rPr>
          <w:rFonts w:ascii="Arial" w:hAnsi="Arial" w:cs="Arial"/>
          <w:color w:val="000000"/>
          <w:sz w:val="18"/>
          <w:szCs w:val="18"/>
          <w:lang w:val="x-none"/>
        </w:rPr>
        <w:tab/>
      </w:r>
      <w:r>
        <w:rPr>
          <w:rFonts w:ascii="Arial" w:hAnsi="Arial" w:cs="Arial"/>
          <w:b/>
          <w:bCs/>
          <w:color w:val="000000"/>
          <w:sz w:val="18"/>
          <w:szCs w:val="18"/>
          <w:lang w:val="x-none"/>
        </w:rPr>
        <w:t>Urządzenie sanitarne</w:t>
      </w:r>
      <w:r>
        <w:rPr>
          <w:rFonts w:ascii="Arial" w:hAnsi="Arial" w:cs="Arial"/>
          <w:color w:val="000000"/>
          <w:sz w:val="18"/>
          <w:szCs w:val="18"/>
          <w:lang w:val="x-none"/>
        </w:rPr>
        <w:t xml:space="preserve"> – urządzenie stałe, do którego dostarczana jest woda do picia i woda do celów sanitarnych lub urządzenie odprowadzające ścieki; </w:t>
      </w:r>
    </w:p>
    <w:p w14:paraId="07427C97"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12.</w:t>
      </w:r>
      <w:r>
        <w:rPr>
          <w:rFonts w:ascii="Arial" w:hAnsi="Arial" w:cs="Arial"/>
          <w:color w:val="000000"/>
          <w:sz w:val="18"/>
          <w:szCs w:val="18"/>
          <w:lang w:val="x-none"/>
        </w:rPr>
        <w:tab/>
      </w:r>
      <w:r>
        <w:rPr>
          <w:rFonts w:ascii="Arial" w:hAnsi="Arial" w:cs="Arial"/>
          <w:b/>
          <w:bCs/>
          <w:color w:val="000000"/>
          <w:sz w:val="18"/>
          <w:szCs w:val="18"/>
          <w:lang w:val="x-none"/>
        </w:rPr>
        <w:t xml:space="preserve">Wyposażenie stałe </w:t>
      </w:r>
      <w:r>
        <w:rPr>
          <w:rFonts w:ascii="Arial" w:hAnsi="Arial" w:cs="Arial"/>
          <w:color w:val="000000"/>
          <w:sz w:val="18"/>
          <w:szCs w:val="18"/>
          <w:lang w:val="x-none"/>
        </w:rPr>
        <w:t>– wyroby, takie jak urządzenia sanitarne lub kuchenne, które stanowią wyposażenie przestrzeni użytkowanej przez mieszkańców i które są zamontowane w budynku;</w:t>
      </w:r>
    </w:p>
    <w:p w14:paraId="1CB266DA"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13.</w:t>
      </w:r>
      <w:r>
        <w:rPr>
          <w:rFonts w:ascii="Arial" w:hAnsi="Arial" w:cs="Arial"/>
          <w:color w:val="000000"/>
          <w:sz w:val="18"/>
          <w:szCs w:val="18"/>
          <w:lang w:val="x-none"/>
        </w:rPr>
        <w:tab/>
      </w:r>
      <w:r>
        <w:rPr>
          <w:rFonts w:ascii="Arial" w:hAnsi="Arial" w:cs="Arial"/>
          <w:b/>
          <w:bCs/>
          <w:color w:val="000000"/>
          <w:sz w:val="18"/>
          <w:szCs w:val="18"/>
          <w:lang w:val="x-none"/>
        </w:rPr>
        <w:t>Instalacja wodociągowa zimnej wody</w:t>
      </w:r>
      <w:r>
        <w:rPr>
          <w:rFonts w:ascii="Arial" w:hAnsi="Arial" w:cs="Arial"/>
          <w:color w:val="000000"/>
          <w:sz w:val="18"/>
          <w:szCs w:val="18"/>
          <w:lang w:val="x-none"/>
        </w:rPr>
        <w:t xml:space="preserve"> – układ połączonych przewodów, armatury i urządzeń, służący do dostarczania do wybranych miejsc i pomieszczeń w budynku wody doprowadzonej z sieci wodociągowej lub własnego ujęcia;</w:t>
      </w:r>
    </w:p>
    <w:p w14:paraId="0320834E"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14.</w:t>
      </w:r>
      <w:r>
        <w:rPr>
          <w:rFonts w:ascii="Arial" w:hAnsi="Arial" w:cs="Arial"/>
          <w:color w:val="000000"/>
          <w:sz w:val="18"/>
          <w:szCs w:val="18"/>
          <w:lang w:val="x-none"/>
        </w:rPr>
        <w:tab/>
      </w:r>
      <w:r>
        <w:rPr>
          <w:rFonts w:ascii="Arial" w:hAnsi="Arial" w:cs="Arial"/>
          <w:b/>
          <w:bCs/>
          <w:color w:val="000000"/>
          <w:sz w:val="18"/>
          <w:szCs w:val="18"/>
          <w:lang w:val="x-none"/>
        </w:rPr>
        <w:t xml:space="preserve">Instalacja wodociągowa ciepłej wody </w:t>
      </w:r>
      <w:r>
        <w:rPr>
          <w:rFonts w:ascii="Arial" w:hAnsi="Arial" w:cs="Arial"/>
          <w:color w:val="000000"/>
          <w:sz w:val="18"/>
          <w:szCs w:val="18"/>
          <w:lang w:val="x-none"/>
        </w:rPr>
        <w:t>– układ połączonych przewodów, armatury i urządzeń, służący do dostarczenia do wybranych miejsc i pomieszczeń w budynku podgrzanej wody wodociągowej;</w:t>
      </w:r>
    </w:p>
    <w:p w14:paraId="1159ED1A"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15.</w:t>
      </w:r>
      <w:r>
        <w:rPr>
          <w:rFonts w:ascii="Arial" w:hAnsi="Arial" w:cs="Arial"/>
          <w:color w:val="000000"/>
          <w:sz w:val="18"/>
          <w:szCs w:val="18"/>
          <w:lang w:val="x-none"/>
        </w:rPr>
        <w:tab/>
      </w:r>
      <w:r>
        <w:rPr>
          <w:rFonts w:ascii="Arial" w:hAnsi="Arial" w:cs="Arial"/>
          <w:b/>
          <w:bCs/>
          <w:color w:val="000000"/>
          <w:sz w:val="18"/>
          <w:szCs w:val="18"/>
          <w:lang w:val="x-none"/>
        </w:rPr>
        <w:t xml:space="preserve">Instalacja kanalizacji ściekowej </w:t>
      </w:r>
      <w:r>
        <w:rPr>
          <w:rFonts w:ascii="Arial" w:hAnsi="Arial" w:cs="Arial"/>
          <w:color w:val="000000"/>
          <w:sz w:val="18"/>
          <w:szCs w:val="18"/>
          <w:lang w:val="x-none"/>
        </w:rPr>
        <w:t>– układ połączonych przewodów wraz z urządzeniami, przyborami i wpustami, odprowadzający ścieki do sieci kanalizacji ogólnospławnej, sieci kanalizacji sanitarnej albo przydomowej oczyszczalni ścieków lub zbiornika bezodpływowego na nieczystości ciekłe;</w:t>
      </w:r>
    </w:p>
    <w:p w14:paraId="41E9C6E7"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16.</w:t>
      </w:r>
      <w:r>
        <w:rPr>
          <w:rFonts w:ascii="Arial" w:hAnsi="Arial" w:cs="Arial"/>
          <w:b/>
          <w:bCs/>
          <w:color w:val="000000"/>
          <w:sz w:val="18"/>
          <w:szCs w:val="18"/>
          <w:lang w:val="x-none"/>
        </w:rPr>
        <w:tab/>
        <w:t xml:space="preserve">Instalacja kanalizacji deszczowej </w:t>
      </w:r>
      <w:r>
        <w:rPr>
          <w:rFonts w:ascii="Arial" w:hAnsi="Arial" w:cs="Arial"/>
          <w:color w:val="000000"/>
          <w:sz w:val="18"/>
          <w:szCs w:val="18"/>
          <w:lang w:val="x-none"/>
        </w:rPr>
        <w:t>– układ połączonych przewodów wraz z wpustami, odprowadzający wody odpadowe i roztopowe do sieci kanalizacji ogólnospławnej, sieci kanalizacji deszczowej lub dołów chłonnych, zbiorników retencyjnych albo na własny teren nieutwardzony;</w:t>
      </w:r>
    </w:p>
    <w:p w14:paraId="40806F33"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17.</w:t>
      </w:r>
      <w:r>
        <w:rPr>
          <w:rFonts w:ascii="Arial" w:hAnsi="Arial" w:cs="Arial"/>
          <w:b/>
          <w:bCs/>
          <w:color w:val="000000"/>
          <w:sz w:val="18"/>
          <w:szCs w:val="18"/>
          <w:lang w:val="x-none"/>
        </w:rPr>
        <w:tab/>
        <w:t>Instalacja ogrzewcza wodna</w:t>
      </w:r>
      <w:r>
        <w:rPr>
          <w:rFonts w:ascii="Arial" w:hAnsi="Arial" w:cs="Arial"/>
          <w:color w:val="000000"/>
          <w:sz w:val="18"/>
          <w:szCs w:val="18"/>
          <w:lang w:val="x-none"/>
        </w:rPr>
        <w:t xml:space="preserve"> – układ połączonych przewodów wraz z armaturą, pompami obiegowymi, grzejnikami i innymi urządzeniami, służący do ogrzewania pomieszczeń w budynku w okresie obniżonych temperatur zewnętrznych;</w:t>
      </w:r>
    </w:p>
    <w:p w14:paraId="1A36C4DB"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18.</w:t>
      </w:r>
      <w:r>
        <w:rPr>
          <w:rFonts w:ascii="Arial" w:hAnsi="Arial" w:cs="Arial"/>
          <w:b/>
          <w:bCs/>
          <w:color w:val="000000"/>
          <w:sz w:val="18"/>
          <w:szCs w:val="18"/>
          <w:lang w:val="x-none"/>
        </w:rPr>
        <w:tab/>
        <w:t xml:space="preserve">Instalacja ogrzewcza powietrzna </w:t>
      </w:r>
      <w:r>
        <w:rPr>
          <w:rFonts w:ascii="Arial" w:hAnsi="Arial" w:cs="Arial"/>
          <w:color w:val="000000"/>
          <w:sz w:val="18"/>
          <w:szCs w:val="18"/>
          <w:lang w:val="x-none"/>
        </w:rPr>
        <w:t xml:space="preserve">– układ połączonych przewodów powietrznych wraz z nawiewnikami i </w:t>
      </w:r>
      <w:proofErr w:type="spellStart"/>
      <w:r>
        <w:rPr>
          <w:rFonts w:ascii="Arial" w:hAnsi="Arial" w:cs="Arial"/>
          <w:color w:val="000000"/>
          <w:sz w:val="18"/>
          <w:szCs w:val="18"/>
          <w:lang w:val="x-none"/>
        </w:rPr>
        <w:t>wywiewnikami</w:t>
      </w:r>
      <w:proofErr w:type="spellEnd"/>
      <w:r>
        <w:rPr>
          <w:rFonts w:ascii="Arial" w:hAnsi="Arial" w:cs="Arial"/>
          <w:color w:val="000000"/>
          <w:sz w:val="18"/>
          <w:szCs w:val="18"/>
          <w:lang w:val="x-none"/>
        </w:rPr>
        <w:t xml:space="preserve"> oraz elementami regulacji strumienia ciepłego powietrza, służący do jego dostarczenia do pomieszczeń w budynku w okresie obniżonych temperatur zewnętrznych;</w:t>
      </w:r>
    </w:p>
    <w:p w14:paraId="422ACA6B"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19.</w:t>
      </w:r>
      <w:r>
        <w:rPr>
          <w:rFonts w:ascii="Arial" w:hAnsi="Arial" w:cs="Arial"/>
          <w:color w:val="000000"/>
          <w:sz w:val="18"/>
          <w:szCs w:val="18"/>
          <w:lang w:val="x-none"/>
        </w:rPr>
        <w:tab/>
      </w:r>
      <w:r>
        <w:rPr>
          <w:rFonts w:ascii="Arial" w:hAnsi="Arial" w:cs="Arial"/>
          <w:b/>
          <w:bCs/>
          <w:color w:val="000000"/>
          <w:sz w:val="18"/>
          <w:szCs w:val="18"/>
          <w:lang w:val="x-none"/>
        </w:rPr>
        <w:t xml:space="preserve">Instalacja gazowa </w:t>
      </w:r>
      <w:r>
        <w:rPr>
          <w:rFonts w:ascii="Arial" w:hAnsi="Arial" w:cs="Arial"/>
          <w:color w:val="000000"/>
          <w:sz w:val="18"/>
          <w:szCs w:val="18"/>
          <w:lang w:val="x-none"/>
        </w:rPr>
        <w:t xml:space="preserve">– układ przewodów za kurkiem głównym wraz z armaturą i innym wyposażeniem, urządzeniem do pomiaru zużycia gazu oraz urządzeniami gazowymi z wyposażeniem, a także przewodami spalinowymi lub </w:t>
      </w:r>
      <w:proofErr w:type="spellStart"/>
      <w:r>
        <w:rPr>
          <w:rFonts w:ascii="Arial" w:hAnsi="Arial" w:cs="Arial"/>
          <w:color w:val="000000"/>
          <w:sz w:val="18"/>
          <w:szCs w:val="18"/>
          <w:lang w:val="x-none"/>
        </w:rPr>
        <w:t>powietrzno</w:t>
      </w:r>
      <w:proofErr w:type="spellEnd"/>
      <w:r>
        <w:rPr>
          <w:rFonts w:ascii="Arial" w:hAnsi="Arial" w:cs="Arial"/>
          <w:color w:val="000000"/>
          <w:sz w:val="18"/>
          <w:szCs w:val="18"/>
          <w:lang w:val="x-none"/>
        </w:rPr>
        <w:t xml:space="preserve"> - spalinowymi o długości nie większej niż 2 m, odprowadzającymi spaliny bezpośrednio poza budynek bądź do kanałów spalinowych; w przypadku zasilania gazem płynnym z indywidualnych butli znajdujących się w budynku, butla wraz z urządzeniem redukcji ciśnienia gazu jest częścią składową instalacji;</w:t>
      </w:r>
    </w:p>
    <w:p w14:paraId="7EA441EF"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20.</w:t>
      </w:r>
      <w:r>
        <w:rPr>
          <w:rFonts w:ascii="Arial" w:hAnsi="Arial" w:cs="Arial"/>
          <w:color w:val="000000"/>
          <w:sz w:val="18"/>
          <w:szCs w:val="18"/>
          <w:lang w:val="x-none"/>
        </w:rPr>
        <w:tab/>
      </w:r>
      <w:r>
        <w:rPr>
          <w:rFonts w:ascii="Arial" w:hAnsi="Arial" w:cs="Arial"/>
          <w:b/>
          <w:bCs/>
          <w:color w:val="000000"/>
          <w:sz w:val="18"/>
          <w:szCs w:val="18"/>
          <w:lang w:val="x-none"/>
        </w:rPr>
        <w:t xml:space="preserve">Technologia </w:t>
      </w:r>
      <w:proofErr w:type="spellStart"/>
      <w:r>
        <w:rPr>
          <w:rFonts w:ascii="Arial" w:hAnsi="Arial" w:cs="Arial"/>
          <w:b/>
          <w:bCs/>
          <w:color w:val="000000"/>
          <w:sz w:val="18"/>
          <w:szCs w:val="18"/>
          <w:lang w:val="x-none"/>
        </w:rPr>
        <w:t>bezwykopowa</w:t>
      </w:r>
      <w:proofErr w:type="spellEnd"/>
      <w:r>
        <w:rPr>
          <w:rFonts w:ascii="Arial" w:hAnsi="Arial" w:cs="Arial"/>
          <w:b/>
          <w:bCs/>
          <w:color w:val="000000"/>
          <w:sz w:val="18"/>
          <w:szCs w:val="18"/>
          <w:lang w:val="x-none"/>
        </w:rPr>
        <w:t xml:space="preserve"> </w:t>
      </w:r>
      <w:r>
        <w:rPr>
          <w:rFonts w:ascii="Arial" w:hAnsi="Arial" w:cs="Arial"/>
          <w:color w:val="000000"/>
          <w:sz w:val="18"/>
          <w:szCs w:val="18"/>
          <w:lang w:val="x-none"/>
        </w:rPr>
        <w:t>– technika związana z montażem, wymianą lub naprawą rur lub prefabrykatu kanałowego znajdującego się poniżej terenu, ograniczająca do minimum materiał wykopywany z powierzchni lub pozwalająca uniknąć wykonywania wykopu;</w:t>
      </w:r>
    </w:p>
    <w:p w14:paraId="7E827092"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21.</w:t>
      </w:r>
      <w:r>
        <w:rPr>
          <w:rFonts w:ascii="Arial" w:hAnsi="Arial" w:cs="Arial"/>
          <w:color w:val="000000"/>
          <w:sz w:val="18"/>
          <w:szCs w:val="18"/>
          <w:lang w:val="x-none"/>
        </w:rPr>
        <w:tab/>
      </w:r>
      <w:proofErr w:type="spellStart"/>
      <w:r>
        <w:rPr>
          <w:rFonts w:ascii="Arial" w:hAnsi="Arial" w:cs="Arial"/>
          <w:b/>
          <w:bCs/>
          <w:color w:val="000000"/>
          <w:sz w:val="18"/>
          <w:szCs w:val="18"/>
          <w:lang w:val="x-none"/>
        </w:rPr>
        <w:t>Mikrotunelowanie</w:t>
      </w:r>
      <w:proofErr w:type="spellEnd"/>
      <w:r>
        <w:rPr>
          <w:rFonts w:ascii="Arial" w:hAnsi="Arial" w:cs="Arial"/>
          <w:color w:val="000000"/>
          <w:sz w:val="18"/>
          <w:szCs w:val="18"/>
          <w:lang w:val="x-none"/>
        </w:rPr>
        <w:t xml:space="preserve"> – technika montażu rury lub prefabrykatów kanałowych polegająca na wtłaczaniu rury z zastosowaniem zdalnie sterowanego urządzenia do wiercenia niewielkiego tunelu, i usuwaniu ukopanego materiału mechanicznie świdrem lub jako płynnej zawiesiny;</w:t>
      </w:r>
    </w:p>
    <w:p w14:paraId="6D258FE4"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22.</w:t>
      </w:r>
      <w:r>
        <w:rPr>
          <w:rFonts w:ascii="Arial" w:hAnsi="Arial" w:cs="Arial"/>
          <w:color w:val="000000"/>
          <w:sz w:val="18"/>
          <w:szCs w:val="18"/>
          <w:lang w:val="x-none"/>
        </w:rPr>
        <w:tab/>
      </w:r>
      <w:proofErr w:type="spellStart"/>
      <w:r>
        <w:rPr>
          <w:rFonts w:ascii="Arial" w:hAnsi="Arial" w:cs="Arial"/>
          <w:b/>
          <w:bCs/>
          <w:color w:val="000000"/>
          <w:sz w:val="18"/>
          <w:szCs w:val="18"/>
          <w:lang w:val="x-none"/>
        </w:rPr>
        <w:t>Przecisk</w:t>
      </w:r>
      <w:proofErr w:type="spellEnd"/>
      <w:r>
        <w:rPr>
          <w:rFonts w:ascii="Arial" w:hAnsi="Arial" w:cs="Arial"/>
          <w:color w:val="000000"/>
          <w:sz w:val="18"/>
          <w:szCs w:val="18"/>
          <w:lang w:val="x-none"/>
        </w:rPr>
        <w:t xml:space="preserve"> – technika montażu rury lub prefabrykatów kanałowych, w której rura osłonowa jest wprowadzana do gruntu za pomocą nacisku hydraulicznego, a urobek usuwany jest w miarę posuwania rury do przodu;</w:t>
      </w:r>
    </w:p>
    <w:p w14:paraId="550E0B99"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23.</w:t>
      </w:r>
      <w:r>
        <w:rPr>
          <w:rFonts w:ascii="Arial" w:hAnsi="Arial" w:cs="Arial"/>
          <w:color w:val="000000"/>
          <w:sz w:val="18"/>
          <w:szCs w:val="18"/>
          <w:lang w:val="x-none"/>
        </w:rPr>
        <w:tab/>
      </w:r>
      <w:r>
        <w:rPr>
          <w:rFonts w:ascii="Arial" w:hAnsi="Arial" w:cs="Arial"/>
          <w:b/>
          <w:bCs/>
          <w:color w:val="000000"/>
          <w:sz w:val="18"/>
          <w:szCs w:val="18"/>
          <w:lang w:val="x-none"/>
        </w:rPr>
        <w:t>Klimatyzacja</w:t>
      </w:r>
      <w:r>
        <w:rPr>
          <w:rFonts w:ascii="Arial" w:hAnsi="Arial" w:cs="Arial"/>
          <w:color w:val="000000"/>
          <w:sz w:val="18"/>
          <w:szCs w:val="18"/>
          <w:lang w:val="x-none"/>
        </w:rPr>
        <w:t xml:space="preserve"> – środki techniczne służące do uzdatniania powietrza, co polega na regulacji jego temperatury, wilgotności i czystości oraz rozdzielaniu go do zamkniętych przestrzeni;</w:t>
      </w:r>
    </w:p>
    <w:p w14:paraId="16DFCA78"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24.</w:t>
      </w:r>
      <w:r>
        <w:rPr>
          <w:rFonts w:ascii="Arial" w:hAnsi="Arial" w:cs="Arial"/>
          <w:color w:val="000000"/>
          <w:sz w:val="18"/>
          <w:szCs w:val="18"/>
          <w:lang w:val="x-none"/>
        </w:rPr>
        <w:tab/>
      </w:r>
      <w:r>
        <w:rPr>
          <w:rFonts w:ascii="Arial" w:hAnsi="Arial" w:cs="Arial"/>
          <w:b/>
          <w:bCs/>
          <w:color w:val="000000"/>
          <w:sz w:val="18"/>
          <w:szCs w:val="18"/>
          <w:lang w:val="x-none"/>
        </w:rPr>
        <w:t>Klimatyzator</w:t>
      </w:r>
      <w:r>
        <w:rPr>
          <w:rFonts w:ascii="Arial" w:hAnsi="Arial" w:cs="Arial"/>
          <w:color w:val="000000"/>
          <w:sz w:val="18"/>
          <w:szCs w:val="18"/>
          <w:lang w:val="x-none"/>
        </w:rPr>
        <w:t xml:space="preserve"> – zamknięty w obudowie zestaw, lub zestawy przeznaczone jako zespół do dostarczania uzdatnionego powietrza do zamkniętej przestrzeni (na przykład pokoju) lub strefy. Zawiera on instalację ziębniczą z zasilaniem elektrycznym, przeznaczoną do oziębiania i w miarę możliwości odwilżania powietrza. Może on mieć wyposażenie służące do ogrzewania, zapewniania cyrkulacji, oczyszczania i nawilżania powietrza. Jeśli ogrzewanie odbywa się poprzez odwrócenie obiegu czynnika ziębniczego, wówczas jest to pompa ciepła;</w:t>
      </w:r>
    </w:p>
    <w:p w14:paraId="226727ED"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25.</w:t>
      </w:r>
      <w:r>
        <w:rPr>
          <w:rFonts w:ascii="Arial" w:hAnsi="Arial" w:cs="Arial"/>
          <w:color w:val="000000"/>
          <w:sz w:val="18"/>
          <w:szCs w:val="18"/>
          <w:lang w:val="x-none"/>
        </w:rPr>
        <w:tab/>
      </w:r>
      <w:r>
        <w:rPr>
          <w:rFonts w:ascii="Arial" w:hAnsi="Arial" w:cs="Arial"/>
          <w:b/>
          <w:bCs/>
          <w:color w:val="000000"/>
          <w:sz w:val="18"/>
          <w:szCs w:val="18"/>
          <w:lang w:val="x-none"/>
        </w:rPr>
        <w:t>Pompa ciepła</w:t>
      </w:r>
      <w:r>
        <w:rPr>
          <w:rFonts w:ascii="Arial" w:hAnsi="Arial" w:cs="Arial"/>
          <w:color w:val="000000"/>
          <w:sz w:val="18"/>
          <w:szCs w:val="18"/>
          <w:lang w:val="x-none"/>
        </w:rPr>
        <w:t xml:space="preserve"> – zamknięty w obudowie zestaw lub zestawy przeznaczone jako zespół do dostarczania ciepła. Zawiera on instalację ziębniczą z zasilaniem elektrycznym, przeznaczoną do ogrzewania. Może on mieć wyposażenie służące do oziębiania, zapewnienia cyrkulacji i odwilżania powietrza. Oziębianie odbywa się poprzez odwrócenie obiegu czynnika ziębniczego;</w:t>
      </w:r>
    </w:p>
    <w:p w14:paraId="6A7369C4"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26.</w:t>
      </w:r>
      <w:r>
        <w:rPr>
          <w:rFonts w:ascii="Arial" w:hAnsi="Arial" w:cs="Arial"/>
          <w:color w:val="000000"/>
          <w:sz w:val="18"/>
          <w:szCs w:val="18"/>
          <w:lang w:val="x-none"/>
        </w:rPr>
        <w:tab/>
      </w:r>
      <w:r>
        <w:rPr>
          <w:rFonts w:ascii="Arial" w:hAnsi="Arial" w:cs="Arial"/>
          <w:b/>
          <w:bCs/>
          <w:color w:val="000000"/>
          <w:sz w:val="18"/>
          <w:szCs w:val="18"/>
          <w:lang w:val="x-none"/>
        </w:rPr>
        <w:t>Wentylacja</w:t>
      </w:r>
      <w:r>
        <w:rPr>
          <w:rFonts w:ascii="Arial" w:hAnsi="Arial" w:cs="Arial"/>
          <w:color w:val="000000"/>
          <w:sz w:val="18"/>
          <w:szCs w:val="18"/>
          <w:lang w:val="x-none"/>
        </w:rPr>
        <w:t xml:space="preserve"> – nawiew i usuwanie powietrza z pomieszczenia w sposób naturalny lub mechaniczny;</w:t>
      </w:r>
    </w:p>
    <w:p w14:paraId="68AD66A8"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27.</w:t>
      </w:r>
      <w:r>
        <w:rPr>
          <w:rFonts w:ascii="Arial" w:hAnsi="Arial" w:cs="Arial"/>
          <w:b/>
          <w:bCs/>
          <w:color w:val="000000"/>
          <w:sz w:val="18"/>
          <w:szCs w:val="18"/>
          <w:lang w:val="x-none"/>
        </w:rPr>
        <w:tab/>
        <w:t>Kolektor słoneczny</w:t>
      </w:r>
      <w:r>
        <w:rPr>
          <w:rFonts w:ascii="Arial" w:hAnsi="Arial" w:cs="Arial"/>
          <w:color w:val="000000"/>
          <w:sz w:val="18"/>
          <w:szCs w:val="18"/>
          <w:lang w:val="x-none"/>
        </w:rPr>
        <w:t xml:space="preserve"> – urządzenie pochłaniające promieniowanie słoneczne przekształcane następnie w ciepło, które jest odprowadzane na zewnątrz za pośrednictwem płynu;</w:t>
      </w:r>
    </w:p>
    <w:p w14:paraId="5F482ECB"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28.</w:t>
      </w:r>
      <w:r>
        <w:rPr>
          <w:rFonts w:ascii="Arial" w:hAnsi="Arial" w:cs="Arial"/>
          <w:b/>
          <w:bCs/>
          <w:color w:val="000000"/>
          <w:sz w:val="18"/>
          <w:szCs w:val="18"/>
          <w:lang w:val="x-none"/>
        </w:rPr>
        <w:tab/>
        <w:t>Odzysk ciepła</w:t>
      </w:r>
      <w:r>
        <w:rPr>
          <w:rFonts w:ascii="Arial" w:hAnsi="Arial" w:cs="Arial"/>
          <w:color w:val="000000"/>
          <w:sz w:val="18"/>
          <w:szCs w:val="18"/>
          <w:lang w:val="x-none"/>
        </w:rPr>
        <w:t xml:space="preserve"> – wykorzystanie ciepła odpadowego z zespołu(-ów), realizującego(-</w:t>
      </w:r>
      <w:proofErr w:type="spellStart"/>
      <w:r>
        <w:rPr>
          <w:rFonts w:ascii="Arial" w:hAnsi="Arial" w:cs="Arial"/>
          <w:color w:val="000000"/>
          <w:sz w:val="18"/>
          <w:szCs w:val="18"/>
          <w:lang w:val="x-none"/>
        </w:rPr>
        <w:t>ch</w:t>
      </w:r>
      <w:proofErr w:type="spellEnd"/>
      <w:r>
        <w:rPr>
          <w:rFonts w:ascii="Arial" w:hAnsi="Arial" w:cs="Arial"/>
          <w:color w:val="000000"/>
          <w:sz w:val="18"/>
          <w:szCs w:val="18"/>
          <w:lang w:val="x-none"/>
        </w:rPr>
        <w:t>) zasadniczo funkcję ziębienia bądź za pomocą dodatkowego wymiennika (np. ziębiarka cieczy z dodatkowym skraplaczem), bądź przez przekazywanie ciepła z instalacji ziębniczej do wykorzystania w zespole(-ach) realizującym(-</w:t>
      </w:r>
      <w:proofErr w:type="spellStart"/>
      <w:r>
        <w:rPr>
          <w:rFonts w:ascii="Arial" w:hAnsi="Arial" w:cs="Arial"/>
          <w:color w:val="000000"/>
          <w:sz w:val="18"/>
          <w:szCs w:val="18"/>
          <w:lang w:val="x-none"/>
        </w:rPr>
        <w:t>ch</w:t>
      </w:r>
      <w:proofErr w:type="spellEnd"/>
      <w:r>
        <w:rPr>
          <w:rFonts w:ascii="Arial" w:hAnsi="Arial" w:cs="Arial"/>
          <w:color w:val="000000"/>
          <w:sz w:val="18"/>
          <w:szCs w:val="18"/>
          <w:lang w:val="x-none"/>
        </w:rPr>
        <w:t>) przede wszystkim funkcję grzania (np. o zmiennym kierunku przepływu czynnika ziębniczego);</w:t>
      </w:r>
    </w:p>
    <w:p w14:paraId="6F3813EF"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p>
    <w:p w14:paraId="5561B122" w14:textId="77777777" w:rsidR="000A3B2B" w:rsidRDefault="000A3B2B" w:rsidP="000E4A55">
      <w:pPr>
        <w:autoSpaceDE w:val="0"/>
        <w:autoSpaceDN w:val="0"/>
        <w:adjustRightInd w:val="0"/>
        <w:spacing w:after="30" w:line="240" w:lineRule="auto"/>
        <w:ind w:left="630" w:hanging="630"/>
        <w:jc w:val="both"/>
        <w:rPr>
          <w:rFonts w:ascii="Arial" w:hAnsi="Arial" w:cs="Arial"/>
          <w:color w:val="000000"/>
          <w:sz w:val="18"/>
          <w:szCs w:val="18"/>
          <w:lang w:val="x-none"/>
        </w:rPr>
      </w:pPr>
    </w:p>
    <w:p w14:paraId="1FD54231"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p>
    <w:p w14:paraId="5359074C" w14:textId="77777777" w:rsidR="000A3B2B" w:rsidRDefault="000A3B2B" w:rsidP="000E4A55">
      <w:pPr>
        <w:autoSpaceDE w:val="0"/>
        <w:autoSpaceDN w:val="0"/>
        <w:adjustRightInd w:val="0"/>
        <w:spacing w:before="225" w:after="12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2.</w:t>
      </w:r>
      <w:r>
        <w:rPr>
          <w:rFonts w:ascii="Arial" w:hAnsi="Arial" w:cs="Arial"/>
          <w:b/>
          <w:bCs/>
          <w:color w:val="000000"/>
          <w:sz w:val="18"/>
          <w:szCs w:val="18"/>
          <w:lang w:val="x-none"/>
        </w:rPr>
        <w:tab/>
        <w:t>WYMAGANIA DOTYCZĄCE MATERIAŁÓW</w:t>
      </w:r>
    </w:p>
    <w:p w14:paraId="1979E2FA" w14:textId="77777777" w:rsidR="000A3B2B" w:rsidRDefault="000A3B2B" w:rsidP="000E4A5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2.1.</w:t>
      </w:r>
      <w:r>
        <w:rPr>
          <w:rFonts w:ascii="Arial" w:hAnsi="Arial" w:cs="Arial"/>
          <w:b/>
          <w:bCs/>
          <w:color w:val="000000"/>
          <w:sz w:val="18"/>
          <w:szCs w:val="18"/>
          <w:lang w:val="x-none"/>
        </w:rPr>
        <w:tab/>
        <w:t xml:space="preserve">Stosowanie wyrobów budowlanych </w:t>
      </w:r>
    </w:p>
    <w:p w14:paraId="740547AA"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lastRenderedPageBreak/>
        <w:t>będące wyrobami budowlanymi w myśl Ustawy o wyrobach budowlanych z dnia 16 kwietnia 2004 r. (tekst jednolity Dz. U.  z 2016 r. Nr 0, poz. 1570) oraz Rozporządzenia Parlamentu Europejskiego i Rady (UE) Nr 305/2011 z dnia 9 marca 2011 r. ustanawiającego zharmonizowane warunki wprowadzania do obrotu wyrobów budowlanych i uchylającego dyrektywę Rady 89/106/EWG, mogą być wprowadzone do obrotu lub udostępniane na rynku krajowym, jeżeli nadają się do stosowania przy wykonywaniu robót budowlanych, w zakresie odpowiadającym ich właściwościom użytkowym i zamierzonemu zastosowaniu co oznacza, że ich właściwości użytkowe umożliwiają – prawidłowo zaprojektowanym i wykonanym obiektom budowlanym, w których mają być one zastosowane w sposób trwały – spełnienie podstawowych wymagań, o których mowa w art. 5 ust. 1 pkt. 1 ustawy z dnia 7 lipca 1994 r. – Prawo budowlane (tekst jednolity Dz. U. z 2016 r. nr 0 poz. 290).</w:t>
      </w:r>
    </w:p>
    <w:p w14:paraId="099B4377"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przepisami, a więc posiadać:</w:t>
      </w:r>
    </w:p>
    <w:p w14:paraId="2477E5B4"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oznakowanie znakiem CE co oznacza, że dokonano oceny ich zgodności ze zharmonizowaną normą europejską wprowadzoną do zbioru Polskich Norm lub z europejską oceną techniczną, albo</w:t>
      </w:r>
    </w:p>
    <w:p w14:paraId="26B3EA15"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oznakowanie znakiem budowlanym, co oznacza że są to wyroby nieobjęte normą zharmonizowaną – dla której zakończył się okres koegzystencji – i dla których nie została wydana europejska ocena techniczna, a dokonano oceny zgodności z Polską Normą lub aprobatą techniczną (do końca okresu ważności tej aprobaty wydanej do 31 grudnia 2016 r., a później krajową oceną techniczną), bądź uznano za „regionalny wyrób budowlany”, albo</w:t>
      </w:r>
    </w:p>
    <w:p w14:paraId="5F27EA3D"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legalne wprowadzenie do obrotu w innym państwie członkowskim Unii Europejskiej lub w państwie członkowskim Europejskiego Porozumienia o Wolnym Handlu (EFTA) – stronie umowy o Europejskim Obszarze Gospodarczym oraz w Turcji, o ile wyroby budowlane udostępniane na rynku krajowym są nieobjęte zakresem przedmiotowym zharmonizowanych specyfikacji technicznych, o których mowa w art. 2 pkt 10 rozporządzenia Nr 305/2011, a ich właściwości użytkowe umożliwiają spełnienie podstawowych wymagań przez obiekty budowlane zaprojektowane i budowane w sposób określony w przepisach techniczno-budowlanych, oraz zgodnie z zasadami wiedzy technicznej (wraz z wyrobem budowlanym udostępnianym na rynku krajowym dostarcza się informacje o jego właściwościach użytkowych oznaczonych zgodnie z przepisami państwa, w którym wyrób budowlany został wprowadzony do obrotu, instrukcje stosowania, instrukcje obsługi oraz informacje dotyczące zagrożenia dla zdrowia i bezpieczeństwa, jakie ten wyrób stwarza podczas stosowania i użytkowania), albo</w:t>
      </w:r>
    </w:p>
    <w:p w14:paraId="1952125C"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dopuszczenie do jednostkowego zastosowania w obiekcie budowlanym.</w:t>
      </w:r>
    </w:p>
    <w:p w14:paraId="7C9711FC"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Oznakowanie powinno umożliwiać identyfikację producenta i typu wyrobu, kraju pochodzenia oraz daty produkcji.</w:t>
      </w:r>
    </w:p>
    <w:p w14:paraId="4A99E416"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p>
    <w:p w14:paraId="0CCFFD6E" w14:textId="77777777" w:rsidR="000A3B2B" w:rsidRDefault="000A3B2B" w:rsidP="000E4A5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2.2.</w:t>
      </w:r>
      <w:r>
        <w:rPr>
          <w:rFonts w:ascii="Arial" w:hAnsi="Arial" w:cs="Arial"/>
          <w:b/>
          <w:bCs/>
          <w:color w:val="000000"/>
          <w:sz w:val="18"/>
          <w:szCs w:val="18"/>
          <w:lang w:val="x-none"/>
        </w:rPr>
        <w:tab/>
        <w:t>Źródła uzyskania materiałów do elementów konstrukcyjnych</w:t>
      </w:r>
    </w:p>
    <w:p w14:paraId="223A2BD8"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Wykonawca przedstawi inspektorowi nadzoru inwestorskiego szczegółowe informacje dotyczące, zamawiania lub wydobywania materiałów i odpowiednie krajowe oceny techniczne (lub aprobaty techniczne – wydane do 31 grudnia 2016 r. a po zakończeniu okresu ich ważności krajowe oceny techniczne) lub świadectwa badań laboratoryjnych oraz próbki do zatwierdzenia przez inspektora nadzoru inwestorskiego.</w:t>
      </w:r>
    </w:p>
    <w:p w14:paraId="2CB0D0DE"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Wykonawca zobowiązany jest do prowadzenia ciągłych badań określonych w SST w celu udokumentowania, że materiały uzyskane z dopuszczalnego źródła spełniają wymagania SST w czasie postępu robót.</w:t>
      </w:r>
    </w:p>
    <w:p w14:paraId="16498E7F"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Pozostałe materiały budowlane powinny spełniać wymagania jakościowe określone Polskimi Normami, krajowymi ocenami technicznymi (lub aprobatami technicznymi – wydanymi do 31 grudnia 2016 r. a po zakończeniu okresu ich ważności krajowymi ocenami technicznymi), o których mowa w Szczegółowych Specyfikacjach Technicznych (SST).</w:t>
      </w:r>
    </w:p>
    <w:p w14:paraId="1EEC5A4E"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p>
    <w:p w14:paraId="6C5136B4" w14:textId="77777777" w:rsidR="000A3B2B" w:rsidRDefault="000A3B2B" w:rsidP="000E4A5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2.3.</w:t>
      </w:r>
      <w:r>
        <w:rPr>
          <w:rFonts w:ascii="Arial" w:hAnsi="Arial" w:cs="Arial"/>
          <w:b/>
          <w:bCs/>
          <w:color w:val="000000"/>
          <w:sz w:val="18"/>
          <w:szCs w:val="18"/>
          <w:lang w:val="x-none"/>
        </w:rPr>
        <w:tab/>
        <w:t>Pozyskiwanie masowych materiałów pochodzenia miejscowego</w:t>
      </w:r>
    </w:p>
    <w:p w14:paraId="02AC8577"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Wykonawca odpowiada za uzyskanie pozwoleń od właścicieli i odnośnych władz na pozyskanie materiałów z jakichkolwiek złóż miejscowych, włączając w to źródła wskazane przez Zamawiającego i jest zobowiązany dostarczyć inspektorowi nadzoru inwestorskiego wymagane dokumenty przed rozpoczęciem eksploatacji złoża.</w:t>
      </w:r>
    </w:p>
    <w:p w14:paraId="2F88D344"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Wykonawca przedstawi dokumentację zawierającą raporty z badań terenowych i laboratoryjnych oraz proponowaną przez siebie metodę wydobycia i selekcji do zatwierdzenia inspektorowi nadzoru inwestorskiego.</w:t>
      </w:r>
    </w:p>
    <w:p w14:paraId="2F1D918D"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Wykonawca ponosi odpowiedzialność za spełnienie wymagań ilościowych i jakościowych materiałów z jakiegokolwiek złoża.</w:t>
      </w:r>
    </w:p>
    <w:p w14:paraId="1C65A165"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Wykonawca poniesie wszystkie koszty, a w tym: opłaty, wynagrodzenia i jakiekolwiek inne koszty związane z dostarczeniem materiałów do robót, chyba że postanowienia ogólne lub szczegółowe warunków umowy stanowią inaczej.</w:t>
      </w:r>
    </w:p>
    <w:p w14:paraId="01ED6B00"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Humus i nadkład czasowo zdjęte z terenu wykopów, ukopów i miejsc pozyskania piasku i żwiru będą formowane w hałdy i wykorzystywane przy zasypce i rekultywacji terenu po ukończeniu robót.</w:t>
      </w:r>
    </w:p>
    <w:p w14:paraId="0C2E812C"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Wszystkie odpowiednie materiały pozyskane z wykopów na terenie budowy lub z innych miejsc wskazanych w dokumentach umowy będą wykorzystane do robót lub odwiezione na odkład odpowiednio do wymagań umowy lub wskazań inspektora nadzoru inwestorskiego.</w:t>
      </w:r>
    </w:p>
    <w:p w14:paraId="6F1E21DE"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Eksploatacja źródeł materiałów będzie zgodna z wszelkimi regulacjami prawnymi obowiązującymi na danym obszarze.</w:t>
      </w:r>
    </w:p>
    <w:p w14:paraId="72062AE9"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p>
    <w:p w14:paraId="71A92580" w14:textId="77777777" w:rsidR="000A3B2B" w:rsidRDefault="000A3B2B" w:rsidP="000E4A5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lastRenderedPageBreak/>
        <w:t>2.4.</w:t>
      </w:r>
      <w:r>
        <w:rPr>
          <w:rFonts w:ascii="Arial" w:hAnsi="Arial" w:cs="Arial"/>
          <w:b/>
          <w:bCs/>
          <w:color w:val="000000"/>
          <w:sz w:val="18"/>
          <w:szCs w:val="18"/>
          <w:lang w:val="x-none"/>
        </w:rPr>
        <w:tab/>
        <w:t>Materiały pochodzące z rozbiórek</w:t>
      </w:r>
    </w:p>
    <w:p w14:paraId="01109F42"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Materiały pochodzące z rozbiórek poszczególnych elementów występujących w trakcie budowy zostaną zagospodarowane zgodnie z SST przypisanymi poszczególnym elementom robót rozbiórkowych.</w:t>
      </w:r>
    </w:p>
    <w:p w14:paraId="75BA4EE9"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Koszty usunięcia i utylizacji tych materiałów opisane są w pkt. 9 podstawy płatności właściwych SST. Wykonawca będzie postępował zgodnie z zapisami właściwych SST i w zgodności z Ustawą o odpadach (Dz. U. Nr 0 poz. 21 z 2015.02.06).</w:t>
      </w:r>
    </w:p>
    <w:p w14:paraId="077239BC"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p>
    <w:p w14:paraId="441D8E54" w14:textId="77777777" w:rsidR="000A3B2B" w:rsidRDefault="000A3B2B" w:rsidP="000E4A5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2.5.</w:t>
      </w:r>
      <w:r>
        <w:rPr>
          <w:rFonts w:ascii="Arial" w:hAnsi="Arial" w:cs="Arial"/>
          <w:b/>
          <w:bCs/>
          <w:color w:val="000000"/>
          <w:sz w:val="18"/>
          <w:szCs w:val="18"/>
          <w:lang w:val="x-none"/>
        </w:rPr>
        <w:tab/>
        <w:t>Materiały nieodpowiadające wymaganiom jakościowym</w:t>
      </w:r>
    </w:p>
    <w:p w14:paraId="3CEA0CB9"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Materiały nieodpowiadające wymaganiom jakościowym zostaną przez Wykonawcę wywiezione z terenu budowy, bądź złożone w miejscu wskazanym przez Inspektora nadzoru inwestorskiego.</w:t>
      </w:r>
    </w:p>
    <w:p w14:paraId="79F6F7BC"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Każdy rodzaj robót, w których znajdują się niezbadane i niezaakceptowane materiały, Wykonawca wykonuje na własne ryzyko, licząc się z ich nieprzyjęciem i niezapłaceniem.</w:t>
      </w:r>
    </w:p>
    <w:p w14:paraId="128AE208"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p>
    <w:p w14:paraId="750E14C2" w14:textId="77777777" w:rsidR="000A3B2B" w:rsidRDefault="000A3B2B" w:rsidP="000E4A5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2.6.</w:t>
      </w:r>
      <w:r>
        <w:rPr>
          <w:rFonts w:ascii="Arial" w:hAnsi="Arial" w:cs="Arial"/>
          <w:b/>
          <w:bCs/>
          <w:color w:val="000000"/>
          <w:sz w:val="18"/>
          <w:szCs w:val="18"/>
          <w:lang w:val="x-none"/>
        </w:rPr>
        <w:tab/>
        <w:t>Przechowywanie i składowanie materiałów</w:t>
      </w:r>
    </w:p>
    <w:p w14:paraId="383F5E19"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Wykonawca zapewni, aby tymczasowo składowane materiały, do czasu gdy będą one potrzebne do robót, były zabezpieczone przed zanieczyszczeniem, zachowały swoją jakość i właściwość do robót i były dostępne do kontroli przez inspektora nadzoru inwestorskiego.</w:t>
      </w:r>
    </w:p>
    <w:p w14:paraId="7209B63A"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Miejsca czasowego składowania materiałów będą zlokalizowane w obrębie terenu budowy w miejscach uzgodnionych z inspektorem nadzoru inwestorskiego lub poza terenem budowy w miejscach wskazanych przez Wykonawcę i zaakceptowanych przez inspektora nadzoru inwestorskiego.</w:t>
      </w:r>
    </w:p>
    <w:p w14:paraId="79A0C468"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p>
    <w:p w14:paraId="279BB501" w14:textId="77777777" w:rsidR="000A3B2B" w:rsidRDefault="000A3B2B" w:rsidP="000E4A5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2.7.</w:t>
      </w:r>
      <w:r>
        <w:rPr>
          <w:rFonts w:ascii="Arial" w:hAnsi="Arial" w:cs="Arial"/>
          <w:b/>
          <w:bCs/>
          <w:color w:val="000000"/>
          <w:sz w:val="18"/>
          <w:szCs w:val="18"/>
          <w:lang w:val="x-none"/>
        </w:rPr>
        <w:tab/>
        <w:t>Wariantowe stosowanie materiałów</w:t>
      </w:r>
    </w:p>
    <w:p w14:paraId="1B7BBE82"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Jeśli dokumentacja projektowa lub SST przewidują możliwość zastosowania różnych rodzajów materiałów do wykonywania poszczególnych elementów robót Wykonawca powiadomi inspektora nadzoru inwestorskiego o zamiarze zastosowania konkretnego rodzaju materiału. Wybrany i zaakceptowany rodzaj materiału nie może być później zamieniany bez zgody inspektora nadzoru inwestorskiego.</w:t>
      </w:r>
    </w:p>
    <w:p w14:paraId="75483E37"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p>
    <w:p w14:paraId="6F87BEA3" w14:textId="77777777" w:rsidR="000A3B2B" w:rsidRDefault="000A3B2B" w:rsidP="000E4A55">
      <w:pPr>
        <w:autoSpaceDE w:val="0"/>
        <w:autoSpaceDN w:val="0"/>
        <w:adjustRightInd w:val="0"/>
        <w:spacing w:before="225" w:after="12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3.</w:t>
      </w:r>
      <w:r>
        <w:rPr>
          <w:rFonts w:ascii="Arial" w:hAnsi="Arial" w:cs="Arial"/>
          <w:b/>
          <w:bCs/>
          <w:color w:val="000000"/>
          <w:sz w:val="18"/>
          <w:szCs w:val="18"/>
          <w:lang w:val="x-none"/>
        </w:rPr>
        <w:tab/>
        <w:t>WYMAGANIA DOTYCZĄCE SPRZĘTU, MASZYN I NARZĘDZI</w:t>
      </w:r>
    </w:p>
    <w:p w14:paraId="45A95A64"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3.1.</w:t>
      </w:r>
      <w:r>
        <w:rPr>
          <w:rFonts w:ascii="Arial" w:hAnsi="Arial" w:cs="Arial"/>
          <w:color w:val="000000"/>
          <w:sz w:val="18"/>
          <w:szCs w:val="18"/>
          <w:lang w:val="x-none"/>
        </w:rPr>
        <w:t xml:space="preserve">   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SST, programie zapewnienia jakości (PZJ) lub projekcie organizacji robót zaakceptowanym przez inspektora nadzoru inwestorskiego.</w:t>
      </w:r>
    </w:p>
    <w:p w14:paraId="0CFD8CD1"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Liczba i wydajność sprzętu będzie gwarantować przeprowadzenie robót, zgodnie z zasadami określonymi w dokumentacji projektowej, SST i wskazaniach inspektora nadzoru inwestorskiego w terminie przewidzianym umową.</w:t>
      </w:r>
    </w:p>
    <w:p w14:paraId="760FE346"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p>
    <w:p w14:paraId="5A8EDADB"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 xml:space="preserve">3.2. </w:t>
      </w:r>
      <w:r>
        <w:rPr>
          <w:rFonts w:ascii="Arial" w:hAnsi="Arial" w:cs="Arial"/>
          <w:color w:val="000000"/>
          <w:sz w:val="18"/>
          <w:szCs w:val="18"/>
          <w:lang w:val="x-none"/>
        </w:rPr>
        <w:t xml:space="preserve">  Sprzęt będący własnością Wykonawcy lub wynajęty do wykonania robót ma być utrzymywany w dobrym stanie i gotowości do pracy. Sprzęt ten powinien spełniać normy ochrony środowiska i przepisy dotyczące jego użytkowania.</w:t>
      </w:r>
    </w:p>
    <w:p w14:paraId="356EE916"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Wykonawca dostarczy Inspektorowi nadzoru inwestorskiego kopie dokumentów potwierdzających dopuszczenie sprzętu do użytkowania, tam gdzie jest to wymagane przepisami.</w:t>
      </w:r>
    </w:p>
    <w:p w14:paraId="7AF0CF8C"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p>
    <w:p w14:paraId="035736E8"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3.3.</w:t>
      </w:r>
      <w:r>
        <w:rPr>
          <w:rFonts w:ascii="Arial" w:hAnsi="Arial" w:cs="Arial"/>
          <w:color w:val="000000"/>
          <w:sz w:val="18"/>
          <w:szCs w:val="18"/>
          <w:lang w:val="x-none"/>
        </w:rPr>
        <w:t xml:space="preserve">   Jeżeli dokumentacja projektowa lub SST przewidują możliwość wariantowego użycia sprzętu przy wykonywanych robotach, wykonawca powiadomi Inspektora nadzoru inwestorskiego o swoim zamiarze wyboru i uzyska jego akceptację przed użyciem sprzętu. Wybrany sprzęt, po akceptacji inspektora nadzoru inwestorskiego, nie może być później zmieniany bez jego zgody.</w:t>
      </w:r>
    </w:p>
    <w:p w14:paraId="43E21E4D"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p>
    <w:p w14:paraId="54B13668"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 xml:space="preserve">3.4.  </w:t>
      </w:r>
      <w:r>
        <w:rPr>
          <w:rFonts w:ascii="Arial" w:hAnsi="Arial" w:cs="Arial"/>
          <w:color w:val="000000"/>
          <w:sz w:val="18"/>
          <w:szCs w:val="18"/>
          <w:lang w:val="x-none"/>
        </w:rPr>
        <w:t xml:space="preserve"> Jakikolwiek sprzęt, maszyny, urządzenia i narzędzia niegwarantujące zachowania opisanych wyżej warunków, lub innych warunków umowy, zostanie przez Inspektora nadzoru zdyskwalifikowany i niedopuszczony do wykonywania robót.</w:t>
      </w:r>
    </w:p>
    <w:p w14:paraId="2D8103BB"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p>
    <w:p w14:paraId="4978EF81" w14:textId="77777777" w:rsidR="000A3B2B" w:rsidRDefault="000A3B2B" w:rsidP="000E4A55">
      <w:pPr>
        <w:autoSpaceDE w:val="0"/>
        <w:autoSpaceDN w:val="0"/>
        <w:adjustRightInd w:val="0"/>
        <w:spacing w:before="225" w:after="12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4.</w:t>
      </w:r>
      <w:r>
        <w:rPr>
          <w:rFonts w:ascii="Arial" w:hAnsi="Arial" w:cs="Arial"/>
          <w:b/>
          <w:bCs/>
          <w:color w:val="000000"/>
          <w:sz w:val="18"/>
          <w:szCs w:val="18"/>
          <w:lang w:val="x-none"/>
        </w:rPr>
        <w:tab/>
        <w:t>WYMAGANIA DOTYCZĄCE TRANSPORTU</w:t>
      </w:r>
    </w:p>
    <w:p w14:paraId="3F890826" w14:textId="77777777" w:rsidR="000A3B2B" w:rsidRDefault="000A3B2B" w:rsidP="000E4A5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4.1.</w:t>
      </w:r>
      <w:r>
        <w:rPr>
          <w:rFonts w:ascii="Arial" w:hAnsi="Arial" w:cs="Arial"/>
          <w:b/>
          <w:bCs/>
          <w:color w:val="000000"/>
          <w:sz w:val="18"/>
          <w:szCs w:val="18"/>
          <w:lang w:val="x-none"/>
        </w:rPr>
        <w:tab/>
        <w:t>Ogólne wymagania dotyczące transportu</w:t>
      </w:r>
    </w:p>
    <w:p w14:paraId="070A5CF2"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Wykonawca jest zobowiązany do stosowania jedynie takich środków transportu, które nie wpłyną niekorzystnie na jakość wykonywanych robót i właściwości przewożonych materiałów. Środki transportu niegwarantujące zachowania opisanych wyżej warunków, lub innych warunków umowy, zostaną przez Inspektora nadzoru zdyskwalifikowane i niedopuszczone do udziału w wykonywaniu robót.</w:t>
      </w:r>
    </w:p>
    <w:p w14:paraId="339C59CD"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lastRenderedPageBreak/>
        <w:t>Liczba środków transportu będzie zapewniać prowadzenie robót zgodnie z zasadami określonymi w dokumentacji projektowej, SST i wskazaniach inspektora nadzoru inwestorskiego w terminie przewidzianym w umowie.</w:t>
      </w:r>
    </w:p>
    <w:p w14:paraId="102DD58F"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Wykonawca naprawi wszelkie uszkodzenia spowodowane przez zastosowane do wykonania robót środki transportu. W przypadku trwałego zanieczyszczenia gruntu lub wody gruntowej, wykonawca jest zobowiązany do rekultywacji na własny koszt w zakresie spowodowanego zanieczyszczenia.</w:t>
      </w:r>
    </w:p>
    <w:p w14:paraId="49667862"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p>
    <w:p w14:paraId="7B253299" w14:textId="77777777" w:rsidR="000A3B2B" w:rsidRDefault="000A3B2B" w:rsidP="000E4A5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4.2.</w:t>
      </w:r>
      <w:r>
        <w:rPr>
          <w:rFonts w:ascii="Arial" w:hAnsi="Arial" w:cs="Arial"/>
          <w:b/>
          <w:bCs/>
          <w:color w:val="000000"/>
          <w:sz w:val="18"/>
          <w:szCs w:val="18"/>
          <w:lang w:val="x-none"/>
        </w:rPr>
        <w:tab/>
        <w:t>Wymagania dotyczące przewozu po drogach publicznych</w:t>
      </w:r>
    </w:p>
    <w:p w14:paraId="5D13001B"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Przy ruchu na drogach publicznych pojazdy będą spełniać wymagania dotyczące przepisów ruchu drogowego w szczególności w odniesieniu do dopuszczalnych obciążeń na osie i innych parametrów technicznych. Środki transportu nieodpowiadające warunkom dopuszczalnych obciążeń na osie mogą być dopuszczone przez właściwy zarząd drogi pod warunkiem przywrócenia stanu pierwotnego użytkowanych odcinków dróg na koszt Wykonawcy.</w:t>
      </w:r>
    </w:p>
    <w:p w14:paraId="3CF7F4A2"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Wykonawca uzyska wszelkie niezbędne zezwolenia od władz, co do przewozu nietypowych wagowo i gabarytowo ładunków i będzie o każdym takim przewozie powiadamiał Inspektora nadzoru.</w:t>
      </w:r>
    </w:p>
    <w:p w14:paraId="0F70C91D"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Wykonawca będzie usuwać na bieżąco, na własny koszt, wszelkie zanieczyszczenia spowodowane jego pojazdami na drogach publicznych oraz dojazdach do terenu budowy.</w:t>
      </w:r>
    </w:p>
    <w:p w14:paraId="74E02457"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p>
    <w:p w14:paraId="55DF1065" w14:textId="77777777" w:rsidR="000A3B2B" w:rsidRDefault="000A3B2B" w:rsidP="000E4A55">
      <w:pPr>
        <w:autoSpaceDE w:val="0"/>
        <w:autoSpaceDN w:val="0"/>
        <w:adjustRightInd w:val="0"/>
        <w:spacing w:before="225" w:after="12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5.</w:t>
      </w:r>
      <w:r>
        <w:rPr>
          <w:rFonts w:ascii="Arial" w:hAnsi="Arial" w:cs="Arial"/>
          <w:b/>
          <w:bCs/>
          <w:color w:val="000000"/>
          <w:sz w:val="18"/>
          <w:szCs w:val="18"/>
          <w:lang w:val="x-none"/>
        </w:rPr>
        <w:tab/>
        <w:t>WYMAGANIA DOTYCZĄCE WYKONANIA ROBÓT</w:t>
      </w:r>
    </w:p>
    <w:p w14:paraId="6984D705" w14:textId="77777777" w:rsidR="000A3B2B" w:rsidRDefault="000A3B2B" w:rsidP="000E4A55">
      <w:pPr>
        <w:autoSpaceDE w:val="0"/>
        <w:autoSpaceDN w:val="0"/>
        <w:adjustRightInd w:val="0"/>
        <w:spacing w:after="60" w:line="240" w:lineRule="auto"/>
        <w:ind w:left="390" w:hanging="390"/>
        <w:jc w:val="both"/>
        <w:rPr>
          <w:rFonts w:ascii="Arial" w:hAnsi="Arial" w:cs="Arial"/>
          <w:color w:val="000000"/>
          <w:sz w:val="18"/>
          <w:szCs w:val="18"/>
          <w:lang w:val="x-none"/>
        </w:rPr>
      </w:pPr>
      <w:r>
        <w:rPr>
          <w:rFonts w:ascii="Arial" w:hAnsi="Arial" w:cs="Arial"/>
          <w:b/>
          <w:bCs/>
          <w:color w:val="000000"/>
          <w:sz w:val="18"/>
          <w:szCs w:val="18"/>
          <w:lang w:val="x-none"/>
        </w:rPr>
        <w:t>5.1.</w:t>
      </w:r>
      <w:r>
        <w:rPr>
          <w:rFonts w:ascii="Arial" w:hAnsi="Arial" w:cs="Arial"/>
          <w:b/>
          <w:bCs/>
          <w:color w:val="000000"/>
          <w:sz w:val="18"/>
          <w:szCs w:val="18"/>
          <w:lang w:val="x-none"/>
        </w:rPr>
        <w:tab/>
        <w:t xml:space="preserve"> </w:t>
      </w:r>
      <w:r>
        <w:rPr>
          <w:rFonts w:ascii="Arial" w:hAnsi="Arial" w:cs="Arial"/>
          <w:color w:val="000000"/>
          <w:sz w:val="18"/>
          <w:szCs w:val="18"/>
          <w:lang w:val="x-none"/>
        </w:rPr>
        <w:t>Przed rozpoczęciem robót Wykonawca opracuje:</w:t>
      </w:r>
    </w:p>
    <w:p w14:paraId="2839BCF9"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projekt zagospodarowania placu budowy, który powinien składać się z części opisowej i graficznej,</w:t>
      </w:r>
    </w:p>
    <w:p w14:paraId="4A137459"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plan bezpieczeństwa i ochrony zdrowia (plan bioz),</w:t>
      </w:r>
    </w:p>
    <w:p w14:paraId="676356A4"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projekt organizacji robót i harmonogram ich realizacji,</w:t>
      </w:r>
    </w:p>
    <w:p w14:paraId="68FFC963"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projekt technologii i organizacji montażu (dla obiektów prefabrykowanych lub elementów konstrukcyjnych o dużych gabarytach lub masie).</w:t>
      </w:r>
    </w:p>
    <w:p w14:paraId="37DDC5D0"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 xml:space="preserve">5.2.   </w:t>
      </w:r>
      <w:r>
        <w:rPr>
          <w:rFonts w:ascii="Arial" w:hAnsi="Arial" w:cs="Arial"/>
          <w:color w:val="000000"/>
          <w:sz w:val="18"/>
          <w:szCs w:val="18"/>
          <w:lang w:val="x-none"/>
        </w:rPr>
        <w:t>Wykonawca jest odpowiedzialny za prowadzenie robót zgodnie z umową oraz za jakość zastosowanych materiałów i wykonywanych robót, za ich zgodność z dokumentacją projektową, wymaganiami SST, PZJ, projektu organizacji robót oraz poleceniami Inspektora nadzoru inwestorskiego.</w:t>
      </w:r>
    </w:p>
    <w:p w14:paraId="51FA9726"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p>
    <w:p w14:paraId="15857DCD"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 xml:space="preserve">5.3.  </w:t>
      </w:r>
      <w:r>
        <w:rPr>
          <w:rFonts w:ascii="Arial" w:hAnsi="Arial" w:cs="Arial"/>
          <w:color w:val="000000"/>
          <w:sz w:val="18"/>
          <w:szCs w:val="18"/>
          <w:lang w:val="x-none"/>
        </w:rPr>
        <w:t xml:space="preserve"> Decyzje i polecenie Inspektora nadzoru inwestorskiego</w:t>
      </w:r>
    </w:p>
    <w:p w14:paraId="3D37D1A7"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Decyzje Inspektora dotyczące akceptacji lub odrzucenia materiałów i elementów robót będą oparte na wymaganiach sformułowanych w umowie, dokumentacji projektowej, SST, PN, innych normach i instrukcjach.</w:t>
      </w:r>
    </w:p>
    <w:p w14:paraId="2172C5A4"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Inspektor jest upoważniony do inspekcji wszystkich robót i kontroli wszystkich materiałów dostarczonych na budowę lub na niej produkowanych.</w:t>
      </w:r>
    </w:p>
    <w:p w14:paraId="4B14F37A"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Polecenia Inspektora będą wykonywane nie później niż w czasie przez niego wyznaczonym, po ich otrzymaniu przez Wykonawcę, pod groźbą zatrzymania robót.</w:t>
      </w:r>
    </w:p>
    <w:p w14:paraId="7DCD736C"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Ewentualne skutki finansowe z tytułu niedotrzymania terminu poniesie Wykonawca.</w:t>
      </w:r>
    </w:p>
    <w:p w14:paraId="4DD1E9D9"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 przypadku opóźnień realizacyjnych budowy, stwarzających zagrożenie dla finalnego zakończenia robót, Inspektor ma prawo wprowadzić podwykonawcę na określone roboty na koszt Wykonawcy.</w:t>
      </w:r>
    </w:p>
    <w:p w14:paraId="09050E2A"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p>
    <w:p w14:paraId="21FD1D0E"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 xml:space="preserve">5.4. </w:t>
      </w:r>
      <w:r>
        <w:rPr>
          <w:rFonts w:ascii="Arial" w:hAnsi="Arial" w:cs="Arial"/>
          <w:color w:val="000000"/>
          <w:sz w:val="18"/>
          <w:szCs w:val="18"/>
          <w:lang w:val="x-none"/>
        </w:rPr>
        <w:t xml:space="preserve">  Roboty budowlane Wykonawca winien prowadzić wyłącznie na działkach objętych pozwoleniem na budowę.</w:t>
      </w:r>
    </w:p>
    <w:p w14:paraId="0650539E"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 xml:space="preserve">5.4.1. </w:t>
      </w:r>
      <w:r>
        <w:rPr>
          <w:rFonts w:ascii="Arial" w:hAnsi="Arial" w:cs="Arial"/>
          <w:color w:val="000000"/>
          <w:sz w:val="18"/>
          <w:szCs w:val="18"/>
          <w:lang w:val="x-none"/>
        </w:rPr>
        <w:t xml:space="preserve">  Jeżeli do wykonania prac przygotowawczych lub robót budowlanych jest niezbędne wejście do sąsiedniego budynku, lokalu lub na teren sąsiedniej nieruchomości, inwestor jest obowiązany przed rozpoczęciem robót uzyskać zgodę właściciela sąsiedniej nieruchomości, budynku lub lokalu (najemcy) na wejście oraz uzgodnić z nim przewidywany sposób, zakres i terminy korzystania z tych obiektów, a także ewentualną rekompensatę z tego tytułu.</w:t>
      </w:r>
    </w:p>
    <w:p w14:paraId="52A48A59"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5.4.2.</w:t>
      </w:r>
      <w:r>
        <w:rPr>
          <w:rFonts w:ascii="Arial" w:hAnsi="Arial" w:cs="Arial"/>
          <w:color w:val="000000"/>
          <w:sz w:val="18"/>
          <w:szCs w:val="18"/>
          <w:lang w:val="x-none"/>
        </w:rPr>
        <w:t xml:space="preserve">   W razie nieuzgodnienia warunków, o których mowa w ust. 1, właściwy organ – na wniosek inwestora – w terminie 14 dni od dnia złożenia wniosku, rozstrzyga, w drodze decyzji, o niezbędności wejścia do sąsiedniego budynku, lokalu lub na teren sąsiedniej nieruchomości. W przypadku uznania zasadności wniosku inwestora, właściwy organ określa jednocześnie granice niezbędnej potrzeby oraz warunki korzystania z sąsiedniego budynku, lokalu lub nieruchomości.</w:t>
      </w:r>
    </w:p>
    <w:p w14:paraId="0D5C49C8"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 xml:space="preserve">5.4.3. </w:t>
      </w:r>
      <w:r>
        <w:rPr>
          <w:rFonts w:ascii="Arial" w:hAnsi="Arial" w:cs="Arial"/>
          <w:color w:val="000000"/>
          <w:sz w:val="18"/>
          <w:szCs w:val="18"/>
          <w:lang w:val="x-none"/>
        </w:rPr>
        <w:t xml:space="preserve">  Inwestor, po zakończeniu robót, o których mowa w pkt. 5.4.1, jest zobowiązany naprawić szkody powstałe w wyniku korzystania z sąsiedniej nieruchomości, budynku lub lokalu – na zasadach określonych w Kodeksie cywilnym. </w:t>
      </w:r>
    </w:p>
    <w:p w14:paraId="28874224"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5.4.4.</w:t>
      </w:r>
      <w:r>
        <w:rPr>
          <w:rFonts w:ascii="Arial" w:hAnsi="Arial" w:cs="Arial"/>
          <w:color w:val="000000"/>
          <w:sz w:val="18"/>
          <w:szCs w:val="18"/>
          <w:lang w:val="x-none"/>
        </w:rPr>
        <w:t xml:space="preserve">   Zajęcie, na potrzeby budowy, pasa drogowego lub jego części może nastąpić po spełnieniu wymagań określonych w odrębnych przepisach.</w:t>
      </w:r>
    </w:p>
    <w:p w14:paraId="680139AA"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p>
    <w:p w14:paraId="120E1FC1"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5.5.</w:t>
      </w:r>
      <w:r>
        <w:rPr>
          <w:rFonts w:ascii="Arial" w:hAnsi="Arial" w:cs="Arial"/>
          <w:color w:val="000000"/>
          <w:sz w:val="18"/>
          <w:szCs w:val="18"/>
          <w:lang w:val="x-none"/>
        </w:rPr>
        <w:t xml:space="preserve">   Wykonawca jest odpowiedzialny za dokładne wytyczenie w planie i wyznaczenie wysokości wszystkich elementów robót zgodnie z wymiarami i rzędnymi określonymi w dokumentacji projektowej lub przekazanymi na piśmie przez Inspektora nadzoru inwestorskiego.</w:t>
      </w:r>
    </w:p>
    <w:p w14:paraId="42E4DF4B"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lastRenderedPageBreak/>
        <w:t>Przed przystąpieniem do wykonania prac geodezyjnych i kartograficznych Wykonawca zobowiązany jest zgłosić prace do ośrodka dokumentacji, pozyskać aktualne dane odnośnie państwowej osnowy sytuacyjno-wysokościowej, a następnie po zakończeniu budowy – złożyć operat z pomiaru powykonawczego – do państwowego zasobu geodezyjno-kartograficznego.</w:t>
      </w:r>
    </w:p>
    <w:p w14:paraId="61571237"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Pracami geodezyjnymi i kartograficznymi powinna kierować i sprawować nad nimi bezpośredni nadzór i kontrolę wyłącznie osoba posiadająca odpowiednie uprawnienia zawodowe – zgodnie z wymaganiami ustawy Prawo Geodezyjne i Kartograficzne.</w:t>
      </w:r>
    </w:p>
    <w:p w14:paraId="6462BD3E"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Geodezyjna Obsługa Budowy obejmuje w szczególności:</w:t>
      </w:r>
    </w:p>
    <w:p w14:paraId="3B02D7A1"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przed przystąpieniem do robót:</w:t>
      </w:r>
    </w:p>
    <w:p w14:paraId="771708BC" w14:textId="77777777" w:rsidR="000A3B2B" w:rsidRDefault="000A3B2B" w:rsidP="000E4A55">
      <w:pPr>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t>a)</w:t>
      </w:r>
      <w:r>
        <w:rPr>
          <w:rFonts w:ascii="Arial" w:hAnsi="Arial" w:cs="Arial"/>
          <w:color w:val="000000"/>
          <w:sz w:val="18"/>
          <w:szCs w:val="18"/>
          <w:lang w:val="x-none"/>
        </w:rPr>
        <w:tab/>
        <w:t>założenie osnowy realizacyjnej, w dowiązaniu do punktów osnowy państwowej,</w:t>
      </w:r>
    </w:p>
    <w:p w14:paraId="49B71EEA" w14:textId="77777777" w:rsidR="000A3B2B" w:rsidRDefault="000A3B2B" w:rsidP="000E4A55">
      <w:pPr>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t>b)</w:t>
      </w:r>
      <w:r>
        <w:rPr>
          <w:rFonts w:ascii="Arial" w:hAnsi="Arial" w:cs="Arial"/>
          <w:color w:val="000000"/>
          <w:sz w:val="18"/>
          <w:szCs w:val="18"/>
          <w:lang w:val="x-none"/>
        </w:rPr>
        <w:tab/>
        <w:t>odszukanie i oznaczenie (w sposób trwały i widoczny na czas realizacji robót) granic pasa budowy,</w:t>
      </w:r>
    </w:p>
    <w:p w14:paraId="1129D259" w14:textId="77777777" w:rsidR="000A3B2B" w:rsidRDefault="000A3B2B" w:rsidP="000E4A55">
      <w:pPr>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t>c)</w:t>
      </w:r>
      <w:r>
        <w:rPr>
          <w:rFonts w:ascii="Arial" w:hAnsi="Arial" w:cs="Arial"/>
          <w:color w:val="000000"/>
          <w:sz w:val="18"/>
          <w:szCs w:val="18"/>
          <w:lang w:val="x-none"/>
        </w:rPr>
        <w:tab/>
        <w:t>wytyczenie i stabilizacja punktów głównych obiektów budowlanych,</w:t>
      </w:r>
    </w:p>
    <w:p w14:paraId="0C7763EC"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 trakcie prowadzenia robót:</w:t>
      </w:r>
    </w:p>
    <w:p w14:paraId="5B410211" w14:textId="77777777" w:rsidR="000A3B2B" w:rsidRDefault="000A3B2B" w:rsidP="000E4A55">
      <w:pPr>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t>a)</w:t>
      </w:r>
      <w:r>
        <w:rPr>
          <w:rFonts w:ascii="Arial" w:hAnsi="Arial" w:cs="Arial"/>
          <w:color w:val="000000"/>
          <w:sz w:val="18"/>
          <w:szCs w:val="18"/>
          <w:lang w:val="x-none"/>
        </w:rPr>
        <w:tab/>
        <w:t>bieżącą obsługę geodezyjną budowy w tym obmiary,</w:t>
      </w:r>
    </w:p>
    <w:p w14:paraId="67F91BE4" w14:textId="77777777" w:rsidR="000A3B2B" w:rsidRDefault="000A3B2B" w:rsidP="000E4A55">
      <w:pPr>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t>b)</w:t>
      </w:r>
      <w:r>
        <w:rPr>
          <w:rFonts w:ascii="Arial" w:hAnsi="Arial" w:cs="Arial"/>
          <w:color w:val="000000"/>
          <w:sz w:val="18"/>
          <w:szCs w:val="18"/>
          <w:lang w:val="x-none"/>
        </w:rPr>
        <w:tab/>
        <w:t>pomiary przemieszczeń i odkształceń prowadzone w miarę potrzeby do końca okresu gwarancyjnego,</w:t>
      </w:r>
    </w:p>
    <w:p w14:paraId="5AAFF23D"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po zakończeniu robót:</w:t>
      </w:r>
    </w:p>
    <w:p w14:paraId="2AECE408" w14:textId="77777777" w:rsidR="000A3B2B" w:rsidRDefault="000A3B2B" w:rsidP="000E4A55">
      <w:pPr>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t>a)</w:t>
      </w:r>
      <w:r>
        <w:rPr>
          <w:rFonts w:ascii="Arial" w:hAnsi="Arial" w:cs="Arial"/>
          <w:color w:val="000000"/>
          <w:sz w:val="18"/>
          <w:szCs w:val="18"/>
          <w:lang w:val="x-none"/>
        </w:rPr>
        <w:tab/>
        <w:t>wykonanie inwentaryzacji powykonawczej wraz z mapą,</w:t>
      </w:r>
    </w:p>
    <w:p w14:paraId="5CF4C086" w14:textId="77777777" w:rsidR="000A3B2B" w:rsidRDefault="000A3B2B" w:rsidP="000E4A55">
      <w:pPr>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t>b)</w:t>
      </w:r>
      <w:r>
        <w:rPr>
          <w:rFonts w:ascii="Arial" w:hAnsi="Arial" w:cs="Arial"/>
          <w:color w:val="000000"/>
          <w:sz w:val="18"/>
          <w:szCs w:val="18"/>
          <w:lang w:val="x-none"/>
        </w:rPr>
        <w:tab/>
        <w:t>wyznaczenie i odtworzenie granic pasa drogowego lub działki,</w:t>
      </w:r>
    </w:p>
    <w:p w14:paraId="348AC8AB" w14:textId="77777777" w:rsidR="000A3B2B" w:rsidRDefault="000A3B2B" w:rsidP="000E4A55">
      <w:pPr>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t>c)</w:t>
      </w:r>
      <w:r>
        <w:rPr>
          <w:rFonts w:ascii="Arial" w:hAnsi="Arial" w:cs="Arial"/>
          <w:color w:val="000000"/>
          <w:sz w:val="18"/>
          <w:szCs w:val="18"/>
          <w:lang w:val="x-none"/>
        </w:rPr>
        <w:tab/>
        <w:t xml:space="preserve">trwałe </w:t>
      </w:r>
      <w:proofErr w:type="spellStart"/>
      <w:r>
        <w:rPr>
          <w:rFonts w:ascii="Arial" w:hAnsi="Arial" w:cs="Arial"/>
          <w:color w:val="000000"/>
          <w:sz w:val="18"/>
          <w:szCs w:val="18"/>
          <w:lang w:val="x-none"/>
        </w:rPr>
        <w:t>zastabilizowanie</w:t>
      </w:r>
      <w:proofErr w:type="spellEnd"/>
      <w:r>
        <w:rPr>
          <w:rFonts w:ascii="Arial" w:hAnsi="Arial" w:cs="Arial"/>
          <w:color w:val="000000"/>
          <w:sz w:val="18"/>
          <w:szCs w:val="18"/>
          <w:lang w:val="x-none"/>
        </w:rPr>
        <w:t xml:space="preserve"> punktów granicznych,</w:t>
      </w:r>
    </w:p>
    <w:p w14:paraId="4B4128DA" w14:textId="77777777" w:rsidR="000A3B2B" w:rsidRDefault="000A3B2B" w:rsidP="000E4A55">
      <w:pPr>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t>d)</w:t>
      </w:r>
      <w:r>
        <w:rPr>
          <w:rFonts w:ascii="Arial" w:hAnsi="Arial" w:cs="Arial"/>
          <w:color w:val="000000"/>
          <w:sz w:val="18"/>
          <w:szCs w:val="18"/>
          <w:lang w:val="x-none"/>
        </w:rPr>
        <w:tab/>
        <w:t>okazanie granic właścicielom nieruchomości przylegającym do działek objętych pozwoleniem na budowę,</w:t>
      </w:r>
    </w:p>
    <w:p w14:paraId="1DC92025" w14:textId="77777777" w:rsidR="000A3B2B" w:rsidRDefault="000A3B2B" w:rsidP="000E4A55">
      <w:pPr>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t>e)</w:t>
      </w:r>
      <w:r>
        <w:rPr>
          <w:rFonts w:ascii="Arial" w:hAnsi="Arial" w:cs="Arial"/>
          <w:color w:val="000000"/>
          <w:sz w:val="18"/>
          <w:szCs w:val="18"/>
          <w:lang w:val="x-none"/>
        </w:rPr>
        <w:tab/>
        <w:t>wykonanie operatu technicznego zawierającego:</w:t>
      </w:r>
    </w:p>
    <w:p w14:paraId="47E2E2F7" w14:textId="77777777" w:rsidR="000A3B2B" w:rsidRDefault="000A3B2B" w:rsidP="000E4A55">
      <w:pPr>
        <w:autoSpaceDE w:val="0"/>
        <w:autoSpaceDN w:val="0"/>
        <w:adjustRightInd w:val="0"/>
        <w:spacing w:after="30" w:line="240" w:lineRule="auto"/>
        <w:ind w:left="900"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wykaz współrzędnych punktów granicznych obiektu budowlanego,</w:t>
      </w:r>
    </w:p>
    <w:p w14:paraId="6629E80F" w14:textId="77777777" w:rsidR="000A3B2B" w:rsidRDefault="000A3B2B" w:rsidP="000E4A55">
      <w:pPr>
        <w:autoSpaceDE w:val="0"/>
        <w:autoSpaceDN w:val="0"/>
        <w:adjustRightInd w:val="0"/>
        <w:spacing w:after="30" w:line="240" w:lineRule="auto"/>
        <w:ind w:left="900"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szkice wyniesienia z wymiarowaniem,</w:t>
      </w:r>
    </w:p>
    <w:p w14:paraId="70B8687B" w14:textId="77777777" w:rsidR="000A3B2B" w:rsidRDefault="000A3B2B" w:rsidP="000E4A55">
      <w:pPr>
        <w:autoSpaceDE w:val="0"/>
        <w:autoSpaceDN w:val="0"/>
        <w:adjustRightInd w:val="0"/>
        <w:spacing w:after="30" w:line="240" w:lineRule="auto"/>
        <w:ind w:left="900"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mapę wstęgową z oznaczeniem rodzaju stabilizowanego punktu,</w:t>
      </w:r>
    </w:p>
    <w:p w14:paraId="6D8D1923" w14:textId="77777777" w:rsidR="000A3B2B" w:rsidRDefault="000A3B2B" w:rsidP="000E4A55">
      <w:pPr>
        <w:autoSpaceDE w:val="0"/>
        <w:autoSpaceDN w:val="0"/>
        <w:adjustRightInd w:val="0"/>
        <w:spacing w:after="30" w:line="240" w:lineRule="auto"/>
        <w:ind w:left="900"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protokoły z okazania granic właścicielom nieruchomości przylegających do obiektu budowlanego.</w:t>
      </w:r>
    </w:p>
    <w:p w14:paraId="590A47A1"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Podczas prac należy zwrócić szczególną uwagę na zachowanie w stanie nienaruszonym i nie przesunięcie punktów geodezyjnych, które podlegają ochronie w trybie przepisów ustawy Prawo Geodezyjne i Kartograficzne.</w:t>
      </w:r>
    </w:p>
    <w:p w14:paraId="7A6AC553"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Następstwa jakiegokolwiek błędu spowodowanego przez Wykonawcę w wytyczeniu i wykonywaniu robót zostaną, jeśli wymagać tego będzie inspektor nadzoru inwestorskiego, poprawione przez Wykonawcę na własny koszt.</w:t>
      </w:r>
    </w:p>
    <w:p w14:paraId="6D20F92F"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p>
    <w:p w14:paraId="25047FFB" w14:textId="77777777" w:rsidR="000A3B2B" w:rsidRDefault="000A3B2B" w:rsidP="000E4A5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5.6.</w:t>
      </w:r>
      <w:r>
        <w:rPr>
          <w:rFonts w:ascii="Arial" w:hAnsi="Arial" w:cs="Arial"/>
          <w:b/>
          <w:bCs/>
          <w:color w:val="000000"/>
          <w:sz w:val="18"/>
          <w:szCs w:val="18"/>
          <w:lang w:val="x-none"/>
        </w:rPr>
        <w:tab/>
        <w:t>Ochrona środowiska i ograniczenie uciążliwości dla otoczenia</w:t>
      </w:r>
    </w:p>
    <w:p w14:paraId="38AE760F"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Wykonawca powinien stosować się do wymogów zawartych w decyzji środowiskowej i w raporcie oddziaływania na środowisko oraz wszelkich uzyskanych uzgodnieniach zawartych w Dokumentacji Projektowej.</w:t>
      </w:r>
    </w:p>
    <w:p w14:paraId="17F3E7EE" w14:textId="77777777" w:rsidR="000A3B2B" w:rsidRDefault="000A3B2B" w:rsidP="000E4A55">
      <w:pPr>
        <w:autoSpaceDE w:val="0"/>
        <w:autoSpaceDN w:val="0"/>
        <w:adjustRightInd w:val="0"/>
        <w:spacing w:after="30" w:line="240" w:lineRule="auto"/>
        <w:jc w:val="both"/>
        <w:rPr>
          <w:rFonts w:ascii="Arial" w:hAnsi="Arial" w:cs="Arial"/>
          <w:b/>
          <w:bCs/>
          <w:color w:val="000000"/>
          <w:sz w:val="18"/>
          <w:szCs w:val="18"/>
          <w:lang w:val="x-none"/>
        </w:rPr>
      </w:pPr>
      <w:r>
        <w:rPr>
          <w:rFonts w:ascii="Arial" w:hAnsi="Arial" w:cs="Arial"/>
          <w:b/>
          <w:bCs/>
          <w:color w:val="000000"/>
          <w:sz w:val="18"/>
          <w:szCs w:val="18"/>
          <w:lang w:val="x-none"/>
        </w:rPr>
        <w:t>Wykonawca powinien:</w:t>
      </w:r>
    </w:p>
    <w:p w14:paraId="03155E12"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Organizować roboty w taki sposób, aby zminimalizować ilość powstających odpadów budowlanych;</w:t>
      </w:r>
    </w:p>
    <w:p w14:paraId="65C68C63"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Unikać zanieczyszczeń odpadami stałymi i ściekami miejsc prowadzenia robót budowlanych i eksploatacji przedsięwzięcia, a odpady powstałe selektywnie magazynować w przystosowanych do tego pojemnikach lub tymczasowych punktach magazynowania oraz systematycznie wywozić lub zagospodarować.</w:t>
      </w:r>
    </w:p>
    <w:p w14:paraId="0D04A67C"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Wymaganą dokumentacją projektową wycinkę zieleni przeprowadzić poza sezonem lęgowym ptaków (poza okresem od 15 marca do 15 sierpnia włącznie);</w:t>
      </w:r>
    </w:p>
    <w:p w14:paraId="06739879"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Na terenie leśnym z drzew przeznaczonych do usunięcia zdjąć budki lęgowe dla ptaków i przenieść na inne drzewa;</w:t>
      </w:r>
    </w:p>
    <w:p w14:paraId="1BAD20FE"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Prace ziemne w rejonie zbiorników i cieków wodnych prowadzić poza okresem masowych migracji płazów (marzec-maj, połowa września do połowy października). W tym okresie należy zapewnić przedostanie się płazom na drugą stronę obiektu budowlanego;</w:t>
      </w:r>
    </w:p>
    <w:p w14:paraId="5BD76B3E"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Zapewnić minimalizację zmian stosunków wodnych w czasie prowadzenia prac budowlanych; w miejscach ewentualnego drenażu wód podziemnych za pomocą wykopów, należy zabezpieczyć wody z ich odwodnienia;</w:t>
      </w:r>
    </w:p>
    <w:p w14:paraId="723A017D"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Przewidzieć zastępcze źródło zaopatrzenia w wodę, w przypadku likwidacji ujęć wód podziemnych, kolidujących z obiektem budowlanym lub zaniku wody w ujęciach w wyniku drenażu;</w:t>
      </w:r>
    </w:p>
    <w:p w14:paraId="3657FBB1"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Unikać zbędnej koncentracji prac budowlanych z wykorzystaniem sprzętu mechanicznego na terenach zwartej zabudowy mieszkaniowej oraz eliminować prace maszyn i urządzeń na biegu jałowym;</w:t>
      </w:r>
    </w:p>
    <w:p w14:paraId="685F82B3"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Prace budowlane w rejonie najbliższych terenów chronionych akustycznie prowadzić w godzinach dziennych (6:00-22:00) w sposób powodujący najmniejszą emisję hałasu do środowiska;</w:t>
      </w:r>
    </w:p>
    <w:p w14:paraId="3325FF38"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Zapobiegać wtórnej emisji pyłu z transportu mas ziemnych oraz dróg, którymi poruszać się będą pojazdy wyjeżdżające z placu budowy;</w:t>
      </w:r>
    </w:p>
    <w:p w14:paraId="53BCDA4A"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Zapewnić nadzór archeologiczny i obserwację archeologiczną pracom ziemnym. W przypadku natrafienia na przedmiot posiadający cechy reliktu archeologicznego, należy natychmiast wstrzymać prace ziemne. Wyniki badań archeologicznych będą rzutowały na dalsze prace tzn. na kontynuację prac budowlanych.</w:t>
      </w:r>
    </w:p>
    <w:p w14:paraId="0F0F25A6"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p>
    <w:p w14:paraId="5323FFD6" w14:textId="77777777" w:rsidR="000A3B2B" w:rsidRDefault="000A3B2B" w:rsidP="000E4A55">
      <w:pPr>
        <w:autoSpaceDE w:val="0"/>
        <w:autoSpaceDN w:val="0"/>
        <w:adjustRightInd w:val="0"/>
        <w:spacing w:before="225" w:after="12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6.</w:t>
      </w:r>
      <w:r>
        <w:rPr>
          <w:rFonts w:ascii="Arial" w:hAnsi="Arial" w:cs="Arial"/>
          <w:b/>
          <w:bCs/>
          <w:color w:val="000000"/>
          <w:sz w:val="18"/>
          <w:szCs w:val="18"/>
          <w:lang w:val="x-none"/>
        </w:rPr>
        <w:tab/>
        <w:t>KONTROLA JAKOŚCI ROBÓT</w:t>
      </w:r>
    </w:p>
    <w:p w14:paraId="271A86DE" w14:textId="77777777" w:rsidR="000A3B2B" w:rsidRDefault="000A3B2B" w:rsidP="000E4A5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6.1.</w:t>
      </w:r>
      <w:r>
        <w:rPr>
          <w:rFonts w:ascii="Arial" w:hAnsi="Arial" w:cs="Arial"/>
          <w:b/>
          <w:bCs/>
          <w:color w:val="000000"/>
          <w:sz w:val="18"/>
          <w:szCs w:val="18"/>
          <w:lang w:val="x-none"/>
        </w:rPr>
        <w:tab/>
        <w:t>Program zapewnienia jakości</w:t>
      </w:r>
    </w:p>
    <w:p w14:paraId="3FB4A91F"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Do obowiązków Wykonawcy należy opracowanie i przedstawienie do zaakceptowania przez inspektora nadzoru inwestorskiego programu zapewnienia jakości (PZJ), w którym przedstawi on zamierzony sposób wykonania robót, możliwości techniczne, kadrowe i organizacyjne gwarantujące wykonanie robót zgodnie z dokumentacją projektową, SST.</w:t>
      </w:r>
    </w:p>
    <w:p w14:paraId="10C8E621" w14:textId="77777777" w:rsidR="000A3B2B" w:rsidRDefault="000A3B2B" w:rsidP="000E4A55">
      <w:pPr>
        <w:autoSpaceDE w:val="0"/>
        <w:autoSpaceDN w:val="0"/>
        <w:adjustRightInd w:val="0"/>
        <w:spacing w:after="30" w:line="240" w:lineRule="auto"/>
        <w:jc w:val="both"/>
        <w:rPr>
          <w:rFonts w:ascii="Arial" w:hAnsi="Arial" w:cs="Arial"/>
          <w:b/>
          <w:bCs/>
          <w:color w:val="000000"/>
          <w:sz w:val="18"/>
          <w:szCs w:val="18"/>
          <w:lang w:val="x-none"/>
        </w:rPr>
      </w:pPr>
      <w:r>
        <w:rPr>
          <w:rFonts w:ascii="Arial" w:hAnsi="Arial" w:cs="Arial"/>
          <w:b/>
          <w:bCs/>
          <w:color w:val="000000"/>
          <w:sz w:val="18"/>
          <w:szCs w:val="18"/>
          <w:lang w:val="x-none"/>
        </w:rPr>
        <w:t>Program zapewnienia jakości winien zawierać:</w:t>
      </w:r>
    </w:p>
    <w:p w14:paraId="063127A1"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organizację wykonania robót w terminie umownym i sposób prowadzenia robót;</w:t>
      </w:r>
    </w:p>
    <w:p w14:paraId="26CA0256"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organizację ruchu na budowie wraz z oznakowaniem robót;</w:t>
      </w:r>
    </w:p>
    <w:p w14:paraId="2EC87596"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plan bezpieczeństwa i ochrony zdrowia;</w:t>
      </w:r>
    </w:p>
    <w:p w14:paraId="5B53B4E3"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wykaz zespołów roboczych, ich kwalifikacje i przygotowanie praktyczne;</w:t>
      </w:r>
    </w:p>
    <w:p w14:paraId="354F478D"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wykaz osób odpowiedzialnych za jakość i terminowość wykonania poszczególnych elementów robót;</w:t>
      </w:r>
    </w:p>
    <w:p w14:paraId="3D78B2F5"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system (sposób i procedurę) proponowanej kontroli i sterowania jakością wykonywanych robót;</w:t>
      </w:r>
    </w:p>
    <w:p w14:paraId="5A762676"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wyposażenie w sprzęt i urządzenia do pomiarów i kontroli (opis laboratorium własnego lub laboratorium, któremu Wykonawca zamierza zlecić prowadzenie badań);</w:t>
      </w:r>
    </w:p>
    <w:p w14:paraId="01AE6552"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sposób oraz formę gromadzenia wyników badań laboratoryjnych, zapisów pomiarów, a także wyciąganych wniosków i zastosowanych korekt w procesie technologicznym, proponowany sposób i formę przekazywania tych informacji inspektorowi nadzoru inwestorskiego;</w:t>
      </w:r>
    </w:p>
    <w:p w14:paraId="1A71B636"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wykaz maszyn i urządzeń stosowanych na budowie wraz z ich parametrami technicznymi oraz wyposażeniem w mechanizmy do sterowania i urządzenia pomiarowo-kontrolne;</w:t>
      </w:r>
    </w:p>
    <w:p w14:paraId="1767EAAC"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rodzaje i ilość środków transportu oraz urządzeń do magazynowania i załadunku/rozładunku materiałów, spoiw, lepiszczy, kruszyw itp.;</w:t>
      </w:r>
    </w:p>
    <w:p w14:paraId="08A283AE"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sposób i procedurę pomiarów i badań (rodzaj i częstotliwość, pobieranie próbek, legalizacja i sprawdzanie urządzeń itp.) prowadzonych podczas dostaw materiałów, wytwarzania mieszanek i wykonywania poszczególnych elementów robót.</w:t>
      </w:r>
    </w:p>
    <w:p w14:paraId="5DA270B8"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p>
    <w:p w14:paraId="3BCB19C3" w14:textId="77777777" w:rsidR="000A3B2B" w:rsidRDefault="000A3B2B" w:rsidP="000E4A5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6.2.</w:t>
      </w:r>
      <w:r>
        <w:rPr>
          <w:rFonts w:ascii="Arial" w:hAnsi="Arial" w:cs="Arial"/>
          <w:b/>
          <w:bCs/>
          <w:color w:val="000000"/>
          <w:sz w:val="18"/>
          <w:szCs w:val="18"/>
          <w:lang w:val="x-none"/>
        </w:rPr>
        <w:tab/>
        <w:t>Zasady kontroli jakości robót</w:t>
      </w:r>
    </w:p>
    <w:p w14:paraId="79A81C49"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Wykonawca jest odpowiedzialny za pełną kontrolę jakości robót i stosowanych materiałów. Wykonawca zapewni odpowiedni system kontroli, włączając w to personel, laboratorium, sprzęt, zaopatrzenie i wszystkie urządzenia niezbędne do pobierania próbek i badań materiałów oraz robót.</w:t>
      </w:r>
    </w:p>
    <w:p w14:paraId="4152238A"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Wykonawca będzie przeprowadzać pomiary i badania materiałów oraz robót z częstotliwością zapewniającą stwierdzenie, że roboty wykonano zgodnie z wymaganiami zawartymi w dokumentacji projektowej i SST.</w:t>
      </w:r>
    </w:p>
    <w:p w14:paraId="072A4B44"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Minimalne wymagania co do zakresu badań i ich częstotliwości są określone w SST. W przypadku, gdy nie zostały one tam określone Inspektor nadzoru inwestorskiego ustali jaki zakres kontroli jest konieczny, aby zapewnić wykonanie robót zgodnie z umową.</w:t>
      </w:r>
    </w:p>
    <w:p w14:paraId="7C9612EB"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Inspektor nadzoru inwestorskiego będzie mieć nieograniczony dostęp do pomieszczeń laboratoryjnych Wykonawcy w celu ich inspekcji.</w:t>
      </w:r>
    </w:p>
    <w:p w14:paraId="2460A973"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Inspektor nadzoru będzie przekazywać Wykonawcy pisemne informacje o jakichkolwiek niedociągnięciach dotyczących urządzeń laboratoryjnych, sprzętu, zaopatrzenia laboratorium, pracy personelu lub metod badawczych. Jeżeli niedociągnięcia te będą tak poważne, że mogą wpłynąć ujemnie na wyniki badań, inspektor nadzoru inwestorskiego natychmiast wstrzyma użycie do robót badanych materiałów i dopuści je do użytku dopiero wtedy, gdy niedociągnięcia w pracy laboratorium zostaną usunięte i stwierdzona zostanie odpowiednia jakość tych materiałów.</w:t>
      </w:r>
    </w:p>
    <w:p w14:paraId="2B515FCB"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Wszystkie koszty związane z organizowaniem i prowadzeniem badań materiałów i robót ponosi Wykonawca.</w:t>
      </w:r>
    </w:p>
    <w:p w14:paraId="6BD4BF5E"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p>
    <w:p w14:paraId="5BBE6412" w14:textId="77777777" w:rsidR="000A3B2B" w:rsidRDefault="000A3B2B" w:rsidP="000E4A5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6.3.</w:t>
      </w:r>
      <w:r>
        <w:rPr>
          <w:rFonts w:ascii="Arial" w:hAnsi="Arial" w:cs="Arial"/>
          <w:b/>
          <w:bCs/>
          <w:color w:val="000000"/>
          <w:sz w:val="18"/>
          <w:szCs w:val="18"/>
          <w:lang w:val="x-none"/>
        </w:rPr>
        <w:tab/>
        <w:t>Pobieranie próbek</w:t>
      </w:r>
    </w:p>
    <w:p w14:paraId="3211E82C"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Próbki będą pobierane losowo. Zaleca się stosowanie statystycznych metod pobierania próbek, opartych na zasadzie, że wszystkie jednostkowe elementy produkcji mogą być z jednakowym prawdopodobieństwem wytypowane do badań.</w:t>
      </w:r>
    </w:p>
    <w:p w14:paraId="7404AD75"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Inspektor nadzoru inwestorskiego będzie mieć zapewnioną możliwość udziału w pobieraniu próbek. Na zlecenie inspektora nadzoru inwestorskiego Wykonawca będzie przeprowadzać dodatkowe badania tych materiałów, które budzą wątpliwości co do jakości, o ile kwestionowane materiały nie zostaną przez Wykonawcę usunięte lub ulepszone z własnej woli. Koszty tych dodatkowych badań pokrywa Wykonawca tylko w przypadku stwierdzenia usterek; w przeciwnym przypadku koszty te pokrywa Zamawiający.</w:t>
      </w:r>
    </w:p>
    <w:p w14:paraId="727F5AA9"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Pojemniki do pobierania próbek będą dostarczane przez Wykonawcę i zatwierdzane przez inspektora nadzoru inwestorskiego. Próbki dostarczone przez Wykonawcę do badań będą odpowiednio opisane i oznakowane, w sposób zaakceptowany przez inspektora nadzoru inwestorskiego</w:t>
      </w:r>
    </w:p>
    <w:p w14:paraId="1AC5FAA9"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p>
    <w:p w14:paraId="382DE336" w14:textId="77777777" w:rsidR="000A3B2B" w:rsidRDefault="000A3B2B" w:rsidP="000E4A5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6.4.</w:t>
      </w:r>
      <w:r>
        <w:rPr>
          <w:rFonts w:ascii="Arial" w:hAnsi="Arial" w:cs="Arial"/>
          <w:b/>
          <w:bCs/>
          <w:color w:val="000000"/>
          <w:sz w:val="18"/>
          <w:szCs w:val="18"/>
          <w:lang w:val="x-none"/>
        </w:rPr>
        <w:tab/>
        <w:t>Badania i pomiary</w:t>
      </w:r>
    </w:p>
    <w:p w14:paraId="537262D6"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Wszystkie badania i pomiary będą przeprowadzone zgodnie z wymaganiami norm. W przypadku, gdy normy nie obejmują jakiegokolwiek badania wymaganego w SST, stosować można wytyczne krajowe, albo inne procedury, zaakceptowane przez inspektora nadzoru inwestorskiego.</w:t>
      </w:r>
    </w:p>
    <w:p w14:paraId="66468BE0"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Przed przystąpieniem do pomiarów lub badań, Wykonawca powiadomi inspektora nadzoru inwestorskiego o rodzaju, miejscu i terminie pomiaru lub badania. Po wykonaniu pomiaru lub badania, Wykonawca przedstawi na piśmie ich wyniki do akceptacji inspektora nadzoru inwestorskiego.</w:t>
      </w:r>
    </w:p>
    <w:p w14:paraId="3B70EBF0"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p>
    <w:p w14:paraId="76182EAD" w14:textId="77777777" w:rsidR="000A3B2B" w:rsidRDefault="000A3B2B" w:rsidP="000E4A5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6.5.</w:t>
      </w:r>
      <w:r>
        <w:rPr>
          <w:rFonts w:ascii="Arial" w:hAnsi="Arial" w:cs="Arial"/>
          <w:b/>
          <w:bCs/>
          <w:color w:val="000000"/>
          <w:sz w:val="18"/>
          <w:szCs w:val="18"/>
          <w:lang w:val="x-none"/>
        </w:rPr>
        <w:tab/>
        <w:t>Raporty z badań</w:t>
      </w:r>
    </w:p>
    <w:p w14:paraId="18C3908C"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Wykonawca będzie przekazywać inspektorowi nadzoru inwestorskiego kopie raportów z wynikami badań jak najszybciej, nie później jednak niż w terminie określonym w programie zapewnienia jakości.</w:t>
      </w:r>
    </w:p>
    <w:p w14:paraId="218CFB57"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Wyniki badań (kopie) będą przekazywane inspektorowi nadzoru inwestorskiego na formularzach według dostarczonego przez niego wzoru lub innych, przez niego zaaprobowanych.</w:t>
      </w:r>
    </w:p>
    <w:p w14:paraId="38930016"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p>
    <w:p w14:paraId="7A7730C4" w14:textId="77777777" w:rsidR="000A3B2B" w:rsidRDefault="000A3B2B" w:rsidP="000E4A5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6.6.</w:t>
      </w:r>
      <w:r>
        <w:rPr>
          <w:rFonts w:ascii="Arial" w:hAnsi="Arial" w:cs="Arial"/>
          <w:b/>
          <w:bCs/>
          <w:color w:val="000000"/>
          <w:sz w:val="18"/>
          <w:szCs w:val="18"/>
          <w:lang w:val="x-none"/>
        </w:rPr>
        <w:tab/>
        <w:t>Badania prowadzone przez Inspektora nadzoru inwestorskiego</w:t>
      </w:r>
    </w:p>
    <w:p w14:paraId="4996DB2B"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Dla celów kontroli i zatwierdzenia jakości Inspektor nadzoru inwestorskiego uprawniony jest do dokonywania kontroli, pobierania próbek i badania materiałów u źródła ich wytwarzania. Do umożliwienia jemu kontroli zapewniona będzie wszelka potrzebna do tego pomoc ze strony Wykonawcy i producenta materiałów.</w:t>
      </w:r>
    </w:p>
    <w:p w14:paraId="3B62E626"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Inspektor nadzoru inwestorskiego, po uprzedniej weryfikacji systemu kontroli robót prowadzonego przez Wykonawcę, będzie oceniać zgodność materiałów i robót z wymaganiami SST na podstawie wyników badań dostarczonych przez Wykonawcę.</w:t>
      </w:r>
    </w:p>
    <w:p w14:paraId="5C241E5D"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Inspektor nadzoru inwestorskiego może pobierać próbki materiałów i prowadzić badania niezależnie od Wykonawcy, na swój koszt. Jeżeli wyniki tych badań wykażą, że raporty Wykonawcy są niewiarygodne, to inspektor nadzoru inwestorskiego poleci Wykonawcy lub zleci niezależnemu laboratorium przeprowadzenie powtórnych lub dodatkowych badań, albo oprze się wyłącznie na własnych badaniach przy ocenie zgodności materiałów i robót z dokumentacją projektową i SST. W przypadku gdy przeprowadzone, na plecenie inspektora nadzoru inwestorskiego, powtórne i dodatkowe badania potwierdzą niewiarygodność raportu Wykonawcy, całkowite koszty powtórnych lub dodatkowych badań i pobierania próbek poniesione zostaną przez Wykonawcę.</w:t>
      </w:r>
    </w:p>
    <w:p w14:paraId="70ADB877"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 przypadku gdy przeprowadzone na polecenie nadzoru inwestorskiego, powtórne i dodatkowe badania wykażą prawidłowość raportu Wykonawcy całkowite koszty badań i pobrania próbek poniesione zostaną przez inspektora nadzoru inwestorskiego.</w:t>
      </w:r>
    </w:p>
    <w:p w14:paraId="538A8F89"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p>
    <w:p w14:paraId="05B1609A" w14:textId="77777777" w:rsidR="000A3B2B" w:rsidRDefault="000A3B2B" w:rsidP="000E4A5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6.7.</w:t>
      </w:r>
      <w:r>
        <w:rPr>
          <w:rFonts w:ascii="Arial" w:hAnsi="Arial" w:cs="Arial"/>
          <w:b/>
          <w:bCs/>
          <w:color w:val="000000"/>
          <w:sz w:val="18"/>
          <w:szCs w:val="18"/>
          <w:lang w:val="x-none"/>
        </w:rPr>
        <w:tab/>
        <w:t>Dokumenty budowy</w:t>
      </w:r>
    </w:p>
    <w:p w14:paraId="00D3A1A8" w14:textId="77777777" w:rsidR="000A3B2B" w:rsidRDefault="000A3B2B" w:rsidP="000E4A5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6.7.1.</w:t>
      </w:r>
      <w:r>
        <w:rPr>
          <w:rFonts w:ascii="Arial" w:hAnsi="Arial" w:cs="Arial"/>
          <w:b/>
          <w:bCs/>
          <w:color w:val="000000"/>
          <w:sz w:val="18"/>
          <w:szCs w:val="18"/>
          <w:lang w:val="x-none"/>
        </w:rPr>
        <w:tab/>
        <w:t>Dziennik budowy</w:t>
      </w:r>
    </w:p>
    <w:p w14:paraId="51ED55DD"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Zgodnie z art. 45 ustawy Prawo budowlane dziennik budowy stanowi urzędowy dokument przebiegu robót budowlanych oraz zdarzeń i okoliczności zachodzących w toku wykonywania robót i jest wydawany odpłatnie przez właściwy organ.</w:t>
      </w:r>
    </w:p>
    <w:p w14:paraId="1903E318"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Przed rozpoczęciem robót budowlanych należy dokonać w dzienniku budowy wpisu osób, którym zostało powierzone kierownictwo, nadzór i kontrola techniczna robót budowlanych. Osoby te są obowiązane potwierdzić podpisem przyjęcie powierzonych im funkcji.</w:t>
      </w:r>
    </w:p>
    <w:p w14:paraId="452BCC8F"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Do dokonywania wpisów w dzienniku budowy upoważnieni są:</w:t>
      </w:r>
    </w:p>
    <w:p w14:paraId="3C5376AC"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 xml:space="preserve">1) </w:t>
      </w:r>
      <w:r>
        <w:rPr>
          <w:rFonts w:ascii="Arial" w:hAnsi="Arial" w:cs="Arial"/>
          <w:color w:val="000000"/>
          <w:sz w:val="18"/>
          <w:szCs w:val="18"/>
          <w:lang w:val="x-none"/>
        </w:rPr>
        <w:tab/>
        <w:t>inwestor,</w:t>
      </w:r>
    </w:p>
    <w:p w14:paraId="68FC6D76"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 xml:space="preserve">2) </w:t>
      </w:r>
      <w:r>
        <w:rPr>
          <w:rFonts w:ascii="Arial" w:hAnsi="Arial" w:cs="Arial"/>
          <w:color w:val="000000"/>
          <w:sz w:val="18"/>
          <w:szCs w:val="18"/>
          <w:lang w:val="x-none"/>
        </w:rPr>
        <w:tab/>
        <w:t>inspektor nadzoru inwestorskiego,</w:t>
      </w:r>
    </w:p>
    <w:p w14:paraId="370044EC"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 xml:space="preserve">3) </w:t>
      </w:r>
      <w:r>
        <w:rPr>
          <w:rFonts w:ascii="Arial" w:hAnsi="Arial" w:cs="Arial"/>
          <w:color w:val="000000"/>
          <w:sz w:val="18"/>
          <w:szCs w:val="18"/>
          <w:lang w:val="x-none"/>
        </w:rPr>
        <w:tab/>
        <w:t>projektant,</w:t>
      </w:r>
    </w:p>
    <w:p w14:paraId="2060F1A5"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 xml:space="preserve">4) </w:t>
      </w:r>
      <w:r>
        <w:rPr>
          <w:rFonts w:ascii="Arial" w:hAnsi="Arial" w:cs="Arial"/>
          <w:color w:val="000000"/>
          <w:sz w:val="18"/>
          <w:szCs w:val="18"/>
          <w:lang w:val="x-none"/>
        </w:rPr>
        <w:tab/>
        <w:t>kierownik budowy,</w:t>
      </w:r>
    </w:p>
    <w:p w14:paraId="42230D99"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 xml:space="preserve">5) </w:t>
      </w:r>
      <w:r>
        <w:rPr>
          <w:rFonts w:ascii="Arial" w:hAnsi="Arial" w:cs="Arial"/>
          <w:color w:val="000000"/>
          <w:sz w:val="18"/>
          <w:szCs w:val="18"/>
          <w:lang w:val="x-none"/>
        </w:rPr>
        <w:tab/>
        <w:t>kierownik robot budowlanych,</w:t>
      </w:r>
    </w:p>
    <w:p w14:paraId="55CD8B6F"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 xml:space="preserve">6) </w:t>
      </w:r>
      <w:r>
        <w:rPr>
          <w:rFonts w:ascii="Arial" w:hAnsi="Arial" w:cs="Arial"/>
          <w:color w:val="000000"/>
          <w:sz w:val="18"/>
          <w:szCs w:val="18"/>
          <w:lang w:val="x-none"/>
        </w:rPr>
        <w:tab/>
        <w:t>osoby wykonujące czynności geodezyjne na terenie budowy,</w:t>
      </w:r>
    </w:p>
    <w:p w14:paraId="496B0DE5"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 xml:space="preserve">7) </w:t>
      </w:r>
      <w:r>
        <w:rPr>
          <w:rFonts w:ascii="Arial" w:hAnsi="Arial" w:cs="Arial"/>
          <w:color w:val="000000"/>
          <w:sz w:val="18"/>
          <w:szCs w:val="18"/>
          <w:lang w:val="x-none"/>
        </w:rPr>
        <w:tab/>
        <w:t>pracownicy organów nadzoru budowlanego i innych organów uprawnionych do kontroli przestrzegania przepisów na budowie – w ramach dokonywanych czynności kontrolnych.</w:t>
      </w:r>
    </w:p>
    <w:p w14:paraId="2B00EB9A"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Dziennik budowy znajduje się na stale na terenie budowy lub rozbiórki i jest dostępny dla osób upoważnionych. Dziennik budowy należy przechowywać w sposób zapobiegający uszkodzeniu, kradzieży lub zniszczeniu.</w:t>
      </w:r>
    </w:p>
    <w:p w14:paraId="5D5B2B84"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Za właściwe prowadzenie dziennika budowy, jego stan oraz właściwe przechowywanie na terenie budowy jest odpowiedzialny kierownik budowy.</w:t>
      </w:r>
    </w:p>
    <w:p w14:paraId="0DA1461E"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Zapisy w dzienniku budowy będą dokonywane na bieżąco i będą dotyczyć przebiegu robót, stanu bezpieczeństwa ludzi i mienia oraz technicznej strony budowy.</w:t>
      </w:r>
    </w:p>
    <w:p w14:paraId="7F0B943B"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Zapisy będą czytelne, dokonane trwałą techniką, w porządku chronologicznym, bezpośrednio jeden pod drugim, bez przerw.</w:t>
      </w:r>
    </w:p>
    <w:p w14:paraId="7A42A97F"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lastRenderedPageBreak/>
        <w:t>Załączone do dziennika budowy protokoły i inne dokumenty będą oznaczone kolejnym numerem załącznika i opatrzone datą i podpisem Wykonawcy i Inspektora nadzoru inwestorskiego.</w:t>
      </w:r>
    </w:p>
    <w:p w14:paraId="6A6D55F6"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Do dziennika budowy należy wpisywać w szczególności: datę przekazania Wykonawcy terenu budowy, datę przekazania przez Zamawiającego dokumentacji projektowej, uzgodnienie przez inspektora nadzoru inwestorskiego programu zapewnienia jakości i harmonogramów robót, a ponadto:</w:t>
      </w:r>
    </w:p>
    <w:p w14:paraId="7F879CB3"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terminy rozpoczęcia i zakończenia poszczególnych elementów robót,</w:t>
      </w:r>
    </w:p>
    <w:p w14:paraId="1093732B"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przebieg robót, trudności i przeszkody w ich prowadzeniu, okresy i przyczyny przerw w robotach,</w:t>
      </w:r>
    </w:p>
    <w:p w14:paraId="03B60115"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uwagi i polecenia Inspektora nadzoru inwestorskiego,</w:t>
      </w:r>
    </w:p>
    <w:p w14:paraId="7854288A"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daty zarządzenia wstrzymania robót, z podaniem powodu,</w:t>
      </w:r>
    </w:p>
    <w:p w14:paraId="4FA432E3"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zgłoszenia i daty odbiorów robót zanikających i ulegających zakryciu, częściowych i ostatecznych odbiorów robót,</w:t>
      </w:r>
    </w:p>
    <w:p w14:paraId="694118F0"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wyjaśnienia, uwagi i propozycje Wykonawcy,</w:t>
      </w:r>
    </w:p>
    <w:p w14:paraId="01668D4D"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stan pogody i temperaturę powietrza w okresie wykonywania robót podlegających ograniczeniom lub wymaganiom w związku z warunkami klimatycznymi,</w:t>
      </w:r>
    </w:p>
    <w:p w14:paraId="56477BD8"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zgodność rzeczywistych warunków geotechnicznych z ich opisem w dokumentacji projektowej,</w:t>
      </w:r>
    </w:p>
    <w:p w14:paraId="0F66E224"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dane dotyczące czynności geodezyjnych (pomiarowych) dokonywanych przed i w trakcie wykonywania robót,</w:t>
      </w:r>
    </w:p>
    <w:p w14:paraId="78FE47C1"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dane dotyczące sposobu wykonywania zabezpieczenia robót,</w:t>
      </w:r>
    </w:p>
    <w:p w14:paraId="4E13BEA8"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dane dotyczące jakości materiałów, pobierania próbek oraz wyniki przeprowadzonych badań z podaniem kto je przeprowadzał,</w:t>
      </w:r>
    </w:p>
    <w:p w14:paraId="6686237F"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wyniki prób poszczególnych elementów budowli z podaniem kto je przeprowadzał,</w:t>
      </w:r>
    </w:p>
    <w:p w14:paraId="430CB1A1"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inne istotne informacje o przebiegu robót.</w:t>
      </w:r>
    </w:p>
    <w:p w14:paraId="590735F1"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Propozycje, uwagi i wyjaśnienia Wykonawcy, wpisane do dziennika budowy będą przedłożone inspektorowi nadzoru inwestorskiego do ustosunkowania się.</w:t>
      </w:r>
    </w:p>
    <w:p w14:paraId="04AD5132"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Decyzje Inspektora nadzoru inwestorskiego wpisane do dziennika budowy Wykonawca podpisuje z zaznaczeniem ich przyjęcia lub zajęciem stanowiska.</w:t>
      </w:r>
    </w:p>
    <w:p w14:paraId="08109B32"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Wpis projektanta do dziennika budowy obliguje Inspektora nadzoru inwestorskiego do ustosunkowania się. Projektant nie jest jednak stroną umowy i nie ma uprawnień do wydawania poleceń Wykonawcy robót.</w:t>
      </w:r>
    </w:p>
    <w:p w14:paraId="001E9134" w14:textId="77777777" w:rsidR="000A3B2B" w:rsidRDefault="000A3B2B" w:rsidP="000E4A5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6.7.2.</w:t>
      </w:r>
      <w:r>
        <w:rPr>
          <w:rFonts w:ascii="Arial" w:hAnsi="Arial" w:cs="Arial"/>
          <w:b/>
          <w:bCs/>
          <w:color w:val="000000"/>
          <w:sz w:val="18"/>
          <w:szCs w:val="18"/>
          <w:lang w:val="x-none"/>
        </w:rPr>
        <w:tab/>
        <w:t>Książka obmiarów (rejestr obmiarów)</w:t>
      </w:r>
    </w:p>
    <w:p w14:paraId="2FB528AC"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Książka obmiarów stanowi dokument pozwalający na rozliczenie faktycznego postępu każdego z elementów robót. Obmiary wykonanych robót przeprowadza się sukcesywnie w jednostkach przyjętych w SST lub w kosztorysie.</w:t>
      </w:r>
    </w:p>
    <w:p w14:paraId="53E60B7A" w14:textId="77777777" w:rsidR="000A3B2B" w:rsidRDefault="000A3B2B" w:rsidP="000E4A5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6.7.3.</w:t>
      </w:r>
      <w:r>
        <w:rPr>
          <w:rFonts w:ascii="Arial" w:hAnsi="Arial" w:cs="Arial"/>
          <w:b/>
          <w:bCs/>
          <w:color w:val="000000"/>
          <w:sz w:val="18"/>
          <w:szCs w:val="18"/>
          <w:lang w:val="x-none"/>
        </w:rPr>
        <w:tab/>
        <w:t>Dokumenty laboratoryjne</w:t>
      </w:r>
    </w:p>
    <w:p w14:paraId="3B532A00"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Dzienniki laboratoryjne, dokumenty świadczące o dopuszczeniu użytych materiałów i wyrobów budowlanych do obrotu lub udostępnieniu na rynku krajowym bądź do jednostkowego zastosowania, zgodnie z właściwymi przepisami, orzeczenia o jakości materiałów, recepty robocze i kontrolne wyniki badań Wykonawcy będą gromadzone w formie uzgodnionej w programie zapewnienia jakości. Dokumenty te stanowią załączniki do odbioru robót. Winny być udostępnione na każde życzenie inspektora nadzoru inwestorskiego.</w:t>
      </w:r>
    </w:p>
    <w:p w14:paraId="007F244F" w14:textId="77777777" w:rsidR="000A3B2B" w:rsidRDefault="000A3B2B" w:rsidP="000E4A5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6.7.4.</w:t>
      </w:r>
      <w:r>
        <w:rPr>
          <w:rFonts w:ascii="Arial" w:hAnsi="Arial" w:cs="Arial"/>
          <w:b/>
          <w:bCs/>
          <w:color w:val="000000"/>
          <w:sz w:val="18"/>
          <w:szCs w:val="18"/>
          <w:lang w:val="x-none"/>
        </w:rPr>
        <w:tab/>
        <w:t>Pozostałe dokumenty budowy</w:t>
      </w:r>
    </w:p>
    <w:p w14:paraId="28A0AA2A"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Do dokumentów budowy zalicza się, oprócz wymienionych w punktach 6.8.1.-6.8.3., następujące dokumenty:</w:t>
      </w:r>
    </w:p>
    <w:p w14:paraId="36ACE154"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a)</w:t>
      </w:r>
      <w:r>
        <w:rPr>
          <w:rFonts w:ascii="Arial" w:hAnsi="Arial" w:cs="Arial"/>
          <w:color w:val="000000"/>
          <w:sz w:val="18"/>
          <w:szCs w:val="18"/>
          <w:lang w:val="x-none"/>
        </w:rPr>
        <w:tab/>
        <w:t xml:space="preserve">pozwolenie na budowę, </w:t>
      </w:r>
    </w:p>
    <w:p w14:paraId="214D3137"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b)</w:t>
      </w:r>
      <w:r>
        <w:rPr>
          <w:rFonts w:ascii="Arial" w:hAnsi="Arial" w:cs="Arial"/>
          <w:color w:val="000000"/>
          <w:sz w:val="18"/>
          <w:szCs w:val="18"/>
          <w:lang w:val="x-none"/>
        </w:rPr>
        <w:tab/>
        <w:t>protokoły przekazania terenu budowy,</w:t>
      </w:r>
    </w:p>
    <w:p w14:paraId="2965D71C"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c)</w:t>
      </w:r>
      <w:r>
        <w:rPr>
          <w:rFonts w:ascii="Arial" w:hAnsi="Arial" w:cs="Arial"/>
          <w:color w:val="000000"/>
          <w:sz w:val="18"/>
          <w:szCs w:val="18"/>
          <w:lang w:val="x-none"/>
        </w:rPr>
        <w:tab/>
        <w:t>umowy cywilno-prawne z osobami trzecimi,</w:t>
      </w:r>
    </w:p>
    <w:p w14:paraId="42FA15A1"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d)</w:t>
      </w:r>
      <w:r>
        <w:rPr>
          <w:rFonts w:ascii="Arial" w:hAnsi="Arial" w:cs="Arial"/>
          <w:color w:val="000000"/>
          <w:sz w:val="18"/>
          <w:szCs w:val="18"/>
          <w:lang w:val="x-none"/>
        </w:rPr>
        <w:tab/>
        <w:t>protokoły odbioru robót,</w:t>
      </w:r>
    </w:p>
    <w:p w14:paraId="0F1C8DC5"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e)</w:t>
      </w:r>
      <w:r>
        <w:rPr>
          <w:rFonts w:ascii="Arial" w:hAnsi="Arial" w:cs="Arial"/>
          <w:color w:val="000000"/>
          <w:sz w:val="18"/>
          <w:szCs w:val="18"/>
          <w:lang w:val="x-none"/>
        </w:rPr>
        <w:tab/>
        <w:t>protokoły z narad i ustaleń,</w:t>
      </w:r>
    </w:p>
    <w:p w14:paraId="55776E98"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f)</w:t>
      </w:r>
      <w:r>
        <w:rPr>
          <w:rFonts w:ascii="Arial" w:hAnsi="Arial" w:cs="Arial"/>
          <w:color w:val="000000"/>
          <w:sz w:val="18"/>
          <w:szCs w:val="18"/>
          <w:lang w:val="x-none"/>
        </w:rPr>
        <w:tab/>
        <w:t>operaty geodezyjne,</w:t>
      </w:r>
    </w:p>
    <w:p w14:paraId="61DAA79D"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g)</w:t>
      </w:r>
      <w:r>
        <w:rPr>
          <w:rFonts w:ascii="Arial" w:hAnsi="Arial" w:cs="Arial"/>
          <w:color w:val="000000"/>
          <w:sz w:val="18"/>
          <w:szCs w:val="18"/>
          <w:lang w:val="x-none"/>
        </w:rPr>
        <w:tab/>
        <w:t>plan bezpieczeństwa i ochrony zdrowia.</w:t>
      </w:r>
    </w:p>
    <w:p w14:paraId="1C5D2F8B" w14:textId="77777777" w:rsidR="000A3B2B" w:rsidRDefault="000A3B2B" w:rsidP="000E4A5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6.7.5.</w:t>
      </w:r>
      <w:r>
        <w:rPr>
          <w:rFonts w:ascii="Arial" w:hAnsi="Arial" w:cs="Arial"/>
          <w:b/>
          <w:bCs/>
          <w:color w:val="000000"/>
          <w:sz w:val="18"/>
          <w:szCs w:val="18"/>
          <w:lang w:val="x-none"/>
        </w:rPr>
        <w:tab/>
        <w:t>Przechowywanie dokumentów budowy</w:t>
      </w:r>
    </w:p>
    <w:p w14:paraId="3DF5A47D"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Dokumenty budowy będą przechowywane na terenie budowy w miejscu odpowiednio zabezpieczonym.</w:t>
      </w:r>
    </w:p>
    <w:p w14:paraId="13B423B5"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Zaginięcie któregokolwiek z dokumentów budowy spowoduje jego natychmiastowe odtworzenie w formie przewidzianej prawem.</w:t>
      </w:r>
    </w:p>
    <w:p w14:paraId="00CA977F"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Wszelkie dokumenty budowy będą zawsze dostępne dla Inspektora nadzoru inwestorskiego i przedstawiane do wglądu na życzenie Zamawiającego.</w:t>
      </w:r>
    </w:p>
    <w:p w14:paraId="77229436"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p>
    <w:p w14:paraId="049CDADA" w14:textId="77777777" w:rsidR="000A3B2B" w:rsidRDefault="000A3B2B" w:rsidP="000E4A55">
      <w:pPr>
        <w:autoSpaceDE w:val="0"/>
        <w:autoSpaceDN w:val="0"/>
        <w:adjustRightInd w:val="0"/>
        <w:spacing w:before="225" w:after="12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7.</w:t>
      </w:r>
      <w:r>
        <w:rPr>
          <w:rFonts w:ascii="Arial" w:hAnsi="Arial" w:cs="Arial"/>
          <w:b/>
          <w:bCs/>
          <w:color w:val="000000"/>
          <w:sz w:val="18"/>
          <w:szCs w:val="18"/>
          <w:lang w:val="x-none"/>
        </w:rPr>
        <w:tab/>
        <w:t>WYMAGANIA DOTYCZĄCE PRZEDMIARU I OBMIARU ROBÓT</w:t>
      </w:r>
    </w:p>
    <w:p w14:paraId="1084862F" w14:textId="77777777" w:rsidR="000A3B2B" w:rsidRDefault="000A3B2B" w:rsidP="000E4A5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7.1.</w:t>
      </w:r>
      <w:r>
        <w:rPr>
          <w:rFonts w:ascii="Arial" w:hAnsi="Arial" w:cs="Arial"/>
          <w:b/>
          <w:bCs/>
          <w:color w:val="000000"/>
          <w:sz w:val="18"/>
          <w:szCs w:val="18"/>
          <w:lang w:val="x-none"/>
        </w:rPr>
        <w:tab/>
        <w:t>Ogólne zasady obmiaru robót</w:t>
      </w:r>
    </w:p>
    <w:p w14:paraId="471C7A43"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lastRenderedPageBreak/>
        <w:t>a)</w:t>
      </w:r>
      <w:r>
        <w:rPr>
          <w:rFonts w:ascii="Arial" w:hAnsi="Arial" w:cs="Arial"/>
          <w:color w:val="000000"/>
          <w:sz w:val="18"/>
          <w:szCs w:val="18"/>
          <w:lang w:val="x-none"/>
        </w:rPr>
        <w:tab/>
        <w:t>Obmiar robót będzie określać faktyczny zakres robót wykonywanych, zgodnie z dokumentacją projektową i SST, w jednostkach ustalonych przez Zamawiającego w dokumentach umownych (SST) i przyjętych odpowiednio w kosztorysie.</w:t>
      </w:r>
    </w:p>
    <w:p w14:paraId="2A8B373B"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b)</w:t>
      </w:r>
      <w:r>
        <w:rPr>
          <w:rFonts w:ascii="Arial" w:hAnsi="Arial" w:cs="Arial"/>
          <w:color w:val="000000"/>
          <w:sz w:val="18"/>
          <w:szCs w:val="18"/>
          <w:lang w:val="x-none"/>
        </w:rPr>
        <w:tab/>
        <w:t>Obmiaru robót dokonuje Wykonawca. Wyniki obmiaru będą wpisane do książki obmiarów (rejestru obmiarów).</w:t>
      </w:r>
    </w:p>
    <w:p w14:paraId="39D29293"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c)</w:t>
      </w:r>
      <w:r>
        <w:rPr>
          <w:rFonts w:ascii="Arial" w:hAnsi="Arial" w:cs="Arial"/>
          <w:color w:val="000000"/>
          <w:sz w:val="18"/>
          <w:szCs w:val="18"/>
          <w:lang w:val="x-none"/>
        </w:rPr>
        <w:tab/>
        <w:t>Jakikolwiek błąd lub przeoczenie (opuszczenie) w ilości robót podanych w kosztorysie ofertowym lub gdzie indziej w SST nie zwalnia Wykonawcy od obowiązku ukończenia wszystkich robót. Błędne dane zostaną poprawione wg ustaleń Inspektora nadzoru inwestorskiego na piśmie.</w:t>
      </w:r>
    </w:p>
    <w:p w14:paraId="5E4DD775"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d)</w:t>
      </w:r>
      <w:r>
        <w:rPr>
          <w:rFonts w:ascii="Arial" w:hAnsi="Arial" w:cs="Arial"/>
          <w:color w:val="000000"/>
          <w:sz w:val="18"/>
          <w:szCs w:val="18"/>
          <w:lang w:val="x-none"/>
        </w:rPr>
        <w:tab/>
        <w:t>Obmiar wykonanych robót będzie przeprowadzony z częstotliwością wymaganą do celu miesięcznej płatności na rzecz Wykonawcy lub w innym czasie określonym w umowie.</w:t>
      </w:r>
    </w:p>
    <w:p w14:paraId="6B4F9D56"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p>
    <w:p w14:paraId="6853D36B" w14:textId="77777777" w:rsidR="000A3B2B" w:rsidRDefault="000A3B2B" w:rsidP="000E4A5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7.2.</w:t>
      </w:r>
      <w:r>
        <w:rPr>
          <w:rFonts w:ascii="Arial" w:hAnsi="Arial" w:cs="Arial"/>
          <w:b/>
          <w:bCs/>
          <w:color w:val="000000"/>
          <w:sz w:val="18"/>
          <w:szCs w:val="18"/>
          <w:lang w:val="x-none"/>
        </w:rPr>
        <w:tab/>
        <w:t>Zasady określania ilości robót i materiałów</w:t>
      </w:r>
    </w:p>
    <w:p w14:paraId="72E28E5A"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a)</w:t>
      </w:r>
      <w:r>
        <w:rPr>
          <w:rFonts w:ascii="Arial" w:hAnsi="Arial" w:cs="Arial"/>
          <w:color w:val="000000"/>
          <w:sz w:val="18"/>
          <w:szCs w:val="18"/>
          <w:lang w:val="x-none"/>
        </w:rPr>
        <w:tab/>
        <w:t>Zasady określania ilości robót podane są w odpowiednich specyfikacjach technicznych i KNR-ach, KNNR-ach oraz normach zakładowych.</w:t>
      </w:r>
    </w:p>
    <w:p w14:paraId="787C14C5"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b)</w:t>
      </w:r>
      <w:r>
        <w:rPr>
          <w:rFonts w:ascii="Arial" w:hAnsi="Arial" w:cs="Arial"/>
          <w:color w:val="000000"/>
          <w:sz w:val="18"/>
          <w:szCs w:val="18"/>
          <w:lang w:val="x-none"/>
        </w:rPr>
        <w:tab/>
        <w:t>Jednostki obmiaru powinny być zgodne z jednostkami określonymi w dokumentacji projektowej i kosztorysowej.</w:t>
      </w:r>
    </w:p>
    <w:p w14:paraId="4B35AFFE"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p>
    <w:p w14:paraId="65AD88CD" w14:textId="77777777" w:rsidR="000A3B2B" w:rsidRDefault="000A3B2B" w:rsidP="000E4A5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7.3.</w:t>
      </w:r>
      <w:r>
        <w:rPr>
          <w:rFonts w:ascii="Arial" w:hAnsi="Arial" w:cs="Arial"/>
          <w:b/>
          <w:bCs/>
          <w:color w:val="000000"/>
          <w:sz w:val="18"/>
          <w:szCs w:val="18"/>
          <w:lang w:val="x-none"/>
        </w:rPr>
        <w:tab/>
        <w:t>Urządzenia i sprzęt pomiarowy</w:t>
      </w:r>
    </w:p>
    <w:p w14:paraId="4D65FF08"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a)</w:t>
      </w:r>
      <w:r>
        <w:rPr>
          <w:rFonts w:ascii="Arial" w:hAnsi="Arial" w:cs="Arial"/>
          <w:color w:val="000000"/>
          <w:sz w:val="18"/>
          <w:szCs w:val="18"/>
          <w:lang w:val="x-none"/>
        </w:rPr>
        <w:tab/>
        <w:t>Do pomiaru używane będą tylko sprawne narzędzia pomiarowe, posiadające czytelną skalę, jednoznacznie określającą wykonany pomiar;</w:t>
      </w:r>
    </w:p>
    <w:p w14:paraId="5CF5B896"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b)</w:t>
      </w:r>
      <w:r>
        <w:rPr>
          <w:rFonts w:ascii="Arial" w:hAnsi="Arial" w:cs="Arial"/>
          <w:color w:val="000000"/>
          <w:sz w:val="18"/>
          <w:szCs w:val="18"/>
          <w:lang w:val="x-none"/>
        </w:rPr>
        <w:tab/>
        <w:t>Wszystkie urządzenia i sprzęt pomiarowy, stosowany w czasie obmiaru robót powinny być zaakceptowane przez inspektora nadzoru inwestorskiego;</w:t>
      </w:r>
    </w:p>
    <w:p w14:paraId="59B734CC"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c)</w:t>
      </w:r>
      <w:r>
        <w:rPr>
          <w:rFonts w:ascii="Arial" w:hAnsi="Arial" w:cs="Arial"/>
          <w:color w:val="000000"/>
          <w:sz w:val="18"/>
          <w:szCs w:val="18"/>
          <w:lang w:val="x-none"/>
        </w:rPr>
        <w:tab/>
        <w:t>Urządzenia i sprzęt pomiarowy zostaną dostarczone przez Wykonawcę. Jeżeli urządzenia te lub sprzęt wymagają badań atestujących, to Wykonawca będzie posiadał ważne świadectwa legalizacji;</w:t>
      </w:r>
    </w:p>
    <w:p w14:paraId="64715BEF"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d)</w:t>
      </w:r>
      <w:r>
        <w:rPr>
          <w:rFonts w:ascii="Arial" w:hAnsi="Arial" w:cs="Arial"/>
          <w:color w:val="000000"/>
          <w:sz w:val="18"/>
          <w:szCs w:val="18"/>
          <w:lang w:val="x-none"/>
        </w:rPr>
        <w:tab/>
        <w:t>Wszystkie urządzenia pomiarowe będą przez Wykonawcę utrzymywane w dobrym stanie, w całym okresie trwania robót.</w:t>
      </w:r>
    </w:p>
    <w:p w14:paraId="6BE0DA41"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p>
    <w:p w14:paraId="2C21E82D" w14:textId="77777777" w:rsidR="000A3B2B" w:rsidRDefault="000A3B2B" w:rsidP="000E4A5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7.4.</w:t>
      </w:r>
      <w:r>
        <w:rPr>
          <w:rFonts w:ascii="Arial" w:hAnsi="Arial" w:cs="Arial"/>
          <w:b/>
          <w:bCs/>
          <w:color w:val="000000"/>
          <w:sz w:val="18"/>
          <w:szCs w:val="18"/>
          <w:lang w:val="x-none"/>
        </w:rPr>
        <w:tab/>
        <w:t>Czas i sposób przeprowadzania obmiaru</w:t>
      </w:r>
    </w:p>
    <w:p w14:paraId="2BD4C3DE"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a)</w:t>
      </w:r>
      <w:r>
        <w:rPr>
          <w:rFonts w:ascii="Arial" w:hAnsi="Arial" w:cs="Arial"/>
          <w:color w:val="000000"/>
          <w:sz w:val="18"/>
          <w:szCs w:val="18"/>
          <w:lang w:val="x-none"/>
        </w:rPr>
        <w:tab/>
        <w:t>Obmiar robót zanikających przeprowadza się w czasie ich wykonywania;</w:t>
      </w:r>
    </w:p>
    <w:p w14:paraId="1C6AD3FF"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b)</w:t>
      </w:r>
      <w:r>
        <w:rPr>
          <w:rFonts w:ascii="Arial" w:hAnsi="Arial" w:cs="Arial"/>
          <w:color w:val="000000"/>
          <w:sz w:val="18"/>
          <w:szCs w:val="18"/>
          <w:lang w:val="x-none"/>
        </w:rPr>
        <w:tab/>
        <w:t>Obmiar robót podlegających zakryciu przeprowadza się przed ich zakryciem;</w:t>
      </w:r>
    </w:p>
    <w:p w14:paraId="4953A7E4"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c)</w:t>
      </w:r>
      <w:r>
        <w:rPr>
          <w:rFonts w:ascii="Arial" w:hAnsi="Arial" w:cs="Arial"/>
          <w:color w:val="000000"/>
          <w:sz w:val="18"/>
          <w:szCs w:val="18"/>
          <w:lang w:val="x-none"/>
        </w:rPr>
        <w:tab/>
        <w:t>Obmiaru robót wykonanych dokonuje się również przy wystąpieniu dłuższej przerwy w robotach;</w:t>
      </w:r>
    </w:p>
    <w:p w14:paraId="295CAFE5"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d)</w:t>
      </w:r>
      <w:r>
        <w:rPr>
          <w:rFonts w:ascii="Arial" w:hAnsi="Arial" w:cs="Arial"/>
          <w:color w:val="000000"/>
          <w:sz w:val="18"/>
          <w:szCs w:val="18"/>
          <w:lang w:val="x-none"/>
        </w:rPr>
        <w:tab/>
        <w:t>Roboty pomiarowe do obmiaru oraz nieodzowne obliczenia wykonywane będą w sposób zrozumiały i jednoznaczny;</w:t>
      </w:r>
    </w:p>
    <w:p w14:paraId="63D4A467"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e)</w:t>
      </w:r>
      <w:r>
        <w:rPr>
          <w:rFonts w:ascii="Arial" w:hAnsi="Arial" w:cs="Arial"/>
          <w:color w:val="000000"/>
          <w:sz w:val="18"/>
          <w:szCs w:val="18"/>
          <w:lang w:val="x-none"/>
        </w:rPr>
        <w:tab/>
        <w:t>Obmiary elementów o skomplikowanej powierzchni lub bryle będą uzupełnione odpowiednimi szkicami umieszczonymi w karcie książki obmiarów (rejestrze obmiarów). W razie braku miejsca szkice mogą być dołączone w formie oddzielnego załącznika do książki obmiarów, którego wzór zostanie uzgodniony z inspektorem nadzoru inwestorskiego.</w:t>
      </w:r>
    </w:p>
    <w:p w14:paraId="6FB3F6CE"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p>
    <w:p w14:paraId="6610328C" w14:textId="77777777" w:rsidR="000A3B2B" w:rsidRDefault="000A3B2B" w:rsidP="000E4A55">
      <w:pPr>
        <w:autoSpaceDE w:val="0"/>
        <w:autoSpaceDN w:val="0"/>
        <w:adjustRightInd w:val="0"/>
        <w:spacing w:before="225" w:after="12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8</w:t>
      </w:r>
      <w:r>
        <w:rPr>
          <w:rFonts w:ascii="Arial" w:hAnsi="Arial" w:cs="Arial"/>
          <w:b/>
          <w:bCs/>
          <w:color w:val="000000"/>
          <w:sz w:val="18"/>
          <w:szCs w:val="18"/>
          <w:lang w:val="x-none"/>
        </w:rPr>
        <w:tab/>
        <w:t>SPOSÓB ODBIORU ROBÓT</w:t>
      </w:r>
    </w:p>
    <w:p w14:paraId="16700C7D" w14:textId="77777777" w:rsidR="000A3B2B" w:rsidRDefault="000A3B2B" w:rsidP="000E4A5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8.1.</w:t>
      </w:r>
      <w:r>
        <w:rPr>
          <w:rFonts w:ascii="Arial" w:hAnsi="Arial" w:cs="Arial"/>
          <w:b/>
          <w:bCs/>
          <w:color w:val="000000"/>
          <w:sz w:val="18"/>
          <w:szCs w:val="18"/>
          <w:lang w:val="x-none"/>
        </w:rPr>
        <w:tab/>
        <w:t>Rodzaje odbiorów robót</w:t>
      </w:r>
    </w:p>
    <w:p w14:paraId="639BD2E7"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 zależności od ustaleń odpowiednich SST, roboty podlegają następującym odbiorom:</w:t>
      </w:r>
    </w:p>
    <w:p w14:paraId="6BF6CA4C" w14:textId="77777777" w:rsidR="000A3B2B" w:rsidRDefault="000A3B2B" w:rsidP="000E4A55">
      <w:pPr>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t>a)</w:t>
      </w:r>
      <w:r>
        <w:rPr>
          <w:rFonts w:ascii="Arial" w:hAnsi="Arial" w:cs="Arial"/>
          <w:color w:val="000000"/>
          <w:sz w:val="18"/>
          <w:szCs w:val="18"/>
          <w:lang w:val="x-none"/>
        </w:rPr>
        <w:tab/>
        <w:t>odbiorowi robót zanikających i ulegających zakryciu,</w:t>
      </w:r>
    </w:p>
    <w:p w14:paraId="75BBB267" w14:textId="77777777" w:rsidR="000A3B2B" w:rsidRDefault="000A3B2B" w:rsidP="000E4A55">
      <w:pPr>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t>b)</w:t>
      </w:r>
      <w:r>
        <w:rPr>
          <w:rFonts w:ascii="Arial" w:hAnsi="Arial" w:cs="Arial"/>
          <w:color w:val="000000"/>
          <w:sz w:val="18"/>
          <w:szCs w:val="18"/>
          <w:lang w:val="x-none"/>
        </w:rPr>
        <w:tab/>
        <w:t>odbiorowi częściowemu,</w:t>
      </w:r>
    </w:p>
    <w:p w14:paraId="3CB80FBB" w14:textId="77777777" w:rsidR="000A3B2B" w:rsidRDefault="000A3B2B" w:rsidP="000E4A55">
      <w:pPr>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t>c)</w:t>
      </w:r>
      <w:r>
        <w:rPr>
          <w:rFonts w:ascii="Arial" w:hAnsi="Arial" w:cs="Arial"/>
          <w:color w:val="000000"/>
          <w:sz w:val="18"/>
          <w:szCs w:val="18"/>
          <w:lang w:val="x-none"/>
        </w:rPr>
        <w:tab/>
        <w:t>odbiorowi ostatecznemu (końcowemu),</w:t>
      </w:r>
    </w:p>
    <w:p w14:paraId="7C404B93" w14:textId="77777777" w:rsidR="000A3B2B" w:rsidRDefault="000A3B2B" w:rsidP="000E4A55">
      <w:pPr>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t>d)</w:t>
      </w:r>
      <w:r>
        <w:rPr>
          <w:rFonts w:ascii="Arial" w:hAnsi="Arial" w:cs="Arial"/>
          <w:color w:val="000000"/>
          <w:sz w:val="18"/>
          <w:szCs w:val="18"/>
          <w:lang w:val="x-none"/>
        </w:rPr>
        <w:tab/>
        <w:t>odbiorowi po upływie okresu rękojmi,</w:t>
      </w:r>
    </w:p>
    <w:p w14:paraId="49A05404" w14:textId="77777777" w:rsidR="000A3B2B" w:rsidRDefault="000A3B2B" w:rsidP="000E4A55">
      <w:pPr>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t>e)</w:t>
      </w:r>
      <w:r>
        <w:rPr>
          <w:rFonts w:ascii="Arial" w:hAnsi="Arial" w:cs="Arial"/>
          <w:color w:val="000000"/>
          <w:sz w:val="18"/>
          <w:szCs w:val="18"/>
          <w:lang w:val="x-none"/>
        </w:rPr>
        <w:tab/>
        <w:t>odbiorowi po upływie okresu gwarancji.</w:t>
      </w:r>
    </w:p>
    <w:p w14:paraId="26C402FC"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p>
    <w:p w14:paraId="48B335BE" w14:textId="77777777" w:rsidR="000A3B2B" w:rsidRDefault="000A3B2B" w:rsidP="000E4A5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8.2.</w:t>
      </w:r>
      <w:r>
        <w:rPr>
          <w:rFonts w:ascii="Arial" w:hAnsi="Arial" w:cs="Arial"/>
          <w:b/>
          <w:bCs/>
          <w:color w:val="000000"/>
          <w:sz w:val="18"/>
          <w:szCs w:val="18"/>
          <w:lang w:val="x-none"/>
        </w:rPr>
        <w:tab/>
        <w:t>Odbiór robót zanikających i ulegających zakryciu</w:t>
      </w:r>
    </w:p>
    <w:p w14:paraId="1E219CB5"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Odbiór robót zanikających i ulegających zakryciu polega na finalnej ocenie jakości wykonanych robót, które w dalszym procesie realizacji ulegną zakryciu.</w:t>
      </w:r>
    </w:p>
    <w:p w14:paraId="0A8587B3"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Odbiór robót zanikających i ulegających zakryciu będzie dokonany w czasie umożliwiającym wykonanie ewentualnych korekt i poprawek bez hamowania ogólnego postępu robót. Odbioru tego dokonuje inspektor nadzoru inwestorskiego.</w:t>
      </w:r>
    </w:p>
    <w:p w14:paraId="3FB39D7E"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Gotowość danej części robót do odbioru zgłasza wykonawca wpisem do dziennika budowy i jednoczesnym powiadomieniem inspektora nadzoru inwestorskiego. Odbiór będzie przeprowadzony niezwłocznie, nie później jednak niż w ciągu 3 dni od daty zgłoszenia wpisem do dziennika budowy i powiadomienia o tym fakcie inspektora nadzoru inwestorskiego.</w:t>
      </w:r>
    </w:p>
    <w:p w14:paraId="68ADBED7"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lastRenderedPageBreak/>
        <w:t>Jakość i ilość robót ulegających zakryciu ocenia inspektor nadzoru inwestorskiego na podstawie dokumentów zawierających komplet wyników badań laboratoryjnych i w oparciu o przeprowadzone pomiary, w konfrontacji z dokumentacją projektową, SST i uprzednimi ustaleniami.</w:t>
      </w:r>
    </w:p>
    <w:p w14:paraId="6C7F36AA"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p>
    <w:p w14:paraId="6760FB8F" w14:textId="77777777" w:rsidR="000A3B2B" w:rsidRDefault="000A3B2B" w:rsidP="000E4A5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8.3.</w:t>
      </w:r>
      <w:r>
        <w:rPr>
          <w:rFonts w:ascii="Arial" w:hAnsi="Arial" w:cs="Arial"/>
          <w:b/>
          <w:bCs/>
          <w:color w:val="000000"/>
          <w:sz w:val="18"/>
          <w:szCs w:val="18"/>
          <w:lang w:val="x-none"/>
        </w:rPr>
        <w:tab/>
        <w:t>Odbiór częściowy</w:t>
      </w:r>
    </w:p>
    <w:p w14:paraId="0E9F9B0F"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Odbiór częściowy polega na ocenie ilości i jakości wykonanych części robót. Odbioru częściowego robót dokonuje się wg zasad jak przy odbiorze ostatecznym robót. Odbioru robót dokonuje komisja w obecności inspektora nadzoru inwestorskiego i Wykonawcy.</w:t>
      </w:r>
    </w:p>
    <w:p w14:paraId="1C0C3677"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Komisja jest powoływana przez Zamawiającego.</w:t>
      </w:r>
    </w:p>
    <w:p w14:paraId="1B92268F"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p>
    <w:p w14:paraId="50DDFFAF" w14:textId="77777777" w:rsidR="000A3B2B" w:rsidRDefault="000A3B2B" w:rsidP="000E4A5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8.4.</w:t>
      </w:r>
      <w:r>
        <w:rPr>
          <w:rFonts w:ascii="Arial" w:hAnsi="Arial" w:cs="Arial"/>
          <w:b/>
          <w:bCs/>
          <w:color w:val="000000"/>
          <w:sz w:val="18"/>
          <w:szCs w:val="18"/>
          <w:lang w:val="x-none"/>
        </w:rPr>
        <w:tab/>
        <w:t>Odbiór robót ostateczny (końcowy)</w:t>
      </w:r>
    </w:p>
    <w:p w14:paraId="6FA6BE34" w14:textId="77777777" w:rsidR="000A3B2B" w:rsidRDefault="000A3B2B" w:rsidP="000E4A5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8.4.1.</w:t>
      </w:r>
      <w:r>
        <w:rPr>
          <w:rFonts w:ascii="Arial" w:hAnsi="Arial" w:cs="Arial"/>
          <w:b/>
          <w:bCs/>
          <w:color w:val="000000"/>
          <w:sz w:val="18"/>
          <w:szCs w:val="18"/>
          <w:lang w:val="x-none"/>
        </w:rPr>
        <w:tab/>
        <w:t>Zasady odbioru ostatecznego (końcowego) robót</w:t>
      </w:r>
    </w:p>
    <w:p w14:paraId="6ADBC4BA"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Odbiór ostateczny polega na finalnej ocenie rzeczywistego wykonania robót w odniesieniu do zakresu oraz jakości wykonanych robót.</w:t>
      </w:r>
    </w:p>
    <w:p w14:paraId="0C170CE2"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Całkowite zakończenie robót oraz gotowość do odbioru ostatecznego będzie stwierdzona przez Wykonawcę wpisem do dziennika budowy.</w:t>
      </w:r>
    </w:p>
    <w:p w14:paraId="6B55F092"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Odbiór ostateczny robót nastąpi w terminie ustalonym w dokumentach umowy, licząc od dnia potwierdzenia przez inspektora nadzoru inwestorskiego zakończenia robót i przyjęcia dokumentów, o których mowa w punkcie 8.4.2.</w:t>
      </w:r>
    </w:p>
    <w:p w14:paraId="5AFB1343"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Odbioru ostatecznego robót dokona komisja wyznaczona przez Zamawiającego w obecności Inspektora nadzoru inwestorskiego i Wykonawcy. Komisja odbierająca roboty dokona ich oceny jakościowej na podstawie przedłożonych dokumentów, wyników badań i pomiarów, ocenie wizualnej oraz zgodności wykonania robót z dokumentacją projektową i SST.</w:t>
      </w:r>
    </w:p>
    <w:p w14:paraId="6D1EE5DA"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 toku odbioru ostatecznego robót komisja zapozna się z realizacją ustaleń przyjętych w trakcie odbiorów robót zanikających i ulegających zakryciu oraz odbiorów częściowych, zwłaszcza w zakresie wykonania robót uzupełniających i robót poprawkowych.</w:t>
      </w:r>
    </w:p>
    <w:p w14:paraId="5564C758"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 przypadkach niewykonania wyznaczonych robót poprawkowych lub robót uzupełniających w poszczególnych elementach konstrukcyjnych i wykończeniowych, komisja przerwie swoje czynności i ustali nowy termin odbioru ostatecznego.</w:t>
      </w:r>
    </w:p>
    <w:p w14:paraId="16404B38"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 przypadku stwierdzenia przez komisję, że jakość wykonywanych robót w poszczególnych asortymentach nieznacznie odbiega od wymaganej dokumentacją projektową i SST z uwzględnieniem tolerancji co nie ma większego wpływu na cechy eksploatacyjne obiektu, komisja oceni pomniejszoną wartość wykonywanych robót w stosunku do wymagań przyjętych w dokumentach umowy.</w:t>
      </w:r>
    </w:p>
    <w:p w14:paraId="3B926B6D"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Wszystkie zarządzone przez komisję roboty poprawkowe lub uzupełniające będą zestawione wg wzoru ustalonego przez Zamawiającego.</w:t>
      </w:r>
    </w:p>
    <w:p w14:paraId="7B300465"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Termin wykonania robót poprawkowych i robót uzupełniających wyznaczy komisja i stwierdzi ich wykonanie.</w:t>
      </w:r>
    </w:p>
    <w:p w14:paraId="7C2581B0" w14:textId="77777777" w:rsidR="000A3B2B" w:rsidRDefault="000A3B2B" w:rsidP="000E4A5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8.4.2.</w:t>
      </w:r>
      <w:r>
        <w:rPr>
          <w:rFonts w:ascii="Arial" w:hAnsi="Arial" w:cs="Arial"/>
          <w:b/>
          <w:bCs/>
          <w:color w:val="000000"/>
          <w:sz w:val="18"/>
          <w:szCs w:val="18"/>
          <w:lang w:val="x-none"/>
        </w:rPr>
        <w:tab/>
        <w:t>Dokumenty do odbioru ostatecznego (końcowego)</w:t>
      </w:r>
    </w:p>
    <w:p w14:paraId="45ED2576"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Podstawowym dokumentem jest protokół odbioru ostatecznego robót, sporządzony wg wzoru ustalonego przez Zamawiającego.</w:t>
      </w:r>
    </w:p>
    <w:p w14:paraId="35C308B1" w14:textId="77777777" w:rsidR="000A3B2B" w:rsidRDefault="000A3B2B" w:rsidP="000E4A55">
      <w:pPr>
        <w:autoSpaceDE w:val="0"/>
        <w:autoSpaceDN w:val="0"/>
        <w:adjustRightInd w:val="0"/>
        <w:spacing w:after="30" w:line="240" w:lineRule="auto"/>
        <w:ind w:firstLine="285"/>
        <w:jc w:val="both"/>
        <w:rPr>
          <w:rFonts w:ascii="Arial" w:hAnsi="Arial" w:cs="Arial"/>
          <w:b/>
          <w:bCs/>
          <w:color w:val="000000"/>
          <w:sz w:val="18"/>
          <w:szCs w:val="18"/>
          <w:lang w:val="x-none"/>
        </w:rPr>
      </w:pPr>
      <w:r>
        <w:rPr>
          <w:rFonts w:ascii="Arial" w:hAnsi="Arial" w:cs="Arial"/>
          <w:b/>
          <w:bCs/>
          <w:color w:val="000000"/>
          <w:sz w:val="18"/>
          <w:szCs w:val="18"/>
          <w:lang w:val="x-none"/>
        </w:rPr>
        <w:t>Do odbioru ostatecznego Wykonawca jest zobowiązany przygotować następujące dokumenty:</w:t>
      </w:r>
    </w:p>
    <w:p w14:paraId="16314C90"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1.</w:t>
      </w:r>
      <w:r>
        <w:rPr>
          <w:rFonts w:ascii="Arial" w:hAnsi="Arial" w:cs="Arial"/>
          <w:color w:val="000000"/>
          <w:sz w:val="18"/>
          <w:szCs w:val="18"/>
          <w:lang w:val="x-none"/>
        </w:rPr>
        <w:tab/>
        <w:t>Dokumentację powykonawczą tj. dokumentację budowy z naniesionymi zmianami dokonanymi w toku wykonania robót oraz geodezyjnymi pomiarami powykonawczymi;</w:t>
      </w:r>
    </w:p>
    <w:p w14:paraId="7C52F71E"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2.</w:t>
      </w:r>
      <w:r>
        <w:rPr>
          <w:rFonts w:ascii="Arial" w:hAnsi="Arial" w:cs="Arial"/>
          <w:color w:val="000000"/>
          <w:sz w:val="18"/>
          <w:szCs w:val="18"/>
          <w:lang w:val="x-none"/>
        </w:rPr>
        <w:tab/>
        <w:t>Szczegółowe specyfikacje techniczne (podstawowe z dokumentów umowy i ew. uzupełniające lub zamienne);</w:t>
      </w:r>
    </w:p>
    <w:p w14:paraId="15DF2CB1"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3.</w:t>
      </w:r>
      <w:r>
        <w:rPr>
          <w:rFonts w:ascii="Arial" w:hAnsi="Arial" w:cs="Arial"/>
          <w:color w:val="000000"/>
          <w:sz w:val="18"/>
          <w:szCs w:val="18"/>
          <w:lang w:val="x-none"/>
        </w:rPr>
        <w:tab/>
        <w:t>Protokoły odbiorów robót ulegających zakryciu i zanikających;</w:t>
      </w:r>
    </w:p>
    <w:p w14:paraId="2DC24045"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4.</w:t>
      </w:r>
      <w:r>
        <w:rPr>
          <w:rFonts w:ascii="Arial" w:hAnsi="Arial" w:cs="Arial"/>
          <w:color w:val="000000"/>
          <w:sz w:val="18"/>
          <w:szCs w:val="18"/>
          <w:lang w:val="x-none"/>
        </w:rPr>
        <w:tab/>
        <w:t>Protokoły odbiorów częściowych;</w:t>
      </w:r>
    </w:p>
    <w:p w14:paraId="102852DD"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5.</w:t>
      </w:r>
      <w:r>
        <w:rPr>
          <w:rFonts w:ascii="Arial" w:hAnsi="Arial" w:cs="Arial"/>
          <w:color w:val="000000"/>
          <w:sz w:val="18"/>
          <w:szCs w:val="18"/>
          <w:lang w:val="x-none"/>
        </w:rPr>
        <w:tab/>
        <w:t>Recepty i ustalenia technologiczne;</w:t>
      </w:r>
    </w:p>
    <w:p w14:paraId="75FF99CF"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6.</w:t>
      </w:r>
      <w:r>
        <w:rPr>
          <w:rFonts w:ascii="Arial" w:hAnsi="Arial" w:cs="Arial"/>
          <w:color w:val="000000"/>
          <w:sz w:val="18"/>
          <w:szCs w:val="18"/>
          <w:lang w:val="x-none"/>
        </w:rPr>
        <w:tab/>
        <w:t>Dzienniki budowy i książki obmiarów (rejestr obmiaru);</w:t>
      </w:r>
    </w:p>
    <w:p w14:paraId="69BC9CDF"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7.</w:t>
      </w:r>
      <w:r>
        <w:rPr>
          <w:rFonts w:ascii="Arial" w:hAnsi="Arial" w:cs="Arial"/>
          <w:color w:val="000000"/>
          <w:sz w:val="18"/>
          <w:szCs w:val="18"/>
          <w:lang w:val="x-none"/>
        </w:rPr>
        <w:tab/>
        <w:t>Wyniki pomiarów kontrolnych oraz badań i oznaczeń laboratoryjnych, zgodne z SST i programem zapewnienia jakości (PZJ);</w:t>
      </w:r>
    </w:p>
    <w:p w14:paraId="03DB0ED3"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8.</w:t>
      </w:r>
      <w:r>
        <w:rPr>
          <w:rFonts w:ascii="Arial" w:hAnsi="Arial" w:cs="Arial"/>
          <w:color w:val="000000"/>
          <w:sz w:val="18"/>
          <w:szCs w:val="18"/>
          <w:lang w:val="x-none"/>
        </w:rPr>
        <w:tab/>
        <w:t>Dokumenty świadczące o dopuszczeniu użytych materiałów i wyrobów budowlanych do obrotu lub udostępnieniu na rynku krajowym bądź do jednostkowego zastosowania, zgodnie z właściwymi przepisami;</w:t>
      </w:r>
    </w:p>
    <w:p w14:paraId="05D47924"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9.</w:t>
      </w:r>
      <w:r>
        <w:rPr>
          <w:rFonts w:ascii="Arial" w:hAnsi="Arial" w:cs="Arial"/>
          <w:color w:val="000000"/>
          <w:sz w:val="18"/>
          <w:szCs w:val="18"/>
          <w:lang w:val="x-none"/>
        </w:rPr>
        <w:tab/>
        <w:t>Karty techniczne lub instrukcje producentów odnoszące się do zastosowanych materiałów (wyrobów);</w:t>
      </w:r>
    </w:p>
    <w:p w14:paraId="43380E4E"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10.</w:t>
      </w:r>
      <w:r>
        <w:rPr>
          <w:rFonts w:ascii="Arial" w:hAnsi="Arial" w:cs="Arial"/>
          <w:color w:val="000000"/>
          <w:sz w:val="18"/>
          <w:szCs w:val="18"/>
          <w:lang w:val="x-none"/>
        </w:rPr>
        <w:tab/>
        <w:t>Wykaz wbudowanych urządzeń i przekazywanych instrukcji obsługi;</w:t>
      </w:r>
    </w:p>
    <w:p w14:paraId="588990F7"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11.</w:t>
      </w:r>
      <w:r>
        <w:rPr>
          <w:rFonts w:ascii="Arial" w:hAnsi="Arial" w:cs="Arial"/>
          <w:color w:val="000000"/>
          <w:sz w:val="18"/>
          <w:szCs w:val="18"/>
          <w:lang w:val="x-none"/>
        </w:rPr>
        <w:tab/>
        <w:t>Wykaz przekazywanych kluczy;</w:t>
      </w:r>
    </w:p>
    <w:p w14:paraId="308B2A46"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12.</w:t>
      </w:r>
      <w:r>
        <w:rPr>
          <w:rFonts w:ascii="Arial" w:hAnsi="Arial" w:cs="Arial"/>
          <w:color w:val="000000"/>
          <w:sz w:val="18"/>
          <w:szCs w:val="18"/>
          <w:lang w:val="x-none"/>
        </w:rPr>
        <w:tab/>
        <w:t>Rysunki (dokumentacje) na wykonanie robót towarzyszących (np. na przełożenie linii telefonicznej, energetycznej, gazowej, oświetlenia itp.) oraz protokoły odbioru i przekazania tych robót właścicielom urządzeń;</w:t>
      </w:r>
    </w:p>
    <w:p w14:paraId="65E19166"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13.</w:t>
      </w:r>
      <w:r>
        <w:rPr>
          <w:rFonts w:ascii="Arial" w:hAnsi="Arial" w:cs="Arial"/>
          <w:color w:val="000000"/>
          <w:sz w:val="18"/>
          <w:szCs w:val="18"/>
          <w:lang w:val="x-none"/>
        </w:rPr>
        <w:tab/>
        <w:t>Geodezyjną inwentaryzację powykonawczą robót i sieci uzbrojenia terenu;</w:t>
      </w:r>
    </w:p>
    <w:p w14:paraId="1993EB52"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14.</w:t>
      </w:r>
      <w:r>
        <w:rPr>
          <w:rFonts w:ascii="Arial" w:hAnsi="Arial" w:cs="Arial"/>
          <w:color w:val="000000"/>
          <w:sz w:val="18"/>
          <w:szCs w:val="18"/>
          <w:lang w:val="x-none"/>
        </w:rPr>
        <w:tab/>
        <w:t>Kopię mapy zasadniczej powstałej w wyniku geodezyjnej inwentaryzacji powykonawczej;</w:t>
      </w:r>
    </w:p>
    <w:p w14:paraId="5AB76687"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lastRenderedPageBreak/>
        <w:t>15.</w:t>
      </w:r>
      <w:r>
        <w:rPr>
          <w:rFonts w:ascii="Arial" w:hAnsi="Arial" w:cs="Arial"/>
          <w:color w:val="000000"/>
          <w:sz w:val="18"/>
          <w:szCs w:val="18"/>
          <w:lang w:val="x-none"/>
        </w:rPr>
        <w:tab/>
        <w:t>Oświadczenia osób funkcyjnych na budowie wymagane Prawem Budowlanym;</w:t>
      </w:r>
    </w:p>
    <w:p w14:paraId="48E53CA8"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16.</w:t>
      </w:r>
      <w:r>
        <w:rPr>
          <w:rFonts w:ascii="Arial" w:hAnsi="Arial" w:cs="Arial"/>
          <w:color w:val="000000"/>
          <w:sz w:val="18"/>
          <w:szCs w:val="18"/>
          <w:lang w:val="x-none"/>
        </w:rPr>
        <w:tab/>
        <w:t>Inne dokumenty wymagane przez Zamawiającego.</w:t>
      </w:r>
    </w:p>
    <w:p w14:paraId="1D54DD4A"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 przypadku, gdy wg komisji, roboty pod względem przygotowania dokumentacyjnego nie będą gotowe do odbioru ostatecznego, komisja w porozumieniu z Wykonawcą wyznaczy ponowny termin odbioru ostatecznego robót.</w:t>
      </w:r>
    </w:p>
    <w:p w14:paraId="5BBA14B5"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Z czynności odbioru sporządza się protokół podpisany przez przedstawicieli Zamawiającego i Wykonawcy. Protokół powinien zawierać:</w:t>
      </w:r>
    </w:p>
    <w:p w14:paraId="0CB93FC5"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ustalenia podjęte w trakcie prac komisji,</w:t>
      </w:r>
    </w:p>
    <w:p w14:paraId="39D01E24"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ocenę wyników badań,</w:t>
      </w:r>
    </w:p>
    <w:p w14:paraId="0021200D"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wykaz wad i usterek ze wskazaniem sposobu ich usunięcia,</w:t>
      </w:r>
    </w:p>
    <w:p w14:paraId="11D74574"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stwierdzenie zgodności lub niezgodności wykonania robót z zamówieniem.</w:t>
      </w:r>
    </w:p>
    <w:p w14:paraId="0A90257F"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Protokół odbioru końcowego jest podstawą do dokonania rozliczenia końcowego pomiędzy Zamawiającym a Wykonawcą.</w:t>
      </w:r>
    </w:p>
    <w:p w14:paraId="56FB3D60"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p>
    <w:p w14:paraId="7F6E7FC4" w14:textId="77777777" w:rsidR="000A3B2B" w:rsidRDefault="000A3B2B" w:rsidP="000E4A5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8.5.</w:t>
      </w:r>
      <w:r>
        <w:rPr>
          <w:rFonts w:ascii="Arial" w:hAnsi="Arial" w:cs="Arial"/>
          <w:b/>
          <w:bCs/>
          <w:color w:val="000000"/>
          <w:sz w:val="18"/>
          <w:szCs w:val="18"/>
          <w:lang w:val="x-none"/>
        </w:rPr>
        <w:tab/>
        <w:t>Odbiór po upływie okresu rękojmi lub gwarancji</w:t>
      </w:r>
    </w:p>
    <w:p w14:paraId="4D288A33"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Celem odbioru po okresie rękojmi i gwarancji jest ocena stanu wykonanych robót będących przedmiotem zamówienia po użytkowaniu w tym okresie oraz ocena wykonywanych w tym okresie ewentualnych robót poprawkowych, związanych z usuwaniem zgłoszonych wad.</w:t>
      </w:r>
    </w:p>
    <w:p w14:paraId="274A9414"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Odbiór po upływie okresu rękojmi i gwarancji będzie dokonany na podstawie oceny wizualnej obiektu z uwzględnieniem zasad opisanych w punkcie 8.4. „Odbiór ostateczny (końcowy) robót”.</w:t>
      </w:r>
    </w:p>
    <w:p w14:paraId="731F9D07"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Pozytywny wynik odbioru pogwarancyjnego jest podstawą do zwrotu kaucji gwarancyjnej a negatywny do dokonania potrąceń wynikających z obniżonej jakości robót. Przed upływem okresu gwarancyjnego zamawiający powinien zgłosić wykonawcy wszystkie zauważone wady w wykonanych robotach budowlanych.</w:t>
      </w:r>
    </w:p>
    <w:p w14:paraId="1ED8069D"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p>
    <w:p w14:paraId="60826C41" w14:textId="77777777" w:rsidR="000A3B2B" w:rsidRDefault="000A3B2B" w:rsidP="000E4A55">
      <w:pPr>
        <w:autoSpaceDE w:val="0"/>
        <w:autoSpaceDN w:val="0"/>
        <w:adjustRightInd w:val="0"/>
        <w:spacing w:before="225" w:after="12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9.</w:t>
      </w:r>
      <w:r>
        <w:rPr>
          <w:rFonts w:ascii="Arial" w:hAnsi="Arial" w:cs="Arial"/>
          <w:b/>
          <w:bCs/>
          <w:color w:val="000000"/>
          <w:sz w:val="18"/>
          <w:szCs w:val="18"/>
          <w:lang w:val="x-none"/>
        </w:rPr>
        <w:tab/>
        <w:t>PODSTAWA ROZLICZENIA ROBÓT</w:t>
      </w:r>
    </w:p>
    <w:p w14:paraId="067FF4CD" w14:textId="77777777" w:rsidR="000A3B2B" w:rsidRDefault="000A3B2B" w:rsidP="000E4A5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9.1.</w:t>
      </w:r>
      <w:r>
        <w:rPr>
          <w:rFonts w:ascii="Arial" w:hAnsi="Arial" w:cs="Arial"/>
          <w:b/>
          <w:bCs/>
          <w:color w:val="000000"/>
          <w:sz w:val="18"/>
          <w:szCs w:val="18"/>
          <w:lang w:val="x-none"/>
        </w:rPr>
        <w:tab/>
        <w:t>Ustalenia ogólne</w:t>
      </w:r>
    </w:p>
    <w:p w14:paraId="75DF0142" w14:textId="77777777" w:rsidR="000A3B2B" w:rsidRDefault="000A3B2B" w:rsidP="000E4A5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9.1.1.</w:t>
      </w:r>
      <w:r>
        <w:rPr>
          <w:rFonts w:ascii="Arial" w:hAnsi="Arial" w:cs="Arial"/>
          <w:b/>
          <w:bCs/>
          <w:color w:val="000000"/>
          <w:sz w:val="18"/>
          <w:szCs w:val="18"/>
          <w:lang w:val="x-none"/>
        </w:rPr>
        <w:tab/>
        <w:t>Podstawą płatności jest cena jednostkowa skalkulowana przez Wykonawcę za jednostkę obmiarową ustaloną przez Zamawiającego w dokumentach umownych i przyjęta odpowiednio w danej pozycji kosztorysu ofertowego.</w:t>
      </w:r>
    </w:p>
    <w:p w14:paraId="0740484D" w14:textId="77777777" w:rsidR="000A3B2B" w:rsidRDefault="000A3B2B" w:rsidP="000E4A5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9.1.2.</w:t>
      </w:r>
      <w:r>
        <w:rPr>
          <w:rFonts w:ascii="Arial" w:hAnsi="Arial" w:cs="Arial"/>
          <w:b/>
          <w:bCs/>
          <w:color w:val="000000"/>
          <w:sz w:val="18"/>
          <w:szCs w:val="18"/>
          <w:lang w:val="x-none"/>
        </w:rPr>
        <w:tab/>
        <w:t>Dla robót wycenionych ryczałtowo podstawą płatności jest wartość (kwota) podana przez Wykonawcę i przyjęta przez Zamawiającego w dokumentach umownych (ofercie).</w:t>
      </w:r>
    </w:p>
    <w:p w14:paraId="4822673F" w14:textId="77777777" w:rsidR="000A3B2B" w:rsidRDefault="000A3B2B" w:rsidP="000E4A5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9.1.3.</w:t>
      </w:r>
      <w:r>
        <w:rPr>
          <w:rFonts w:ascii="Arial" w:hAnsi="Arial" w:cs="Arial"/>
          <w:b/>
          <w:bCs/>
          <w:color w:val="000000"/>
          <w:sz w:val="18"/>
          <w:szCs w:val="18"/>
          <w:lang w:val="x-none"/>
        </w:rPr>
        <w:tab/>
        <w:t>Cena jednostkowa pozycji kosztorysowej lub wynagrodzenie ryczałtowe będzie uwzględniać wszystkie czynności, wymagania i badania składające się na jej wykonanie, określone dla tej roboty w SST i w dokumentacji projektowej.</w:t>
      </w:r>
    </w:p>
    <w:p w14:paraId="6ADFBB58" w14:textId="77777777" w:rsidR="000A3B2B" w:rsidRDefault="000A3B2B" w:rsidP="000E4A5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9.1.4.</w:t>
      </w:r>
      <w:r>
        <w:rPr>
          <w:rFonts w:ascii="Arial" w:hAnsi="Arial" w:cs="Arial"/>
          <w:b/>
          <w:bCs/>
          <w:color w:val="000000"/>
          <w:sz w:val="18"/>
          <w:szCs w:val="18"/>
          <w:lang w:val="x-none"/>
        </w:rPr>
        <w:tab/>
        <w:t>Ceny jednostkowe lub wynagrodzenie ryczałtowe robót będą obejmować:</w:t>
      </w:r>
    </w:p>
    <w:p w14:paraId="2423088B" w14:textId="77777777" w:rsidR="000A3B2B" w:rsidRDefault="000A3B2B" w:rsidP="000E4A55">
      <w:pPr>
        <w:autoSpaceDE w:val="0"/>
        <w:autoSpaceDN w:val="0"/>
        <w:adjustRightInd w:val="0"/>
        <w:spacing w:after="30" w:line="240" w:lineRule="auto"/>
        <w:ind w:left="900"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robociznę bezpośrednią wraz z towarzyszącymi kosztami (z kosztami pośrednimi, narzutami zysku, dodatkowymi za pracę w godzinach nadliczbowych, w dniach wolnych od pracy itp.);</w:t>
      </w:r>
    </w:p>
    <w:p w14:paraId="6F0B93C9" w14:textId="77777777" w:rsidR="000A3B2B" w:rsidRDefault="000A3B2B" w:rsidP="000E4A55">
      <w:pPr>
        <w:autoSpaceDE w:val="0"/>
        <w:autoSpaceDN w:val="0"/>
        <w:adjustRightInd w:val="0"/>
        <w:spacing w:after="30" w:line="240" w:lineRule="auto"/>
        <w:ind w:left="900"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wartość zużytych materiałów wraz z kosztami zakupu, magazynowania, ewentualnych ubytków i transportu na teren budowy;</w:t>
      </w:r>
    </w:p>
    <w:p w14:paraId="2A317750" w14:textId="77777777" w:rsidR="000A3B2B" w:rsidRDefault="000A3B2B" w:rsidP="000E4A55">
      <w:pPr>
        <w:autoSpaceDE w:val="0"/>
        <w:autoSpaceDN w:val="0"/>
        <w:adjustRightInd w:val="0"/>
        <w:spacing w:after="30" w:line="240" w:lineRule="auto"/>
        <w:ind w:left="900"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koszty zmniejszenia wartości robót rozbiórkowych z tytułu odzysku materiałów rozbiórkowych przechodzących na własność Wykonawcy;</w:t>
      </w:r>
    </w:p>
    <w:p w14:paraId="46BB041D" w14:textId="77777777" w:rsidR="000A3B2B" w:rsidRDefault="000A3B2B" w:rsidP="000E4A55">
      <w:pPr>
        <w:autoSpaceDE w:val="0"/>
        <w:autoSpaceDN w:val="0"/>
        <w:adjustRightInd w:val="0"/>
        <w:spacing w:after="30" w:line="240" w:lineRule="auto"/>
        <w:ind w:left="900"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koszty utylizacji materiałów rozbiórkowych zgodnie z prawem ochrony środowiska;</w:t>
      </w:r>
    </w:p>
    <w:p w14:paraId="0F99B464" w14:textId="77777777" w:rsidR="000A3B2B" w:rsidRDefault="000A3B2B" w:rsidP="000E4A55">
      <w:pPr>
        <w:autoSpaceDE w:val="0"/>
        <w:autoSpaceDN w:val="0"/>
        <w:adjustRightInd w:val="0"/>
        <w:spacing w:after="30" w:line="240" w:lineRule="auto"/>
        <w:ind w:left="900"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wartość pracy sprzętu wraz z towarzyszącymi kosztami jednorazowymi (sprowadzenie sprzętu na teren budowy, montażem i demontażem, usunięciem po zakończeniu robót);</w:t>
      </w:r>
    </w:p>
    <w:p w14:paraId="16AA0A5E" w14:textId="77777777" w:rsidR="000A3B2B" w:rsidRDefault="000A3B2B" w:rsidP="000E4A55">
      <w:pPr>
        <w:autoSpaceDE w:val="0"/>
        <w:autoSpaceDN w:val="0"/>
        <w:adjustRightInd w:val="0"/>
        <w:spacing w:after="30" w:line="240" w:lineRule="auto"/>
        <w:ind w:left="900"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wykonanie wszystkich robót tymczasowych niezbędnych do wykonania robót podstawowych;</w:t>
      </w:r>
    </w:p>
    <w:p w14:paraId="145C67CE" w14:textId="77777777" w:rsidR="000A3B2B" w:rsidRDefault="000A3B2B" w:rsidP="000E4A55">
      <w:pPr>
        <w:autoSpaceDE w:val="0"/>
        <w:autoSpaceDN w:val="0"/>
        <w:adjustRightInd w:val="0"/>
        <w:spacing w:after="30" w:line="240" w:lineRule="auto"/>
        <w:ind w:left="900"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koszty pośrednie, w skład których wchodzą koszty takie jak: płace personelu i kierownictwa budowy, pracowników nadzoru i laboratorium, wydatki dotyczące bhp; usługi obce na rzecz budowy; opłaty za dzierżawę placów i bocznic; ekspertyzy dotyczące wykonanych robót, ubezpieczenia oraz koszty zarządu przedsiębiorstwa Wykonawcy;</w:t>
      </w:r>
    </w:p>
    <w:p w14:paraId="38071165" w14:textId="77777777" w:rsidR="000A3B2B" w:rsidRDefault="000A3B2B" w:rsidP="000E4A55">
      <w:pPr>
        <w:autoSpaceDE w:val="0"/>
        <w:autoSpaceDN w:val="0"/>
        <w:adjustRightInd w:val="0"/>
        <w:spacing w:after="30" w:line="240" w:lineRule="auto"/>
        <w:ind w:left="900"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zastosowanie materiałów pomocniczych koniecznych do prawidłowego wykonania robót lub wynikających z przyjętej technologii robót;</w:t>
      </w:r>
    </w:p>
    <w:p w14:paraId="02331514" w14:textId="77777777" w:rsidR="000A3B2B" w:rsidRDefault="000A3B2B" w:rsidP="000E4A55">
      <w:pPr>
        <w:autoSpaceDE w:val="0"/>
        <w:autoSpaceDN w:val="0"/>
        <w:adjustRightInd w:val="0"/>
        <w:spacing w:after="30" w:line="240" w:lineRule="auto"/>
        <w:ind w:left="900"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koszty wykonania, utrzymania oraz późniejszej rozbiórki dróg technologicznych;</w:t>
      </w:r>
    </w:p>
    <w:p w14:paraId="7CBC5B61" w14:textId="77777777" w:rsidR="000A3B2B" w:rsidRDefault="000A3B2B" w:rsidP="000E4A55">
      <w:pPr>
        <w:autoSpaceDE w:val="0"/>
        <w:autoSpaceDN w:val="0"/>
        <w:adjustRightInd w:val="0"/>
        <w:spacing w:after="30" w:line="240" w:lineRule="auto"/>
        <w:ind w:left="900"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stosowanie się do PZJ;</w:t>
      </w:r>
    </w:p>
    <w:p w14:paraId="610AA481" w14:textId="77777777" w:rsidR="000A3B2B" w:rsidRDefault="000A3B2B" w:rsidP="000E4A55">
      <w:pPr>
        <w:autoSpaceDE w:val="0"/>
        <w:autoSpaceDN w:val="0"/>
        <w:adjustRightInd w:val="0"/>
        <w:spacing w:after="30" w:line="240" w:lineRule="auto"/>
        <w:ind w:left="900"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inne utrudnienia spowodowane czynnikami zewnętrznymi;</w:t>
      </w:r>
    </w:p>
    <w:p w14:paraId="7055DAFA" w14:textId="77777777" w:rsidR="000A3B2B" w:rsidRDefault="000A3B2B" w:rsidP="000E4A55">
      <w:pPr>
        <w:autoSpaceDE w:val="0"/>
        <w:autoSpaceDN w:val="0"/>
        <w:adjustRightInd w:val="0"/>
        <w:spacing w:after="30" w:line="240" w:lineRule="auto"/>
        <w:ind w:left="900"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koszty pobierania i badań próbek;</w:t>
      </w:r>
    </w:p>
    <w:p w14:paraId="28BE9B2A" w14:textId="77777777" w:rsidR="000A3B2B" w:rsidRDefault="000A3B2B" w:rsidP="000E4A55">
      <w:pPr>
        <w:autoSpaceDE w:val="0"/>
        <w:autoSpaceDN w:val="0"/>
        <w:adjustRightInd w:val="0"/>
        <w:spacing w:after="30" w:line="240" w:lineRule="auto"/>
        <w:ind w:left="900"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przygotowanie i dostarczenie szczegółowych rysunków roboczych / wykonawczych;</w:t>
      </w:r>
    </w:p>
    <w:p w14:paraId="335354EE" w14:textId="77777777" w:rsidR="000A3B2B" w:rsidRDefault="000A3B2B" w:rsidP="000E4A55">
      <w:pPr>
        <w:autoSpaceDE w:val="0"/>
        <w:autoSpaceDN w:val="0"/>
        <w:adjustRightInd w:val="0"/>
        <w:spacing w:after="30" w:line="240" w:lineRule="auto"/>
        <w:ind w:left="900" w:hanging="285"/>
        <w:jc w:val="both"/>
        <w:rPr>
          <w:rFonts w:ascii="Arial" w:hAnsi="Arial" w:cs="Arial"/>
          <w:color w:val="000000"/>
          <w:sz w:val="18"/>
          <w:szCs w:val="18"/>
          <w:lang w:val="x-none"/>
        </w:rPr>
      </w:pPr>
      <w:r>
        <w:rPr>
          <w:rFonts w:ascii="Arial" w:hAnsi="Arial" w:cs="Arial"/>
          <w:color w:val="000000"/>
          <w:sz w:val="18"/>
          <w:szCs w:val="18"/>
          <w:lang w:val="x-none"/>
        </w:rPr>
        <w:lastRenderedPageBreak/>
        <w:t>–</w:t>
      </w:r>
      <w:r>
        <w:rPr>
          <w:rFonts w:ascii="Arial" w:hAnsi="Arial" w:cs="Arial"/>
          <w:color w:val="000000"/>
          <w:sz w:val="18"/>
          <w:szCs w:val="18"/>
          <w:lang w:val="x-none"/>
        </w:rPr>
        <w:tab/>
        <w:t>zysk kalkulacyjny zawierający ewentualne ryzyko Wykonawcy z tytułu innych wydatków mogących wystąpić w okresie realizacji robót i w okresie gwarancyjnym;</w:t>
      </w:r>
    </w:p>
    <w:p w14:paraId="1EEDEA8E" w14:textId="77777777" w:rsidR="000A3B2B" w:rsidRDefault="000A3B2B" w:rsidP="000E4A55">
      <w:pPr>
        <w:autoSpaceDE w:val="0"/>
        <w:autoSpaceDN w:val="0"/>
        <w:adjustRightInd w:val="0"/>
        <w:spacing w:after="30" w:line="240" w:lineRule="auto"/>
        <w:ind w:left="900"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wszelkie koszty związane z uzgodnieniami, nadzorami i odbiorami przebudowywanych linii/sieci przez właścicieli sieci;</w:t>
      </w:r>
    </w:p>
    <w:p w14:paraId="284C16FD" w14:textId="77777777" w:rsidR="000A3B2B" w:rsidRDefault="000A3B2B" w:rsidP="000E4A55">
      <w:pPr>
        <w:autoSpaceDE w:val="0"/>
        <w:autoSpaceDN w:val="0"/>
        <w:adjustRightInd w:val="0"/>
        <w:spacing w:after="30" w:line="240" w:lineRule="auto"/>
        <w:ind w:left="900"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koszty wykonania przekopów kontrolnych pod nadzorem właściciela sieci;</w:t>
      </w:r>
    </w:p>
    <w:p w14:paraId="0A1AB3BE" w14:textId="77777777" w:rsidR="000A3B2B" w:rsidRDefault="000A3B2B" w:rsidP="000E4A55">
      <w:pPr>
        <w:autoSpaceDE w:val="0"/>
        <w:autoSpaceDN w:val="0"/>
        <w:adjustRightInd w:val="0"/>
        <w:spacing w:after="30" w:line="240" w:lineRule="auto"/>
        <w:ind w:left="900"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koszty </w:t>
      </w:r>
      <w:proofErr w:type="spellStart"/>
      <w:r>
        <w:rPr>
          <w:rFonts w:ascii="Arial" w:hAnsi="Arial" w:cs="Arial"/>
          <w:color w:val="000000"/>
          <w:sz w:val="18"/>
          <w:szCs w:val="18"/>
          <w:lang w:val="x-none"/>
        </w:rPr>
        <w:t>wyłączeń</w:t>
      </w:r>
      <w:proofErr w:type="spellEnd"/>
      <w:r>
        <w:rPr>
          <w:rFonts w:ascii="Arial" w:hAnsi="Arial" w:cs="Arial"/>
          <w:color w:val="000000"/>
          <w:sz w:val="18"/>
          <w:szCs w:val="18"/>
          <w:lang w:val="x-none"/>
        </w:rPr>
        <w:t xml:space="preserve"> i przełączeń oraz niedostarczenia mediów;</w:t>
      </w:r>
    </w:p>
    <w:p w14:paraId="3D6E2C9B" w14:textId="77777777" w:rsidR="000A3B2B" w:rsidRDefault="000A3B2B" w:rsidP="000E4A55">
      <w:pPr>
        <w:autoSpaceDE w:val="0"/>
        <w:autoSpaceDN w:val="0"/>
        <w:adjustRightInd w:val="0"/>
        <w:spacing w:after="30" w:line="240" w:lineRule="auto"/>
        <w:ind w:left="900"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wykonanie układów przejściowych na czas budowy;</w:t>
      </w:r>
    </w:p>
    <w:p w14:paraId="46B21312" w14:textId="77777777" w:rsidR="000A3B2B" w:rsidRDefault="000A3B2B" w:rsidP="000E4A55">
      <w:pPr>
        <w:autoSpaceDE w:val="0"/>
        <w:autoSpaceDN w:val="0"/>
        <w:adjustRightInd w:val="0"/>
        <w:spacing w:after="30" w:line="240" w:lineRule="auto"/>
        <w:ind w:left="900"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przeprowadzenie pomiarów, badań i odbiorów zgodnie z wymaganiami SST;</w:t>
      </w:r>
    </w:p>
    <w:p w14:paraId="38926E6F" w14:textId="77777777" w:rsidR="000A3B2B" w:rsidRDefault="000A3B2B" w:rsidP="000E4A55">
      <w:pPr>
        <w:autoSpaceDE w:val="0"/>
        <w:autoSpaceDN w:val="0"/>
        <w:adjustRightInd w:val="0"/>
        <w:spacing w:after="30" w:line="240" w:lineRule="auto"/>
        <w:ind w:left="900"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uporządkowanie miejsc prowadzonych robót i wywiezienie zbędnych materiałów Wykonawcy na składowisko Wykonawcy;</w:t>
      </w:r>
    </w:p>
    <w:p w14:paraId="64A36A72" w14:textId="77777777" w:rsidR="000A3B2B" w:rsidRDefault="000A3B2B" w:rsidP="000E4A55">
      <w:pPr>
        <w:autoSpaceDE w:val="0"/>
        <w:autoSpaceDN w:val="0"/>
        <w:adjustRightInd w:val="0"/>
        <w:spacing w:after="30" w:line="240" w:lineRule="auto"/>
        <w:ind w:left="900"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podatki obliczone zgodnie z obowiązującymi przepisami ale z wyłączeniem podatku VAT.</w:t>
      </w:r>
    </w:p>
    <w:p w14:paraId="6C37743F"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p>
    <w:p w14:paraId="2673971D" w14:textId="77777777" w:rsidR="000A3B2B" w:rsidRDefault="000A3B2B" w:rsidP="000E4A5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9.2.</w:t>
      </w:r>
      <w:r>
        <w:rPr>
          <w:rFonts w:ascii="Arial" w:hAnsi="Arial" w:cs="Arial"/>
          <w:b/>
          <w:bCs/>
          <w:color w:val="000000"/>
          <w:sz w:val="18"/>
          <w:szCs w:val="18"/>
          <w:lang w:val="x-none"/>
        </w:rPr>
        <w:tab/>
        <w:t>Objazdy, dojazdy i przejazdy oraz organizacja ruchu</w:t>
      </w:r>
    </w:p>
    <w:p w14:paraId="3B7901B0" w14:textId="77777777" w:rsidR="000A3B2B" w:rsidRDefault="000A3B2B" w:rsidP="000E4A5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9.2.1.</w:t>
      </w:r>
      <w:r>
        <w:rPr>
          <w:rFonts w:ascii="Arial" w:hAnsi="Arial" w:cs="Arial"/>
          <w:b/>
          <w:bCs/>
          <w:color w:val="000000"/>
          <w:sz w:val="18"/>
          <w:szCs w:val="18"/>
          <w:lang w:val="x-none"/>
        </w:rPr>
        <w:tab/>
        <w:t>Wykonawca robót:</w:t>
      </w:r>
    </w:p>
    <w:p w14:paraId="2C4281B9" w14:textId="77777777" w:rsidR="000A3B2B" w:rsidRDefault="000A3B2B" w:rsidP="000E4A55">
      <w:pPr>
        <w:autoSpaceDE w:val="0"/>
        <w:autoSpaceDN w:val="0"/>
        <w:adjustRightInd w:val="0"/>
        <w:spacing w:after="30" w:line="240" w:lineRule="auto"/>
        <w:ind w:left="900" w:hanging="285"/>
        <w:jc w:val="both"/>
        <w:rPr>
          <w:rFonts w:ascii="Arial" w:hAnsi="Arial" w:cs="Arial"/>
          <w:color w:val="000000"/>
          <w:sz w:val="18"/>
          <w:szCs w:val="18"/>
          <w:lang w:val="x-none"/>
        </w:rPr>
      </w:pPr>
      <w:r>
        <w:rPr>
          <w:rFonts w:ascii="Arial" w:hAnsi="Arial" w:cs="Arial"/>
          <w:color w:val="000000"/>
          <w:sz w:val="18"/>
          <w:szCs w:val="18"/>
          <w:lang w:val="x-none"/>
        </w:rPr>
        <w:t>a)</w:t>
      </w:r>
      <w:r>
        <w:rPr>
          <w:rFonts w:ascii="Arial" w:hAnsi="Arial" w:cs="Arial"/>
          <w:color w:val="000000"/>
          <w:sz w:val="18"/>
          <w:szCs w:val="18"/>
          <w:lang w:val="x-none"/>
        </w:rPr>
        <w:tab/>
        <w:t>opracuje dokumentację projektową budowy dróg objazdowych oraz organizacji ruchu na czas prowadzenia robót,</w:t>
      </w:r>
    </w:p>
    <w:p w14:paraId="0E77664F" w14:textId="77777777" w:rsidR="000A3B2B" w:rsidRDefault="000A3B2B" w:rsidP="000E4A55">
      <w:pPr>
        <w:autoSpaceDE w:val="0"/>
        <w:autoSpaceDN w:val="0"/>
        <w:adjustRightInd w:val="0"/>
        <w:spacing w:after="30" w:line="240" w:lineRule="auto"/>
        <w:ind w:left="900" w:hanging="285"/>
        <w:jc w:val="both"/>
        <w:rPr>
          <w:rFonts w:ascii="Arial" w:hAnsi="Arial" w:cs="Arial"/>
          <w:color w:val="000000"/>
          <w:sz w:val="18"/>
          <w:szCs w:val="18"/>
          <w:lang w:val="x-none"/>
        </w:rPr>
      </w:pPr>
      <w:r>
        <w:rPr>
          <w:rFonts w:ascii="Arial" w:hAnsi="Arial" w:cs="Arial"/>
          <w:color w:val="000000"/>
          <w:sz w:val="18"/>
          <w:szCs w:val="18"/>
          <w:lang w:val="x-none"/>
        </w:rPr>
        <w:t>b)</w:t>
      </w:r>
      <w:r>
        <w:rPr>
          <w:rFonts w:ascii="Arial" w:hAnsi="Arial" w:cs="Arial"/>
          <w:color w:val="000000"/>
          <w:sz w:val="18"/>
          <w:szCs w:val="18"/>
          <w:lang w:val="x-none"/>
        </w:rPr>
        <w:tab/>
        <w:t>uzgodni projekt organizacji ruchu z Inspektorem nadzoru inwestorskiego i odpowiednimi instytucjami oraz uzyska zatwierdzenie w organie zarządzającym ruchem publicznym,</w:t>
      </w:r>
    </w:p>
    <w:p w14:paraId="159C9ED9" w14:textId="77777777" w:rsidR="000A3B2B" w:rsidRDefault="000A3B2B" w:rsidP="000E4A55">
      <w:pPr>
        <w:autoSpaceDE w:val="0"/>
        <w:autoSpaceDN w:val="0"/>
        <w:adjustRightInd w:val="0"/>
        <w:spacing w:after="30" w:line="240" w:lineRule="auto"/>
        <w:ind w:left="900" w:hanging="285"/>
        <w:jc w:val="both"/>
        <w:rPr>
          <w:rFonts w:ascii="Arial" w:hAnsi="Arial" w:cs="Arial"/>
          <w:color w:val="000000"/>
          <w:sz w:val="18"/>
          <w:szCs w:val="18"/>
          <w:lang w:val="x-none"/>
        </w:rPr>
      </w:pPr>
      <w:r>
        <w:rPr>
          <w:rFonts w:ascii="Arial" w:hAnsi="Arial" w:cs="Arial"/>
          <w:color w:val="000000"/>
          <w:sz w:val="18"/>
          <w:szCs w:val="18"/>
          <w:lang w:val="x-none"/>
        </w:rPr>
        <w:t>c)</w:t>
      </w:r>
      <w:r>
        <w:rPr>
          <w:rFonts w:ascii="Arial" w:hAnsi="Arial" w:cs="Arial"/>
          <w:color w:val="000000"/>
          <w:sz w:val="18"/>
          <w:szCs w:val="18"/>
          <w:lang w:val="x-none"/>
        </w:rPr>
        <w:tab/>
        <w:t>przekaże kopię zatwierdzanego projektu Inspektorowi nadzoru inwestorskiego oraz zainteresowanym zarządcom dróg.</w:t>
      </w:r>
    </w:p>
    <w:p w14:paraId="34869C83" w14:textId="77777777" w:rsidR="000A3B2B" w:rsidRDefault="000A3B2B" w:rsidP="000E4A5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9.2.2.</w:t>
      </w:r>
      <w:r>
        <w:rPr>
          <w:rFonts w:ascii="Arial" w:hAnsi="Arial" w:cs="Arial"/>
          <w:b/>
          <w:bCs/>
          <w:color w:val="000000"/>
          <w:sz w:val="18"/>
          <w:szCs w:val="18"/>
          <w:lang w:val="x-none"/>
        </w:rPr>
        <w:tab/>
        <w:t>Koszty budowy objazdów i organizacji ruchu obejmują:</w:t>
      </w:r>
    </w:p>
    <w:p w14:paraId="2B2F117A" w14:textId="77777777" w:rsidR="000A3B2B" w:rsidRDefault="000A3B2B" w:rsidP="000E4A55">
      <w:pPr>
        <w:autoSpaceDE w:val="0"/>
        <w:autoSpaceDN w:val="0"/>
        <w:adjustRightInd w:val="0"/>
        <w:spacing w:after="30" w:line="240" w:lineRule="auto"/>
        <w:ind w:left="900" w:hanging="285"/>
        <w:jc w:val="both"/>
        <w:rPr>
          <w:rFonts w:ascii="Arial" w:hAnsi="Arial" w:cs="Arial"/>
          <w:color w:val="000000"/>
          <w:sz w:val="18"/>
          <w:szCs w:val="18"/>
          <w:lang w:val="x-none"/>
        </w:rPr>
      </w:pPr>
      <w:r>
        <w:rPr>
          <w:rFonts w:ascii="Arial" w:hAnsi="Arial" w:cs="Arial"/>
          <w:color w:val="000000"/>
          <w:sz w:val="18"/>
          <w:szCs w:val="18"/>
          <w:lang w:val="x-none"/>
        </w:rPr>
        <w:t>a)</w:t>
      </w:r>
      <w:r>
        <w:rPr>
          <w:rFonts w:ascii="Arial" w:hAnsi="Arial" w:cs="Arial"/>
          <w:color w:val="000000"/>
          <w:sz w:val="18"/>
          <w:szCs w:val="18"/>
          <w:lang w:val="x-none"/>
        </w:rPr>
        <w:tab/>
        <w:t>opracowanie i uzgodnienie dokumentacji projektowej objazdów i organizacji ruchu,</w:t>
      </w:r>
    </w:p>
    <w:p w14:paraId="47BE3E86" w14:textId="77777777" w:rsidR="000A3B2B" w:rsidRDefault="000A3B2B" w:rsidP="000E4A55">
      <w:pPr>
        <w:autoSpaceDE w:val="0"/>
        <w:autoSpaceDN w:val="0"/>
        <w:adjustRightInd w:val="0"/>
        <w:spacing w:after="30" w:line="240" w:lineRule="auto"/>
        <w:ind w:left="900" w:hanging="285"/>
        <w:jc w:val="both"/>
        <w:rPr>
          <w:rFonts w:ascii="Arial" w:hAnsi="Arial" w:cs="Arial"/>
          <w:color w:val="000000"/>
          <w:sz w:val="18"/>
          <w:szCs w:val="18"/>
          <w:lang w:val="x-none"/>
        </w:rPr>
      </w:pPr>
      <w:r>
        <w:rPr>
          <w:rFonts w:ascii="Arial" w:hAnsi="Arial" w:cs="Arial"/>
          <w:color w:val="000000"/>
          <w:sz w:val="18"/>
          <w:szCs w:val="18"/>
          <w:lang w:val="x-none"/>
        </w:rPr>
        <w:t>b)</w:t>
      </w:r>
      <w:r>
        <w:rPr>
          <w:rFonts w:ascii="Arial" w:hAnsi="Arial" w:cs="Arial"/>
          <w:color w:val="000000"/>
          <w:sz w:val="18"/>
          <w:szCs w:val="18"/>
          <w:lang w:val="x-none"/>
        </w:rPr>
        <w:tab/>
        <w:t>wybudowanie, zgodnie z uzgodnioną dokumentacją, objazdów i dróg dojazdowych,</w:t>
      </w:r>
    </w:p>
    <w:p w14:paraId="68718646" w14:textId="77777777" w:rsidR="000A3B2B" w:rsidRDefault="000A3B2B" w:rsidP="000E4A55">
      <w:pPr>
        <w:autoSpaceDE w:val="0"/>
        <w:autoSpaceDN w:val="0"/>
        <w:adjustRightInd w:val="0"/>
        <w:spacing w:after="30" w:line="240" w:lineRule="auto"/>
        <w:ind w:left="900" w:hanging="285"/>
        <w:jc w:val="both"/>
        <w:rPr>
          <w:rFonts w:ascii="Arial" w:hAnsi="Arial" w:cs="Arial"/>
          <w:color w:val="000000"/>
          <w:sz w:val="18"/>
          <w:szCs w:val="18"/>
          <w:lang w:val="x-none"/>
        </w:rPr>
      </w:pPr>
      <w:r>
        <w:rPr>
          <w:rFonts w:ascii="Arial" w:hAnsi="Arial" w:cs="Arial"/>
          <w:color w:val="000000"/>
          <w:sz w:val="18"/>
          <w:szCs w:val="18"/>
          <w:lang w:val="x-none"/>
        </w:rPr>
        <w:t>c)</w:t>
      </w:r>
      <w:r>
        <w:rPr>
          <w:rFonts w:ascii="Arial" w:hAnsi="Arial" w:cs="Arial"/>
          <w:color w:val="000000"/>
          <w:sz w:val="18"/>
          <w:szCs w:val="18"/>
          <w:lang w:val="x-none"/>
        </w:rPr>
        <w:tab/>
        <w:t>ustawienie oznakowania i oświetlenia zgodnie z wymaganiami bezpieczeństwa ruchu,</w:t>
      </w:r>
    </w:p>
    <w:p w14:paraId="66392556" w14:textId="77777777" w:rsidR="000A3B2B" w:rsidRDefault="000A3B2B" w:rsidP="000E4A55">
      <w:pPr>
        <w:autoSpaceDE w:val="0"/>
        <w:autoSpaceDN w:val="0"/>
        <w:adjustRightInd w:val="0"/>
        <w:spacing w:after="30" w:line="240" w:lineRule="auto"/>
        <w:ind w:left="900" w:hanging="285"/>
        <w:jc w:val="both"/>
        <w:rPr>
          <w:rFonts w:ascii="Arial" w:hAnsi="Arial" w:cs="Arial"/>
          <w:color w:val="000000"/>
          <w:sz w:val="18"/>
          <w:szCs w:val="18"/>
          <w:lang w:val="x-none"/>
        </w:rPr>
      </w:pPr>
      <w:r>
        <w:rPr>
          <w:rFonts w:ascii="Arial" w:hAnsi="Arial" w:cs="Arial"/>
          <w:color w:val="000000"/>
          <w:sz w:val="18"/>
          <w:szCs w:val="18"/>
          <w:lang w:val="x-none"/>
        </w:rPr>
        <w:t>d)</w:t>
      </w:r>
      <w:r>
        <w:rPr>
          <w:rFonts w:ascii="Arial" w:hAnsi="Arial" w:cs="Arial"/>
          <w:color w:val="000000"/>
          <w:sz w:val="18"/>
          <w:szCs w:val="18"/>
          <w:lang w:val="x-none"/>
        </w:rPr>
        <w:tab/>
        <w:t>opłaty / dzierżawy terenu zajętego przez objazdy,</w:t>
      </w:r>
    </w:p>
    <w:p w14:paraId="395A4263" w14:textId="77777777" w:rsidR="000A3B2B" w:rsidRDefault="000A3B2B" w:rsidP="000E4A55">
      <w:pPr>
        <w:autoSpaceDE w:val="0"/>
        <w:autoSpaceDN w:val="0"/>
        <w:adjustRightInd w:val="0"/>
        <w:spacing w:after="30" w:line="240" w:lineRule="auto"/>
        <w:ind w:left="900" w:hanging="285"/>
        <w:jc w:val="both"/>
        <w:rPr>
          <w:rFonts w:ascii="Arial" w:hAnsi="Arial" w:cs="Arial"/>
          <w:color w:val="000000"/>
          <w:sz w:val="18"/>
          <w:szCs w:val="18"/>
          <w:lang w:val="x-none"/>
        </w:rPr>
      </w:pPr>
      <w:r>
        <w:rPr>
          <w:rFonts w:ascii="Arial" w:hAnsi="Arial" w:cs="Arial"/>
          <w:color w:val="000000"/>
          <w:sz w:val="18"/>
          <w:szCs w:val="18"/>
          <w:lang w:val="x-none"/>
        </w:rPr>
        <w:t>e)</w:t>
      </w:r>
      <w:r>
        <w:rPr>
          <w:rFonts w:ascii="Arial" w:hAnsi="Arial" w:cs="Arial"/>
          <w:color w:val="000000"/>
          <w:sz w:val="18"/>
          <w:szCs w:val="18"/>
          <w:lang w:val="x-none"/>
        </w:rPr>
        <w:tab/>
        <w:t>tymczasową przebudowę urządzeń obcych, jeżeli taka będzie wymagana dla wdrożenia organizacji ruchu.</w:t>
      </w:r>
    </w:p>
    <w:p w14:paraId="56B1AA41" w14:textId="77777777" w:rsidR="000A3B2B" w:rsidRDefault="000A3B2B" w:rsidP="000E4A5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9.2.3.</w:t>
      </w:r>
      <w:r>
        <w:rPr>
          <w:rFonts w:ascii="Arial" w:hAnsi="Arial" w:cs="Arial"/>
          <w:b/>
          <w:bCs/>
          <w:color w:val="000000"/>
          <w:sz w:val="18"/>
          <w:szCs w:val="18"/>
          <w:lang w:val="x-none"/>
        </w:rPr>
        <w:tab/>
        <w:t>Koszty utrzymania objazdów, dojazdów i organizacji ruchu obejmują:</w:t>
      </w:r>
    </w:p>
    <w:p w14:paraId="78DD54BB" w14:textId="77777777" w:rsidR="000A3B2B" w:rsidRDefault="000A3B2B" w:rsidP="000E4A55">
      <w:pPr>
        <w:autoSpaceDE w:val="0"/>
        <w:autoSpaceDN w:val="0"/>
        <w:adjustRightInd w:val="0"/>
        <w:spacing w:after="30" w:line="240" w:lineRule="auto"/>
        <w:ind w:left="900" w:hanging="285"/>
        <w:jc w:val="both"/>
        <w:rPr>
          <w:rFonts w:ascii="Arial" w:hAnsi="Arial" w:cs="Arial"/>
          <w:color w:val="000000"/>
          <w:sz w:val="18"/>
          <w:szCs w:val="18"/>
          <w:lang w:val="x-none"/>
        </w:rPr>
      </w:pPr>
      <w:r>
        <w:rPr>
          <w:rFonts w:ascii="Arial" w:hAnsi="Arial" w:cs="Arial"/>
          <w:color w:val="000000"/>
          <w:sz w:val="18"/>
          <w:szCs w:val="18"/>
          <w:lang w:val="x-none"/>
        </w:rPr>
        <w:t>a)</w:t>
      </w:r>
      <w:r>
        <w:rPr>
          <w:rFonts w:ascii="Arial" w:hAnsi="Arial" w:cs="Arial"/>
          <w:color w:val="000000"/>
          <w:sz w:val="18"/>
          <w:szCs w:val="18"/>
          <w:lang w:val="x-none"/>
        </w:rPr>
        <w:tab/>
        <w:t xml:space="preserve">oczyszczanie jezdni, przestawienia, przykrycia i usunięcia tymczasowych </w:t>
      </w:r>
      <w:proofErr w:type="spellStart"/>
      <w:r>
        <w:rPr>
          <w:rFonts w:ascii="Arial" w:hAnsi="Arial" w:cs="Arial"/>
          <w:color w:val="000000"/>
          <w:sz w:val="18"/>
          <w:szCs w:val="18"/>
          <w:lang w:val="x-none"/>
        </w:rPr>
        <w:t>oznakowań</w:t>
      </w:r>
      <w:proofErr w:type="spellEnd"/>
      <w:r>
        <w:rPr>
          <w:rFonts w:ascii="Arial" w:hAnsi="Arial" w:cs="Arial"/>
          <w:color w:val="000000"/>
          <w:sz w:val="18"/>
          <w:szCs w:val="18"/>
          <w:lang w:val="x-none"/>
        </w:rPr>
        <w:t xml:space="preserve"> pionowych i poziomych, barier i świateł,</w:t>
      </w:r>
    </w:p>
    <w:p w14:paraId="5E0870F5" w14:textId="77777777" w:rsidR="000A3B2B" w:rsidRDefault="000A3B2B" w:rsidP="000E4A55">
      <w:pPr>
        <w:autoSpaceDE w:val="0"/>
        <w:autoSpaceDN w:val="0"/>
        <w:adjustRightInd w:val="0"/>
        <w:spacing w:after="30" w:line="240" w:lineRule="auto"/>
        <w:ind w:left="900" w:hanging="285"/>
        <w:jc w:val="both"/>
        <w:rPr>
          <w:rFonts w:ascii="Arial" w:hAnsi="Arial" w:cs="Arial"/>
          <w:color w:val="000000"/>
          <w:sz w:val="18"/>
          <w:szCs w:val="18"/>
          <w:lang w:val="x-none"/>
        </w:rPr>
      </w:pPr>
      <w:r>
        <w:rPr>
          <w:rFonts w:ascii="Arial" w:hAnsi="Arial" w:cs="Arial"/>
          <w:color w:val="000000"/>
          <w:sz w:val="18"/>
          <w:szCs w:val="18"/>
          <w:lang w:val="x-none"/>
        </w:rPr>
        <w:t>b)</w:t>
      </w:r>
      <w:r>
        <w:rPr>
          <w:rFonts w:ascii="Arial" w:hAnsi="Arial" w:cs="Arial"/>
          <w:color w:val="000000"/>
          <w:sz w:val="18"/>
          <w:szCs w:val="18"/>
          <w:lang w:val="x-none"/>
        </w:rPr>
        <w:tab/>
        <w:t>utrzymania płynności ruchu publicznego,</w:t>
      </w:r>
    </w:p>
    <w:p w14:paraId="04E25DEB" w14:textId="77777777" w:rsidR="000A3B2B" w:rsidRDefault="000A3B2B" w:rsidP="000E4A55">
      <w:pPr>
        <w:autoSpaceDE w:val="0"/>
        <w:autoSpaceDN w:val="0"/>
        <w:adjustRightInd w:val="0"/>
        <w:spacing w:after="30" w:line="240" w:lineRule="auto"/>
        <w:ind w:left="900" w:hanging="285"/>
        <w:jc w:val="both"/>
        <w:rPr>
          <w:rFonts w:ascii="Arial" w:hAnsi="Arial" w:cs="Arial"/>
          <w:color w:val="000000"/>
          <w:sz w:val="18"/>
          <w:szCs w:val="18"/>
          <w:lang w:val="x-none"/>
        </w:rPr>
      </w:pPr>
      <w:r>
        <w:rPr>
          <w:rFonts w:ascii="Arial" w:hAnsi="Arial" w:cs="Arial"/>
          <w:color w:val="000000"/>
          <w:sz w:val="18"/>
          <w:szCs w:val="18"/>
          <w:lang w:val="x-none"/>
        </w:rPr>
        <w:t>c)</w:t>
      </w:r>
      <w:r>
        <w:rPr>
          <w:rFonts w:ascii="Arial" w:hAnsi="Arial" w:cs="Arial"/>
          <w:color w:val="000000"/>
          <w:sz w:val="18"/>
          <w:szCs w:val="18"/>
          <w:lang w:val="x-none"/>
        </w:rPr>
        <w:tab/>
        <w:t>naprawę i remont dróg objazdowych.</w:t>
      </w:r>
    </w:p>
    <w:p w14:paraId="7B39BDF5" w14:textId="77777777" w:rsidR="000A3B2B" w:rsidRDefault="000A3B2B" w:rsidP="000E4A5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9.2.4.</w:t>
      </w:r>
      <w:r>
        <w:rPr>
          <w:rFonts w:ascii="Arial" w:hAnsi="Arial" w:cs="Arial"/>
          <w:b/>
          <w:bCs/>
          <w:color w:val="000000"/>
          <w:sz w:val="18"/>
          <w:szCs w:val="18"/>
          <w:lang w:val="x-none"/>
        </w:rPr>
        <w:tab/>
        <w:t>Koszty likwidacji objazdów, dojazdów i organizacji ruchu obejmują:</w:t>
      </w:r>
    </w:p>
    <w:p w14:paraId="71396C0B" w14:textId="77777777" w:rsidR="000A3B2B" w:rsidRDefault="000A3B2B" w:rsidP="000E4A55">
      <w:pPr>
        <w:autoSpaceDE w:val="0"/>
        <w:autoSpaceDN w:val="0"/>
        <w:adjustRightInd w:val="0"/>
        <w:spacing w:after="30" w:line="240" w:lineRule="auto"/>
        <w:ind w:left="900" w:hanging="285"/>
        <w:jc w:val="both"/>
        <w:rPr>
          <w:rFonts w:ascii="Arial" w:hAnsi="Arial" w:cs="Arial"/>
          <w:color w:val="000000"/>
          <w:sz w:val="18"/>
          <w:szCs w:val="18"/>
          <w:lang w:val="x-none"/>
        </w:rPr>
      </w:pPr>
      <w:r>
        <w:rPr>
          <w:rFonts w:ascii="Arial" w:hAnsi="Arial" w:cs="Arial"/>
          <w:color w:val="000000"/>
          <w:sz w:val="18"/>
          <w:szCs w:val="18"/>
          <w:lang w:val="x-none"/>
        </w:rPr>
        <w:t>a)</w:t>
      </w:r>
      <w:r>
        <w:rPr>
          <w:rFonts w:ascii="Arial" w:hAnsi="Arial" w:cs="Arial"/>
          <w:color w:val="000000"/>
          <w:sz w:val="18"/>
          <w:szCs w:val="18"/>
          <w:lang w:val="x-none"/>
        </w:rPr>
        <w:tab/>
        <w:t>usunięcie wbudowanych materiałów i oznakowania,</w:t>
      </w:r>
    </w:p>
    <w:p w14:paraId="42F2CE91" w14:textId="77777777" w:rsidR="000A3B2B" w:rsidRDefault="000A3B2B" w:rsidP="000E4A55">
      <w:pPr>
        <w:autoSpaceDE w:val="0"/>
        <w:autoSpaceDN w:val="0"/>
        <w:adjustRightInd w:val="0"/>
        <w:spacing w:after="30" w:line="240" w:lineRule="auto"/>
        <w:ind w:left="900" w:hanging="285"/>
        <w:jc w:val="both"/>
        <w:rPr>
          <w:rFonts w:ascii="Arial" w:hAnsi="Arial" w:cs="Arial"/>
          <w:color w:val="000000"/>
          <w:sz w:val="18"/>
          <w:szCs w:val="18"/>
          <w:lang w:val="x-none"/>
        </w:rPr>
      </w:pPr>
      <w:r>
        <w:rPr>
          <w:rFonts w:ascii="Arial" w:hAnsi="Arial" w:cs="Arial"/>
          <w:color w:val="000000"/>
          <w:sz w:val="18"/>
          <w:szCs w:val="18"/>
          <w:lang w:val="x-none"/>
        </w:rPr>
        <w:t>b)</w:t>
      </w:r>
      <w:r>
        <w:rPr>
          <w:rFonts w:ascii="Arial" w:hAnsi="Arial" w:cs="Arial"/>
          <w:color w:val="000000"/>
          <w:sz w:val="18"/>
          <w:szCs w:val="18"/>
          <w:lang w:val="x-none"/>
        </w:rPr>
        <w:tab/>
        <w:t>demontaż nawierzchni z elementów prefabrykowanych, demontaż przepustów, mostków itp. na objazdach po zakończeniu robót,</w:t>
      </w:r>
    </w:p>
    <w:p w14:paraId="77EB7228" w14:textId="77777777" w:rsidR="000A3B2B" w:rsidRDefault="000A3B2B" w:rsidP="000E4A55">
      <w:pPr>
        <w:autoSpaceDE w:val="0"/>
        <w:autoSpaceDN w:val="0"/>
        <w:adjustRightInd w:val="0"/>
        <w:spacing w:after="30" w:line="240" w:lineRule="auto"/>
        <w:ind w:left="900" w:hanging="285"/>
        <w:jc w:val="both"/>
        <w:rPr>
          <w:rFonts w:ascii="Arial" w:hAnsi="Arial" w:cs="Arial"/>
          <w:color w:val="000000"/>
          <w:sz w:val="18"/>
          <w:szCs w:val="18"/>
          <w:lang w:val="x-none"/>
        </w:rPr>
      </w:pPr>
      <w:r>
        <w:rPr>
          <w:rFonts w:ascii="Arial" w:hAnsi="Arial" w:cs="Arial"/>
          <w:color w:val="000000"/>
          <w:sz w:val="18"/>
          <w:szCs w:val="18"/>
          <w:lang w:val="x-none"/>
        </w:rPr>
        <w:t>c)</w:t>
      </w:r>
      <w:r>
        <w:rPr>
          <w:rFonts w:ascii="Arial" w:hAnsi="Arial" w:cs="Arial"/>
          <w:color w:val="000000"/>
          <w:sz w:val="18"/>
          <w:szCs w:val="18"/>
          <w:lang w:val="x-none"/>
        </w:rPr>
        <w:tab/>
        <w:t>doprowadzenie terenu pod objazdami do stanu pierwotnego.</w:t>
      </w:r>
    </w:p>
    <w:p w14:paraId="1E874E70" w14:textId="77777777" w:rsidR="000A3B2B" w:rsidRDefault="000A3B2B" w:rsidP="000E4A55">
      <w:pPr>
        <w:tabs>
          <w:tab w:val="left" w:pos="615"/>
        </w:tabs>
        <w:autoSpaceDE w:val="0"/>
        <w:autoSpaceDN w:val="0"/>
        <w:adjustRightInd w:val="0"/>
        <w:spacing w:after="0" w:line="240" w:lineRule="auto"/>
        <w:rPr>
          <w:rFonts w:ascii="Arial" w:hAnsi="Arial" w:cs="Arial"/>
          <w:b/>
          <w:bCs/>
          <w:color w:val="000000"/>
          <w:sz w:val="18"/>
          <w:szCs w:val="18"/>
          <w:lang w:val="x-none"/>
        </w:rPr>
      </w:pPr>
      <w:r>
        <w:rPr>
          <w:rFonts w:ascii="Arial" w:hAnsi="Arial" w:cs="Arial"/>
          <w:b/>
          <w:bCs/>
          <w:color w:val="000000"/>
          <w:sz w:val="18"/>
          <w:szCs w:val="18"/>
          <w:lang w:val="x-none"/>
        </w:rPr>
        <w:t>9.2.5.</w:t>
      </w:r>
      <w:r>
        <w:rPr>
          <w:rFonts w:ascii="Arial" w:hAnsi="Arial" w:cs="Arial"/>
          <w:b/>
          <w:bCs/>
          <w:color w:val="000000"/>
          <w:sz w:val="18"/>
          <w:szCs w:val="18"/>
          <w:lang w:val="x-none"/>
        </w:rPr>
        <w:tab/>
        <w:t xml:space="preserve">Koszty budowy, utrzymania i likwidacji objazdów, dojazdów i organizacji ruchu ponosi: </w:t>
      </w:r>
    </w:p>
    <w:p w14:paraId="47D8D35D" w14:textId="77777777" w:rsidR="000A3B2B" w:rsidRDefault="000A3B2B" w:rsidP="000E4A55">
      <w:pPr>
        <w:autoSpaceDE w:val="0"/>
        <w:autoSpaceDN w:val="0"/>
        <w:adjustRightInd w:val="0"/>
        <w:spacing w:after="30" w:line="240" w:lineRule="auto"/>
        <w:ind w:left="900" w:hanging="285"/>
        <w:jc w:val="both"/>
        <w:rPr>
          <w:rFonts w:ascii="Arial" w:hAnsi="Arial" w:cs="Arial"/>
          <w:color w:val="000000"/>
          <w:sz w:val="18"/>
          <w:szCs w:val="18"/>
          <w:lang w:val="x-none"/>
        </w:rPr>
      </w:pPr>
      <w:r>
        <w:rPr>
          <w:rFonts w:ascii="Arial" w:hAnsi="Arial" w:cs="Arial"/>
          <w:color w:val="000000"/>
          <w:sz w:val="18"/>
          <w:szCs w:val="18"/>
          <w:lang w:val="x-none"/>
        </w:rPr>
        <w:t>a)</w:t>
      </w:r>
      <w:r>
        <w:rPr>
          <w:rFonts w:ascii="Arial" w:hAnsi="Arial" w:cs="Arial"/>
          <w:color w:val="000000"/>
          <w:sz w:val="18"/>
          <w:szCs w:val="18"/>
          <w:lang w:val="x-none"/>
        </w:rPr>
        <w:tab/>
        <w:t xml:space="preserve">Wykonawca robót w ramach ceny ofertowej </w:t>
      </w:r>
      <w:proofErr w:type="spellStart"/>
      <w:r>
        <w:rPr>
          <w:rFonts w:ascii="Arial" w:hAnsi="Arial" w:cs="Arial"/>
          <w:color w:val="000000"/>
          <w:sz w:val="18"/>
          <w:szCs w:val="18"/>
          <w:lang w:val="x-none"/>
        </w:rPr>
        <w:t>przedłożoenej</w:t>
      </w:r>
      <w:proofErr w:type="spellEnd"/>
      <w:r>
        <w:rPr>
          <w:rFonts w:ascii="Arial" w:hAnsi="Arial" w:cs="Arial"/>
          <w:color w:val="000000"/>
          <w:sz w:val="18"/>
          <w:szCs w:val="18"/>
          <w:lang w:val="x-none"/>
        </w:rPr>
        <w:t xml:space="preserve"> postępowaniu przetargowym.</w:t>
      </w:r>
    </w:p>
    <w:p w14:paraId="643164DC"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p>
    <w:p w14:paraId="55F7301A" w14:textId="77777777" w:rsidR="000A3B2B" w:rsidRDefault="000A3B2B" w:rsidP="000E4A5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9.3.</w:t>
      </w:r>
      <w:r>
        <w:rPr>
          <w:rFonts w:ascii="Arial" w:hAnsi="Arial" w:cs="Arial"/>
          <w:b/>
          <w:bCs/>
          <w:color w:val="000000"/>
          <w:sz w:val="18"/>
          <w:szCs w:val="18"/>
          <w:lang w:val="x-none"/>
        </w:rPr>
        <w:tab/>
        <w:t>Rozpoznanie terenu pod względem obecności niewypałów, niewybuchów i innych przedmiotów wybuchowych</w:t>
      </w:r>
    </w:p>
    <w:p w14:paraId="06FD29AB"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Koszt rozpoznania terenu obejmuje:</w:t>
      </w:r>
    </w:p>
    <w:p w14:paraId="39343EE4"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a)</w:t>
      </w:r>
      <w:r>
        <w:rPr>
          <w:rFonts w:ascii="Arial" w:hAnsi="Arial" w:cs="Arial"/>
          <w:color w:val="000000"/>
          <w:sz w:val="18"/>
          <w:szCs w:val="18"/>
          <w:lang w:val="x-none"/>
        </w:rPr>
        <w:tab/>
        <w:t>przeprowadzenie badań terenu na obecność niewybuchów, niewypałów oraz innych przedmiotów niebezpiecznych,</w:t>
      </w:r>
    </w:p>
    <w:p w14:paraId="245D8C64"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b)</w:t>
      </w:r>
      <w:r>
        <w:rPr>
          <w:rFonts w:ascii="Arial" w:hAnsi="Arial" w:cs="Arial"/>
          <w:color w:val="000000"/>
          <w:sz w:val="18"/>
          <w:szCs w:val="18"/>
          <w:lang w:val="x-none"/>
        </w:rPr>
        <w:tab/>
        <w:t>opracowanie ekspertyzy i opinii saperskiej,</w:t>
      </w:r>
    </w:p>
    <w:p w14:paraId="33DFB0D2"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c)</w:t>
      </w:r>
      <w:r>
        <w:rPr>
          <w:rFonts w:ascii="Arial" w:hAnsi="Arial" w:cs="Arial"/>
          <w:color w:val="000000"/>
          <w:sz w:val="18"/>
          <w:szCs w:val="18"/>
          <w:lang w:val="x-none"/>
        </w:rPr>
        <w:tab/>
        <w:t>zabezpieczenie miejsc znalezisk,</w:t>
      </w:r>
    </w:p>
    <w:p w14:paraId="278F2F9F"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d)</w:t>
      </w:r>
      <w:r>
        <w:rPr>
          <w:rFonts w:ascii="Arial" w:hAnsi="Arial" w:cs="Arial"/>
          <w:color w:val="000000"/>
          <w:sz w:val="18"/>
          <w:szCs w:val="18"/>
          <w:lang w:val="x-none"/>
        </w:rPr>
        <w:tab/>
        <w:t>likwidacja materiałów i przedmiotów niebezpiecznych.</w:t>
      </w:r>
    </w:p>
    <w:p w14:paraId="3B22BD9B"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Koszt tych robót ponosi Zamawiający.</w:t>
      </w:r>
    </w:p>
    <w:p w14:paraId="3ED0AACA"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p>
    <w:p w14:paraId="6634EC29" w14:textId="77777777" w:rsidR="000A3B2B" w:rsidRDefault="000A3B2B" w:rsidP="000E4A5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9.4.</w:t>
      </w:r>
      <w:r>
        <w:rPr>
          <w:rFonts w:ascii="Arial" w:hAnsi="Arial" w:cs="Arial"/>
          <w:b/>
          <w:bCs/>
          <w:color w:val="000000"/>
          <w:sz w:val="18"/>
          <w:szCs w:val="18"/>
          <w:lang w:val="x-none"/>
        </w:rPr>
        <w:tab/>
        <w:t>Koszty dodatkowe</w:t>
      </w:r>
    </w:p>
    <w:p w14:paraId="1754C680"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Dla wykonania robót zamówionych przy zabezpieczeniu ciągłości funkcjonowania sieci uzbrojenia terenu i instalacji na terenie objętym robotami może zaistnieć konieczność wykonania tymczasowych połączeń tych sieci i instalacji tymczasowych w uzgodnieniu z użytkownikami sieci.</w:t>
      </w:r>
    </w:p>
    <w:p w14:paraId="2A4FDBAB"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Koszt wykonania sieci i instalacji tymczasowych oraz koszt wyłączenia sieci z eksploatacji wraz z ewentualnym odszkodowaniem dla właściciela sieci przewidzieć w cenie jednostkowej wykonania sieci i instalacji docelowych.</w:t>
      </w:r>
    </w:p>
    <w:p w14:paraId="54AAE751"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p>
    <w:p w14:paraId="3B78F11B" w14:textId="77777777" w:rsidR="000A3B2B" w:rsidRDefault="000A3B2B" w:rsidP="000E4A55">
      <w:pPr>
        <w:autoSpaceDE w:val="0"/>
        <w:autoSpaceDN w:val="0"/>
        <w:adjustRightInd w:val="0"/>
        <w:spacing w:before="225" w:after="12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lastRenderedPageBreak/>
        <w:t>10.</w:t>
      </w:r>
      <w:r>
        <w:rPr>
          <w:rFonts w:ascii="Arial" w:hAnsi="Arial" w:cs="Arial"/>
          <w:b/>
          <w:bCs/>
          <w:color w:val="000000"/>
          <w:sz w:val="18"/>
          <w:szCs w:val="18"/>
          <w:lang w:val="x-none"/>
        </w:rPr>
        <w:tab/>
        <w:t xml:space="preserve"> DOKUMENTY ODNIESIENIA</w:t>
      </w:r>
    </w:p>
    <w:p w14:paraId="29C67B1E" w14:textId="77777777" w:rsidR="000A3B2B" w:rsidRDefault="000A3B2B" w:rsidP="000E4A5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10.1.  Ustawy</w:t>
      </w:r>
    </w:p>
    <w:p w14:paraId="3E6DED5D"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Ustawa z dnia 7 lipca 1994 r. Prawo budowlane (tekst jednolity Dz. U. z 2016 r. Nr 0, poz. 290).</w:t>
      </w:r>
    </w:p>
    <w:p w14:paraId="1A37DCDB"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Ustawa z dnia 29 stycznia 2004 r. – Prawo zamówień publicznych (tekst jednolity Dz. U. 2015, poz. 2164).</w:t>
      </w:r>
    </w:p>
    <w:p w14:paraId="6C208FC1"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Ustawa z dnia 16 kwietnia 2004 r. o wyrobach budowlanych (tekst jednolity Dz. U. z 2016 r. Nr 0, poz. 1570).</w:t>
      </w:r>
    </w:p>
    <w:p w14:paraId="3837C2EB"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Ustawa z dnia 30 sierpnia 2002 r. o systemie oceny zgodności (tekst jednolity Dz. U. z 2016 r. Nr 0, poz. 655).</w:t>
      </w:r>
    </w:p>
    <w:p w14:paraId="4E3D891D"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Ustawa z dnia 24 sierpnia 1991 r. – o ochronie przeciwpożarowej (tekst jednolity Dz. U. z 2016 r. Nr 0, poz. 191).</w:t>
      </w:r>
    </w:p>
    <w:p w14:paraId="29C1EBE9"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Ustawa z dnia 21 grudnia 2000 r. – o dozorze technicznym (tekst jednolity Dz. U. z 2015 r. Nr 0, poz. 1125). </w:t>
      </w:r>
    </w:p>
    <w:p w14:paraId="0F842356"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Ustawa z dnia 15 grudnia 2000 r. – o samorządach zawodowych architektów oraz inżynierów budownictwa (tekst jednolity Dz. U. z 2016 r. Nr 0, poz. 1725).</w:t>
      </w:r>
    </w:p>
    <w:p w14:paraId="5B4C5DFA"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Ustawa z dnia 27 kwietnia 2001 r. – Prawo ochrony środowiska (tekst jednolity Dz. U. z 2016 r. Nr 0, poz. 672).</w:t>
      </w:r>
    </w:p>
    <w:p w14:paraId="1BBE2174"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Ustawa z dnia 18 kwietnia 2001 r. – Prawo wodne (tekst jednolity Dz. U. z 2015 r. poz. 469).</w:t>
      </w:r>
    </w:p>
    <w:p w14:paraId="68162C9D"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Ustawa z dnia 10 kwietnia 2003 r. – o szczególnych zasadach przygotowania i realizacji inwestycji w zakresie dróg publicznych (tekst jednolity Dz. U. z 2015 r. poz. 2031).</w:t>
      </w:r>
    </w:p>
    <w:p w14:paraId="35BA7C32"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Ustawa z dnia 20 czerwca 1997 r. – Prawo o ruchu drogowym (tekst jednolity Dz. U. z 2017 r. poz. 128). </w:t>
      </w:r>
    </w:p>
    <w:p w14:paraId="4E3B58FD"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Ustawa z dnia 21 marca 1985 r. – o drogach publicznych (tekst jednolity Dz. U z 2015 r., poz. 460).</w:t>
      </w:r>
    </w:p>
    <w:p w14:paraId="55D1BF0C"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p>
    <w:p w14:paraId="6A9B00BB" w14:textId="77777777" w:rsidR="000A3B2B" w:rsidRDefault="000A3B2B" w:rsidP="000E4A5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10.2.  Rozporządzenia</w:t>
      </w:r>
    </w:p>
    <w:p w14:paraId="5777E9D0"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Rozporządzenie Ministra Infrastruktury z dnia 2 września 2004 r. w sprawie szczegółowego zakresu i formy dokumentacji projektowej, specyfikacji technicznych wykonania i odbioru robót budowlanych oraz programu funkcjonalno-użytkowego (tekst jednolity Dz. U. z 2013 r. Nr 0, poz. 1129).</w:t>
      </w:r>
    </w:p>
    <w:p w14:paraId="2E51AF46"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Rozporządzenie Ministra Transportu, Budownictwa i Gospodarki Morskiej z dnia 25 kwietnia 2012 r. w sprawie szczegółowego zakresu i formy projektu budowlanego (Dz. U. z 2012 r. Nr 0, poz. 462 z późniejszymi zmianami).</w:t>
      </w:r>
    </w:p>
    <w:p w14:paraId="0EBDDAB0"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Rozporządzenie Ministra Infrastruktury z dnia 26 czerwca 2002 r. – w sprawie dziennika budowy, montażu i rozbiórki, tablicy informacyjnej oraz ogłoszenia zawierającego dane dotyczące bezpieczeństwa pracy i ochrony zdrowia (Dz. U. z 2002 r. Nr 108, poz. 953, z </w:t>
      </w:r>
      <w:proofErr w:type="spellStart"/>
      <w:r>
        <w:rPr>
          <w:rFonts w:ascii="Arial" w:hAnsi="Arial" w:cs="Arial"/>
          <w:color w:val="000000"/>
          <w:sz w:val="18"/>
          <w:szCs w:val="18"/>
          <w:lang w:val="x-none"/>
        </w:rPr>
        <w:t>późn</w:t>
      </w:r>
      <w:proofErr w:type="spellEnd"/>
      <w:r>
        <w:rPr>
          <w:rFonts w:ascii="Arial" w:hAnsi="Arial" w:cs="Arial"/>
          <w:color w:val="000000"/>
          <w:sz w:val="18"/>
          <w:szCs w:val="18"/>
          <w:lang w:val="x-none"/>
        </w:rPr>
        <w:t>. zm.).</w:t>
      </w:r>
    </w:p>
    <w:p w14:paraId="247B45A4"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Rozporządzenie Ministra Infrastruktury z dnia 12 kwietnia 2002 r. w sprawie warunków technicznych, jakim powinny odpowiadać budynki i ich usytuowanie (tekst jednolity Dz. U. z 2015 r. Nr 0, poz. 1422).</w:t>
      </w:r>
    </w:p>
    <w:p w14:paraId="282B64CB"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Rozporządzenie Ministra Infrastruktury i Budownictwa z dnia 17 listopada 2016 r. w sprawie krajowych ocen technicznych (Dz. U. z 2016 r. poz. 1968)</w:t>
      </w:r>
    </w:p>
    <w:p w14:paraId="23C68CC6"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Rozporządzenie Ministra Infrastruktury z dnia 23 czerwca 2003 r. – w sprawie informacji dotyczącej bezpieczeństwa i ochrony zdrowia oraz planu bezpieczeństwa i ochrony zdrowia (Dz. U. z 2003 r. Nr 120, poz. 1126).</w:t>
      </w:r>
    </w:p>
    <w:p w14:paraId="13135748"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Rozporządzenie Ministra Pracy i Polityki Społecznej z dnia 26 września 1997 r. – w sprawie ogólnych przepisów bezpieczeństwa i higieny pracy (Dz. U. z 1997 r. Nr 129 poz. 844 – tekst jednolity – Dz. U. z 2003 r. Nr 169, poz. 1650).</w:t>
      </w:r>
    </w:p>
    <w:p w14:paraId="68082657"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Rozporządzenie Ministra Infrastruktury z dnia 6 lutego 2003 r. – w sprawie bezpieczeństwa i higieny pracy podczas wykonywania robót budowlanych (Dz. U. z 2003 r. Nr 47, poz. 401).</w:t>
      </w:r>
    </w:p>
    <w:p w14:paraId="1BB3D8DC"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Rozporządzenie Ministra Komunikacji oraz Administracji, Gospodarki Terenowej i Ochrony Środowiska z dnia 10 lutego 1977 r. w sprawie bezpieczeństwa i higieny pracy przy wykonywaniu robót drogowych i mostowych (Dz. U. z 1977 r. Nr 7, poz. 30).</w:t>
      </w:r>
    </w:p>
    <w:p w14:paraId="5D93300F"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Rozporządzenie Ministra Gospodarki Przestrzennej i Budownictwa z dnia 21 lutego 1995 r. w sprawie rodzaju i zakresu opracowań geodezyjno-kartograficznych oraz czynności geodezyjnych obowiązujących w budownictwie (Dz. U. z 1995 r. Nr 25, poz. 133).</w:t>
      </w:r>
    </w:p>
    <w:p w14:paraId="72A79BDE"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Rozporządzenie Ministra Kultury i Dziedzictwa Narodowego z dnia 14 października 2015 r. w sprawie prowadzenia prac konserwatorskich, restauratorskich, robót budowlanych, badań konserwatorskich, badań architektonicznych i innych działań przy zabytku wpisanym do rejestru zabytków oraz badań archeologicznych i poszukiwań zabytków (Dz. U. z 2015 r. poz. 1789).</w:t>
      </w:r>
    </w:p>
    <w:p w14:paraId="23138D7C"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Rozporządzenie Ministra Środowiska z dnia 9 grudnia 2014 r. w sprawie katalogu odpadów (Dz. U. z 2014 r. poz. 1923).</w:t>
      </w:r>
    </w:p>
    <w:p w14:paraId="40278F03"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Rozporządzenie (WE) nr 2195/2002 Parlamentu Europejskiego i Rady z dnia 5 listopada 2002 r. w sprawie Wspólnego Słownika Zamówień (CPV).</w:t>
      </w:r>
    </w:p>
    <w:p w14:paraId="48A62C13"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Rozporządzenie Komisji (WE) nr 213/2008 z dnia 28 listopada 2007 r. zmieniające rozporządzenie (WE) nr 2195/2003 Parlamentu Europejskiego i Rady w sprawie Wspólnego Słownika Zamówień (CPV) oraz dyrektywy 2004/17/WE i 2004/18/WE Parlamentu Europejskiego i Rady dotyczące procedur udzielania zamówień publicznych w zakresie zmiany CPV.</w:t>
      </w:r>
    </w:p>
    <w:p w14:paraId="29F5A168"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lastRenderedPageBreak/>
        <w:t>–</w:t>
      </w:r>
      <w:r>
        <w:rPr>
          <w:rFonts w:ascii="Arial" w:hAnsi="Arial" w:cs="Arial"/>
          <w:color w:val="000000"/>
          <w:sz w:val="18"/>
          <w:szCs w:val="18"/>
          <w:lang w:val="x-none"/>
        </w:rPr>
        <w:tab/>
        <w:t>Rozporządzenie Parlamentu Europejskiego I Rady (UE) NR 305/2011 z dnia 9 marca 2011 r. ustanawiające zharmonizowane warunki wprowadzania do obrotu wyrobów budowlanych i uchylające dyrektywę Rady 89/106/EWG.</w:t>
      </w:r>
    </w:p>
    <w:p w14:paraId="4F3DD7B7"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p>
    <w:p w14:paraId="12896585" w14:textId="77777777" w:rsidR="000A3B2B" w:rsidRDefault="000A3B2B" w:rsidP="000E4A5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10.3.  Normy</w:t>
      </w:r>
    </w:p>
    <w:p w14:paraId="3C085138"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PN-ISO 6707-1 Budynki i budowle – Terminologia cz. 1: Terminy ogólne.</w:t>
      </w:r>
    </w:p>
    <w:p w14:paraId="2620AA23"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PN-ISO 6707-2 Budownictwo – Terminologia, Terminy stosowane w umowach.</w:t>
      </w:r>
    </w:p>
    <w:p w14:paraId="4E2BBD8E"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PN-IEC 60050-826 Międzynarodowy słownik terminologiczny elektryki. Część 826: Instalacje elektryczne.</w:t>
      </w:r>
    </w:p>
    <w:p w14:paraId="7F13DD4E"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p>
    <w:p w14:paraId="381DE8AE" w14:textId="77777777" w:rsidR="000A3B2B" w:rsidRDefault="000A3B2B" w:rsidP="000E4A5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10.4.  Inne dokumenty i instrukcje</w:t>
      </w:r>
    </w:p>
    <w:p w14:paraId="6E74320D"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Warunki techniczne wykonania i odbioru robót budowlanych. Poradnik projektanta, kierownika budowy i inspektora nadzoru. Praca zbiorowa, </w:t>
      </w:r>
      <w:proofErr w:type="spellStart"/>
      <w:r>
        <w:rPr>
          <w:rFonts w:ascii="Arial" w:hAnsi="Arial" w:cs="Arial"/>
          <w:color w:val="000000"/>
          <w:sz w:val="18"/>
          <w:szCs w:val="18"/>
          <w:lang w:val="x-none"/>
        </w:rPr>
        <w:t>Verlag</w:t>
      </w:r>
      <w:proofErr w:type="spellEnd"/>
      <w:r>
        <w:rPr>
          <w:rFonts w:ascii="Arial" w:hAnsi="Arial" w:cs="Arial"/>
          <w:color w:val="000000"/>
          <w:sz w:val="18"/>
          <w:szCs w:val="18"/>
          <w:lang w:val="x-none"/>
        </w:rPr>
        <w:t xml:space="preserve"> </w:t>
      </w:r>
      <w:proofErr w:type="spellStart"/>
      <w:r>
        <w:rPr>
          <w:rFonts w:ascii="Arial" w:hAnsi="Arial" w:cs="Arial"/>
          <w:color w:val="000000"/>
          <w:sz w:val="18"/>
          <w:szCs w:val="18"/>
          <w:lang w:val="x-none"/>
        </w:rPr>
        <w:t>Dashofer</w:t>
      </w:r>
      <w:proofErr w:type="spellEnd"/>
      <w:r>
        <w:rPr>
          <w:rFonts w:ascii="Arial" w:hAnsi="Arial" w:cs="Arial"/>
          <w:color w:val="000000"/>
          <w:sz w:val="18"/>
          <w:szCs w:val="18"/>
          <w:lang w:val="x-none"/>
        </w:rPr>
        <w:t>, Warszawa 2015 r.</w:t>
      </w:r>
    </w:p>
    <w:p w14:paraId="7AB10A90"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Warunki techniczne wykonania i odbioru robót budowlano-montażowych, (tom I, II, III, IV, V) Arkady, Warszawa 1989-1990.</w:t>
      </w:r>
    </w:p>
    <w:p w14:paraId="74EF419A"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Warunki techniczne wykonania i odbioru robót budowlanych. Instytut Techniki Budowlanej, Warszawa 2003.</w:t>
      </w:r>
    </w:p>
    <w:p w14:paraId="19B4A490"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Warunki techniczne, COBRTI INSTAL, wydane przez Centralny Ośrodek Badawczo-Rozwojowy Techniki instalacyjnej INSTAL:</w:t>
      </w:r>
    </w:p>
    <w:p w14:paraId="4219E647" w14:textId="77777777" w:rsidR="000A3B2B" w:rsidRDefault="000A3B2B" w:rsidP="000E4A55">
      <w:pPr>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Warunki techniczne wykonania i odbioru sieci wodociągowych, Warszawa 2001, Zeszyt 3,</w:t>
      </w:r>
    </w:p>
    <w:p w14:paraId="76A413F2" w14:textId="77777777" w:rsidR="000A3B2B" w:rsidRDefault="000A3B2B" w:rsidP="000E4A55">
      <w:pPr>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Warunki techniczne wykonanie i odbioru sieci ciepłowniczych z rur i elementów preizolowanych, Warszawa 2002, Zeszyt 4,</w:t>
      </w:r>
    </w:p>
    <w:p w14:paraId="0F9E292C" w14:textId="77777777" w:rsidR="000A3B2B" w:rsidRDefault="000A3B2B" w:rsidP="000E4A55">
      <w:pPr>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Warunki techniczne wykonanie i odbioru sieci kanalizacyjnych, Warszawa 2003, Zeszyt 9,</w:t>
      </w:r>
    </w:p>
    <w:p w14:paraId="419E3302" w14:textId="77777777" w:rsidR="000A3B2B" w:rsidRDefault="000A3B2B" w:rsidP="000E4A55">
      <w:pPr>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Warunki techniczne wykonanie i odbioru instalacji wentylacyjnych, Warszawa 2002, Zeszyt 5,</w:t>
      </w:r>
    </w:p>
    <w:p w14:paraId="6D17AC24" w14:textId="77777777" w:rsidR="000A3B2B" w:rsidRDefault="000A3B2B" w:rsidP="000E4A55">
      <w:pPr>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Warunki techniczne wykonanie i odbioru instalacji ogrzewczych, Warszawa 2003, Zeszyt 6,</w:t>
      </w:r>
    </w:p>
    <w:p w14:paraId="4033C7CE" w14:textId="77777777" w:rsidR="000A3B2B" w:rsidRDefault="000A3B2B" w:rsidP="000E4A55">
      <w:pPr>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Warunki techniczne wykonanie i odbioru instalacji wodociągowych, Warszawa 2003, Zeszyt 7,</w:t>
      </w:r>
    </w:p>
    <w:p w14:paraId="1D8504E0" w14:textId="77777777" w:rsidR="000A3B2B" w:rsidRDefault="000A3B2B" w:rsidP="000E4A55">
      <w:pPr>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Warunki techniczne wykonanie i odbioru węzłów ciepłowniczych, Warszawa 2003, Zeszyt 8,</w:t>
      </w:r>
    </w:p>
    <w:p w14:paraId="1318D374" w14:textId="77777777" w:rsidR="000A3B2B" w:rsidRDefault="000A3B2B" w:rsidP="000E4A55">
      <w:pPr>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Warunki techniczne wykonanie i odbioru instalacji kanalizacyjnych, Warszawa 2006, Zeszyt 12.</w:t>
      </w:r>
    </w:p>
    <w:p w14:paraId="3A74C6F5"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p>
    <w:p w14:paraId="2D01793A" w14:textId="77777777" w:rsidR="000A3B2B" w:rsidRDefault="000A3B2B" w:rsidP="000E4A55">
      <w:pPr>
        <w:autoSpaceDE w:val="0"/>
        <w:autoSpaceDN w:val="0"/>
        <w:adjustRightInd w:val="0"/>
        <w:spacing w:after="0" w:line="240" w:lineRule="auto"/>
        <w:rPr>
          <w:rFonts w:ascii="Arial" w:hAnsi="Arial" w:cs="Arial"/>
          <w:color w:val="000000"/>
          <w:sz w:val="18"/>
          <w:szCs w:val="18"/>
          <w:lang w:val="x-none"/>
        </w:rPr>
      </w:pPr>
    </w:p>
    <w:p w14:paraId="2C945FD7" w14:textId="77777777" w:rsidR="000A3B2B" w:rsidRDefault="000A3B2B" w:rsidP="004B46BA">
      <w:pPr>
        <w:pStyle w:val="Styl1"/>
      </w:pPr>
      <w:r>
        <w:br w:type="page"/>
      </w:r>
      <w:r>
        <w:lastRenderedPageBreak/>
        <w:t>ROBOTY ZIEMNE PRZY WYKONYWANIU WYKOPÓW LINIOWYCH POD RUROCIĄGI W GRUNTACH KAT. I-IV</w:t>
      </w:r>
    </w:p>
    <w:p w14:paraId="532D96AB" w14:textId="77777777" w:rsidR="000A3B2B" w:rsidRDefault="000A3B2B" w:rsidP="000E4A55">
      <w:pPr>
        <w:autoSpaceDE w:val="0"/>
        <w:autoSpaceDN w:val="0"/>
        <w:adjustRightInd w:val="0"/>
        <w:spacing w:after="0" w:line="288" w:lineRule="auto"/>
        <w:rPr>
          <w:rFonts w:ascii="Arial" w:hAnsi="Arial" w:cs="Arial"/>
          <w:b/>
          <w:bCs/>
          <w:color w:val="000000"/>
          <w:sz w:val="18"/>
          <w:szCs w:val="18"/>
          <w:lang w:val="x-none"/>
        </w:rPr>
      </w:pPr>
      <w:r>
        <w:rPr>
          <w:rFonts w:ascii="Arial" w:hAnsi="Arial" w:cs="Arial"/>
          <w:b/>
          <w:bCs/>
          <w:color w:val="000000"/>
          <w:sz w:val="18"/>
          <w:szCs w:val="18"/>
          <w:lang w:val="x-none"/>
        </w:rPr>
        <w:t>1.</w:t>
      </w:r>
      <w:r>
        <w:rPr>
          <w:rFonts w:ascii="Arial" w:hAnsi="Arial" w:cs="Arial"/>
          <w:b/>
          <w:bCs/>
          <w:color w:val="000000"/>
          <w:sz w:val="18"/>
          <w:szCs w:val="18"/>
          <w:lang w:val="x-none"/>
        </w:rPr>
        <w:tab/>
        <w:t>CZĘŚĆ OGÓLNA</w:t>
      </w:r>
    </w:p>
    <w:p w14:paraId="16F9F69D" w14:textId="77777777" w:rsidR="000A3B2B" w:rsidRDefault="000A3B2B" w:rsidP="000E4A5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1.1.</w:t>
      </w:r>
      <w:r>
        <w:rPr>
          <w:rFonts w:ascii="Arial" w:hAnsi="Arial" w:cs="Arial"/>
          <w:b/>
          <w:bCs/>
          <w:color w:val="000000"/>
          <w:sz w:val="18"/>
          <w:szCs w:val="18"/>
          <w:lang w:val="x-none"/>
        </w:rPr>
        <w:tab/>
        <w:t>Nazwa nadana zamówieniu przez Zamawiającego</w:t>
      </w:r>
    </w:p>
    <w:p w14:paraId="0E76AC5F" w14:textId="77777777" w:rsidR="000A3B2B" w:rsidRDefault="000A3B2B" w:rsidP="000E4A55">
      <w:pPr>
        <w:tabs>
          <w:tab w:val="right" w:leader="dot" w:pos="7035"/>
        </w:tabs>
        <w:autoSpaceDE w:val="0"/>
        <w:autoSpaceDN w:val="0"/>
        <w:adjustRightInd w:val="0"/>
        <w:spacing w:after="30" w:line="240" w:lineRule="auto"/>
        <w:jc w:val="both"/>
        <w:rPr>
          <w:rFonts w:ascii="Arial" w:hAnsi="Arial" w:cs="Arial"/>
          <w:color w:val="000000"/>
          <w:sz w:val="18"/>
          <w:szCs w:val="18"/>
          <w:lang w:val="x-none"/>
        </w:rPr>
      </w:pPr>
      <w:r w:rsidRPr="00D8129F">
        <w:rPr>
          <w:rFonts w:ascii="Arial" w:hAnsi="Arial" w:cs="Arial"/>
          <w:noProof/>
          <w:color w:val="000000"/>
          <w:sz w:val="18"/>
          <w:szCs w:val="18"/>
          <w:lang w:val="x-none"/>
        </w:rPr>
        <w:t>Termomodernizacja budynku Szkoły Podstawowej nr 3 przy ul. Marii Konopnickiej 2 w Reszlu.</w:t>
      </w:r>
    </w:p>
    <w:p w14:paraId="79BF68FD" w14:textId="77777777" w:rsidR="000A3B2B" w:rsidRDefault="000A3B2B" w:rsidP="000E4A5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1.2.</w:t>
      </w:r>
      <w:r>
        <w:rPr>
          <w:rFonts w:ascii="Arial" w:hAnsi="Arial" w:cs="Arial"/>
          <w:b/>
          <w:bCs/>
          <w:color w:val="000000"/>
          <w:sz w:val="18"/>
          <w:szCs w:val="18"/>
          <w:lang w:val="x-none"/>
        </w:rPr>
        <w:tab/>
        <w:t>Przedmiot ST</w:t>
      </w:r>
    </w:p>
    <w:p w14:paraId="3F2B9FC1"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Przedmiotem niniejszej standardowej specyfikacji technicznej (ST) są wymagania dotyczące wykonania i odbioru wykopów otwartych dla przewodów wodociągowych i kanalizacyjnych, gazowych oraz sieci ciepłowniczych. </w:t>
      </w:r>
    </w:p>
    <w:p w14:paraId="079C940C"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Postanowień zawartych w niniejszej specyfikacji nie stosuje się do wykonywania wykopów na terenach objętych szkodami górniczymi.</w:t>
      </w:r>
    </w:p>
    <w:p w14:paraId="1CE8372D"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p>
    <w:p w14:paraId="13997046" w14:textId="77777777" w:rsidR="000A3B2B" w:rsidRDefault="000A3B2B" w:rsidP="000E4A5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1.3.</w:t>
      </w:r>
      <w:r>
        <w:rPr>
          <w:rFonts w:ascii="Arial" w:hAnsi="Arial" w:cs="Arial"/>
          <w:b/>
          <w:bCs/>
          <w:color w:val="000000"/>
          <w:sz w:val="18"/>
          <w:szCs w:val="18"/>
          <w:lang w:val="x-none"/>
        </w:rPr>
        <w:tab/>
        <w:t>Zakres stosowania ST</w:t>
      </w:r>
    </w:p>
    <w:p w14:paraId="0074E661"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Standardowa specyfikacja techniczna (ST) stanowi podstawę opracowania szczegółowej specyfikacji technicznej (SST) stosowanej jako dokument przetargowy i kontraktowy, przy zlecaniu i realizacji robót wymienionych w pkt. 1.2. Niniejsza specyfikacja nie ma zastosowania do robót ziemnych związanych z budową obiektów kubaturowych, kolei, dróg samochodowych, budowli wodnych i robót melioracyjnych.</w:t>
      </w:r>
    </w:p>
    <w:p w14:paraId="1FB6CC84"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p>
    <w:p w14:paraId="42D09D0D" w14:textId="77777777" w:rsidR="000A3B2B" w:rsidRDefault="000A3B2B" w:rsidP="000E4A5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1.4.</w:t>
      </w:r>
      <w:r>
        <w:rPr>
          <w:rFonts w:ascii="Arial" w:hAnsi="Arial" w:cs="Arial"/>
          <w:b/>
          <w:bCs/>
          <w:color w:val="000000"/>
          <w:sz w:val="18"/>
          <w:szCs w:val="18"/>
          <w:lang w:val="x-none"/>
        </w:rPr>
        <w:tab/>
        <w:t>Przedmiot i zakres robót objętych ST</w:t>
      </w:r>
    </w:p>
    <w:p w14:paraId="5825CA6F"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Roboty, których dotyczy specyfikacja, obejmują wszystkie czynności podstawowe, pomocnicze i towarzyszące (prace przygotowawcze) występujące przy wykonywaniu robót ziemnych związanych z budową sieci wodociągowych i kanalizacyjnych oraz sieci gazowych i ciepłowniczych.</w:t>
      </w:r>
    </w:p>
    <w:p w14:paraId="3CD3EA3A"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p>
    <w:p w14:paraId="28CD8E1C" w14:textId="77777777" w:rsidR="000A3B2B" w:rsidRDefault="000A3B2B" w:rsidP="000E4A5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1.5.</w:t>
      </w:r>
      <w:r>
        <w:rPr>
          <w:rFonts w:ascii="Arial" w:hAnsi="Arial" w:cs="Arial"/>
          <w:b/>
          <w:bCs/>
          <w:color w:val="000000"/>
          <w:sz w:val="18"/>
          <w:szCs w:val="18"/>
          <w:lang w:val="x-none"/>
        </w:rPr>
        <w:tab/>
        <w:t>Określenia podstawowe, definicje</w:t>
      </w:r>
    </w:p>
    <w:p w14:paraId="70D1963F"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Określenia i pojęcia podstawowe przyjęte w niniejszej specyfikacji technicznej oznaczają:</w:t>
      </w:r>
    </w:p>
    <w:p w14:paraId="337DD311"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 xml:space="preserve">Wykop </w:t>
      </w:r>
      <w:r>
        <w:rPr>
          <w:rFonts w:ascii="Arial" w:hAnsi="Arial" w:cs="Arial"/>
          <w:color w:val="000000"/>
          <w:sz w:val="18"/>
          <w:szCs w:val="18"/>
          <w:lang w:val="x-none"/>
        </w:rPr>
        <w:t xml:space="preserve">– dół szeroko- i </w:t>
      </w:r>
      <w:proofErr w:type="spellStart"/>
      <w:r>
        <w:rPr>
          <w:rFonts w:ascii="Arial" w:hAnsi="Arial" w:cs="Arial"/>
          <w:color w:val="000000"/>
          <w:sz w:val="18"/>
          <w:szCs w:val="18"/>
          <w:lang w:val="x-none"/>
        </w:rPr>
        <w:t>wąskoprzestrzenny</w:t>
      </w:r>
      <w:proofErr w:type="spellEnd"/>
      <w:r>
        <w:rPr>
          <w:rFonts w:ascii="Arial" w:hAnsi="Arial" w:cs="Arial"/>
          <w:color w:val="000000"/>
          <w:sz w:val="18"/>
          <w:szCs w:val="18"/>
          <w:lang w:val="x-none"/>
        </w:rPr>
        <w:t xml:space="preserve"> liniowy dla fundamentów lub dla urządzeń instalacji podziemnych (rurociągów, kabli itp.) oraz miejsca rozbiórki nasypów, wałów lub hałd ziemnych.</w:t>
      </w:r>
    </w:p>
    <w:p w14:paraId="7D170777"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 xml:space="preserve">Wykop liniowy </w:t>
      </w:r>
      <w:r>
        <w:rPr>
          <w:rFonts w:ascii="Arial" w:hAnsi="Arial" w:cs="Arial"/>
          <w:color w:val="000000"/>
          <w:sz w:val="18"/>
          <w:szCs w:val="18"/>
          <w:lang w:val="x-none"/>
        </w:rPr>
        <w:t>– wykop wykonywany na wąskim lecz długim pasie terenu, którego zasadniczym wymiarem jest długość, np. przy układaniu rurociągów pod powierzchnią terenu, przy wykonywaniu torowisk linii kolejowej, ulicy lub drogi.</w:t>
      </w:r>
    </w:p>
    <w:p w14:paraId="77866DB1"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 xml:space="preserve">Wykop </w:t>
      </w:r>
      <w:proofErr w:type="spellStart"/>
      <w:r>
        <w:rPr>
          <w:rFonts w:ascii="Arial" w:hAnsi="Arial" w:cs="Arial"/>
          <w:b/>
          <w:bCs/>
          <w:color w:val="000000"/>
          <w:sz w:val="18"/>
          <w:szCs w:val="18"/>
          <w:lang w:val="x-none"/>
        </w:rPr>
        <w:t>wąskoprzestrzenny</w:t>
      </w:r>
      <w:proofErr w:type="spellEnd"/>
      <w:r>
        <w:rPr>
          <w:rFonts w:ascii="Arial" w:hAnsi="Arial" w:cs="Arial"/>
          <w:b/>
          <w:bCs/>
          <w:color w:val="000000"/>
          <w:sz w:val="18"/>
          <w:szCs w:val="18"/>
          <w:lang w:val="x-none"/>
        </w:rPr>
        <w:t xml:space="preserve"> (wykop wąski) </w:t>
      </w:r>
      <w:r>
        <w:rPr>
          <w:rFonts w:ascii="Arial" w:hAnsi="Arial" w:cs="Arial"/>
          <w:color w:val="000000"/>
          <w:sz w:val="18"/>
          <w:szCs w:val="18"/>
          <w:lang w:val="x-none"/>
        </w:rPr>
        <w:t>– wykop o szerokości dna równej lub mniejszej od 1,50 m i o długości powyżej 1,50 m.</w:t>
      </w:r>
    </w:p>
    <w:p w14:paraId="7B2B1D1A"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Wykop szerokoprzestrzenny (wykop szeroki)</w:t>
      </w:r>
      <w:r>
        <w:rPr>
          <w:rFonts w:ascii="Arial" w:hAnsi="Arial" w:cs="Arial"/>
          <w:color w:val="000000"/>
          <w:sz w:val="18"/>
          <w:szCs w:val="18"/>
          <w:lang w:val="x-none"/>
        </w:rPr>
        <w:t xml:space="preserve"> – wykop o szerokości i długości dna większej od 1,50 m.</w:t>
      </w:r>
    </w:p>
    <w:p w14:paraId="40086DC0"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Plantowanie terenu</w:t>
      </w:r>
      <w:r>
        <w:rPr>
          <w:rFonts w:ascii="Arial" w:hAnsi="Arial" w:cs="Arial"/>
          <w:color w:val="000000"/>
          <w:sz w:val="18"/>
          <w:szCs w:val="18"/>
          <w:lang w:val="x-none"/>
        </w:rPr>
        <w:t xml:space="preserve"> – wyrównanie terenu w gruncie rodzimym do zadanych w projekcie rzędnych przez ścięcie wypukłości i zasypanie zagłębień o średniej wysokości ścięć i głębokości </w:t>
      </w:r>
      <w:proofErr w:type="spellStart"/>
      <w:r>
        <w:rPr>
          <w:rFonts w:ascii="Arial" w:hAnsi="Arial" w:cs="Arial"/>
          <w:color w:val="000000"/>
          <w:sz w:val="18"/>
          <w:szCs w:val="18"/>
          <w:lang w:val="x-none"/>
        </w:rPr>
        <w:t>zasypań</w:t>
      </w:r>
      <w:proofErr w:type="spellEnd"/>
      <w:r>
        <w:rPr>
          <w:rFonts w:ascii="Arial" w:hAnsi="Arial" w:cs="Arial"/>
          <w:color w:val="000000"/>
          <w:sz w:val="18"/>
          <w:szCs w:val="18"/>
          <w:lang w:val="x-none"/>
        </w:rPr>
        <w:t xml:space="preserve"> nie przekraczającej 30 cm, przy odległości przemieszczenia mas ziemnych do 50 m w robotach zmechanizowanych i do 30 m w pracy ręcznej.</w:t>
      </w:r>
    </w:p>
    <w:p w14:paraId="1E67299B"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 xml:space="preserve">Rozplantowanie (odkładu lub ziemi wydobytej z wykopu lub rowu) </w:t>
      </w:r>
      <w:r>
        <w:rPr>
          <w:rFonts w:ascii="Arial" w:hAnsi="Arial" w:cs="Arial"/>
          <w:color w:val="000000"/>
          <w:sz w:val="18"/>
          <w:szCs w:val="18"/>
          <w:lang w:val="x-none"/>
        </w:rPr>
        <w:t>– jest to mechaniczne lub ręczne rozmieszczenie gruntu warstwą o określonej grubości bezpośrednio przy wykonywanym wykopie.</w:t>
      </w:r>
    </w:p>
    <w:p w14:paraId="76B3E464"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Głębokość wykopu</w:t>
      </w:r>
      <w:r>
        <w:rPr>
          <w:rFonts w:ascii="Arial" w:hAnsi="Arial" w:cs="Arial"/>
          <w:color w:val="000000"/>
          <w:sz w:val="18"/>
          <w:szCs w:val="18"/>
          <w:lang w:val="x-none"/>
        </w:rPr>
        <w:t xml:space="preserve"> – odległość pionowa między dnem wykopu a powierzchnią terenu po zdjęciu warstwy ziemi urodzajnej.</w:t>
      </w:r>
    </w:p>
    <w:p w14:paraId="6E4DBC4C"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Wykop płytki</w:t>
      </w:r>
      <w:r>
        <w:rPr>
          <w:rFonts w:ascii="Arial" w:hAnsi="Arial" w:cs="Arial"/>
          <w:color w:val="000000"/>
          <w:sz w:val="18"/>
          <w:szCs w:val="18"/>
          <w:lang w:val="x-none"/>
        </w:rPr>
        <w:t xml:space="preserve"> – wykop, którego głębokość jest mniejsza niż 1 m.</w:t>
      </w:r>
    </w:p>
    <w:p w14:paraId="373DA612"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 xml:space="preserve">Wykop średni </w:t>
      </w:r>
      <w:r>
        <w:rPr>
          <w:rFonts w:ascii="Arial" w:hAnsi="Arial" w:cs="Arial"/>
          <w:color w:val="000000"/>
          <w:sz w:val="18"/>
          <w:szCs w:val="18"/>
          <w:lang w:val="x-none"/>
        </w:rPr>
        <w:t>– wykop, którego głębokość jest zawarta w granicach od 1 do 3 m.</w:t>
      </w:r>
    </w:p>
    <w:p w14:paraId="5318E11F"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Wykop głęboki</w:t>
      </w:r>
      <w:r>
        <w:rPr>
          <w:rFonts w:ascii="Arial" w:hAnsi="Arial" w:cs="Arial"/>
          <w:color w:val="000000"/>
          <w:sz w:val="18"/>
          <w:szCs w:val="18"/>
          <w:lang w:val="x-none"/>
        </w:rPr>
        <w:t xml:space="preserve"> – wykop, którego głębokość przekracza 3 m.</w:t>
      </w:r>
    </w:p>
    <w:p w14:paraId="7C814144"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Ukop</w:t>
      </w:r>
      <w:r>
        <w:rPr>
          <w:rFonts w:ascii="Arial" w:hAnsi="Arial" w:cs="Arial"/>
          <w:color w:val="000000"/>
          <w:sz w:val="18"/>
          <w:szCs w:val="18"/>
          <w:lang w:val="x-none"/>
        </w:rPr>
        <w:t xml:space="preserve"> – miejsce pozyskania gruntu do wykonania zasypki lub nasypów, położony w obrębie obiektu kubaturowego.</w:t>
      </w:r>
    </w:p>
    <w:p w14:paraId="05B1DA33"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Dokop</w:t>
      </w:r>
      <w:r>
        <w:rPr>
          <w:rFonts w:ascii="Arial" w:hAnsi="Arial" w:cs="Arial"/>
          <w:color w:val="000000"/>
          <w:sz w:val="18"/>
          <w:szCs w:val="18"/>
          <w:lang w:val="x-none"/>
        </w:rPr>
        <w:t xml:space="preserve"> – miejsce pozyskania gruntu do wykonania zasypki wykopu fundamentowego lub wykonania nasypów, położone poza placem budowy.</w:t>
      </w:r>
    </w:p>
    <w:p w14:paraId="130C79D2"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Odkład</w:t>
      </w:r>
      <w:r>
        <w:rPr>
          <w:rFonts w:ascii="Arial" w:hAnsi="Arial" w:cs="Arial"/>
          <w:color w:val="000000"/>
          <w:sz w:val="18"/>
          <w:szCs w:val="18"/>
          <w:lang w:val="x-none"/>
        </w:rPr>
        <w:t xml:space="preserve"> – miejsce wbudowania lub składowania (odwiezienia) gruntów pozyskanych w czasie wykonywania wykopów, a nie wykorzystanych do budowy obiektu oraz innych prac związanych z tym obiektem.</w:t>
      </w:r>
    </w:p>
    <w:p w14:paraId="60AA35F8"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 xml:space="preserve">Wskaźnik zagęszczenia gruntu </w:t>
      </w:r>
      <w:r>
        <w:rPr>
          <w:rFonts w:ascii="Arial" w:hAnsi="Arial" w:cs="Arial"/>
          <w:color w:val="000000"/>
          <w:sz w:val="18"/>
          <w:szCs w:val="18"/>
          <w:lang w:val="x-none"/>
        </w:rPr>
        <w:t>– wielkość charakteryzująca stan zagęszczenia gruntu, określona wg wzoru:</w:t>
      </w:r>
    </w:p>
    <w:tbl>
      <w:tblPr>
        <w:tblW w:w="0" w:type="auto"/>
        <w:jc w:val="center"/>
        <w:tblCellSpacing w:w="0" w:type="dxa"/>
        <w:tblLayout w:type="fixed"/>
        <w:tblCellMar>
          <w:left w:w="0" w:type="dxa"/>
          <w:right w:w="0" w:type="dxa"/>
        </w:tblCellMar>
        <w:tblLook w:val="0000" w:firstRow="0" w:lastRow="0" w:firstColumn="0" w:lastColumn="0" w:noHBand="0" w:noVBand="0"/>
      </w:tblPr>
      <w:tblGrid>
        <w:gridCol w:w="638"/>
        <w:gridCol w:w="524"/>
      </w:tblGrid>
      <w:tr w:rsidR="000A3B2B" w14:paraId="7A01A8CF" w14:textId="77777777">
        <w:trPr>
          <w:trHeight w:val="60"/>
          <w:tblCellSpacing w:w="0" w:type="dxa"/>
          <w:jc w:val="center"/>
        </w:trPr>
        <w:tc>
          <w:tcPr>
            <w:tcW w:w="638" w:type="dxa"/>
            <w:vMerge w:val="restart"/>
            <w:tcBorders>
              <w:top w:val="nil"/>
              <w:left w:val="nil"/>
              <w:bottom w:val="nil"/>
              <w:right w:val="nil"/>
            </w:tcBorders>
            <w:vAlign w:val="center"/>
          </w:tcPr>
          <w:p w14:paraId="7CE54C46" w14:textId="77777777" w:rsidR="000A3B2B" w:rsidRDefault="000A3B2B">
            <w:pPr>
              <w:autoSpaceDE w:val="0"/>
              <w:autoSpaceDN w:val="0"/>
              <w:adjustRightInd w:val="0"/>
              <w:spacing w:after="30" w:line="240" w:lineRule="auto"/>
              <w:jc w:val="right"/>
              <w:rPr>
                <w:rFonts w:ascii="Arial" w:hAnsi="Arial" w:cs="Arial"/>
                <w:b/>
                <w:bCs/>
                <w:i/>
                <w:iCs/>
                <w:color w:val="000000"/>
                <w:sz w:val="20"/>
                <w:szCs w:val="20"/>
                <w:lang w:val="x-none"/>
              </w:rPr>
            </w:pPr>
            <w:r>
              <w:rPr>
                <w:rFonts w:ascii="Arial" w:hAnsi="Arial" w:cs="Arial"/>
                <w:b/>
                <w:bCs/>
                <w:i/>
                <w:iCs/>
                <w:color w:val="000000"/>
                <w:sz w:val="20"/>
                <w:szCs w:val="20"/>
                <w:lang w:val="x-none"/>
              </w:rPr>
              <w:t>I</w:t>
            </w:r>
            <w:r>
              <w:rPr>
                <w:rFonts w:ascii="Arial" w:hAnsi="Arial" w:cs="Arial"/>
                <w:b/>
                <w:bCs/>
                <w:i/>
                <w:iCs/>
                <w:color w:val="000000"/>
                <w:position w:val="-2"/>
                <w:sz w:val="10"/>
                <w:szCs w:val="10"/>
                <w:lang w:val="x-none"/>
              </w:rPr>
              <w:t>s</w:t>
            </w:r>
            <w:r>
              <w:rPr>
                <w:rFonts w:ascii="Arial" w:hAnsi="Arial" w:cs="Arial"/>
                <w:b/>
                <w:bCs/>
                <w:i/>
                <w:iCs/>
                <w:color w:val="000000"/>
                <w:sz w:val="20"/>
                <w:szCs w:val="20"/>
                <w:lang w:val="x-none"/>
              </w:rPr>
              <w:t xml:space="preserve"> </w:t>
            </w:r>
            <w:r>
              <w:rPr>
                <w:rFonts w:ascii="Arial" w:hAnsi="Arial" w:cs="Arial"/>
                <w:color w:val="000000"/>
                <w:sz w:val="20"/>
                <w:szCs w:val="20"/>
                <w:lang w:val="x-none"/>
              </w:rPr>
              <w:t>=</w:t>
            </w:r>
            <w:r>
              <w:rPr>
                <w:rFonts w:ascii="Arial" w:hAnsi="Arial" w:cs="Arial"/>
                <w:b/>
                <w:bCs/>
                <w:i/>
                <w:iCs/>
                <w:color w:val="000000"/>
                <w:sz w:val="20"/>
                <w:szCs w:val="20"/>
                <w:lang w:val="x-none"/>
              </w:rPr>
              <w:t xml:space="preserve"> </w:t>
            </w:r>
          </w:p>
        </w:tc>
        <w:tc>
          <w:tcPr>
            <w:tcW w:w="524" w:type="dxa"/>
            <w:tcBorders>
              <w:top w:val="nil"/>
              <w:left w:val="nil"/>
              <w:bottom w:val="single" w:sz="6" w:space="0" w:color="auto"/>
              <w:right w:val="nil"/>
            </w:tcBorders>
            <w:vAlign w:val="center"/>
          </w:tcPr>
          <w:p w14:paraId="03AC09D3" w14:textId="77777777" w:rsidR="000A3B2B" w:rsidRDefault="000A3B2B">
            <w:pPr>
              <w:autoSpaceDE w:val="0"/>
              <w:autoSpaceDN w:val="0"/>
              <w:adjustRightInd w:val="0"/>
              <w:spacing w:after="30" w:line="240" w:lineRule="auto"/>
              <w:jc w:val="center"/>
              <w:rPr>
                <w:rFonts w:ascii="Arial" w:hAnsi="Arial" w:cs="Arial"/>
                <w:b/>
                <w:bCs/>
                <w:i/>
                <w:iCs/>
                <w:color w:val="000000"/>
                <w:position w:val="-2"/>
                <w:sz w:val="10"/>
                <w:szCs w:val="10"/>
                <w:lang w:val="x-none"/>
              </w:rPr>
            </w:pPr>
            <w:r>
              <w:rPr>
                <w:rFonts w:ascii="Arial" w:hAnsi="Arial" w:cs="Arial"/>
                <w:b/>
                <w:bCs/>
                <w:i/>
                <w:iCs/>
                <w:color w:val="000000"/>
                <w:sz w:val="20"/>
                <w:szCs w:val="20"/>
                <w:lang w:val="x-none"/>
              </w:rPr>
              <w:t>p</w:t>
            </w:r>
            <w:r>
              <w:rPr>
                <w:rFonts w:ascii="Arial" w:hAnsi="Arial" w:cs="Arial"/>
                <w:b/>
                <w:bCs/>
                <w:i/>
                <w:iCs/>
                <w:color w:val="000000"/>
                <w:position w:val="-2"/>
                <w:sz w:val="10"/>
                <w:szCs w:val="10"/>
                <w:lang w:val="x-none"/>
              </w:rPr>
              <w:t>d</w:t>
            </w:r>
          </w:p>
        </w:tc>
      </w:tr>
      <w:tr w:rsidR="000A3B2B" w14:paraId="1CD9A6D7" w14:textId="77777777">
        <w:trPr>
          <w:trHeight w:val="60"/>
          <w:tblCellSpacing w:w="0" w:type="dxa"/>
          <w:jc w:val="center"/>
        </w:trPr>
        <w:tc>
          <w:tcPr>
            <w:tcW w:w="638" w:type="dxa"/>
            <w:vMerge/>
            <w:tcBorders>
              <w:top w:val="nil"/>
              <w:left w:val="nil"/>
              <w:bottom w:val="nil"/>
              <w:right w:val="nil"/>
            </w:tcBorders>
            <w:vAlign w:val="center"/>
          </w:tcPr>
          <w:p w14:paraId="2CB60024" w14:textId="77777777" w:rsidR="000A3B2B" w:rsidRDefault="000A3B2B">
            <w:pPr>
              <w:autoSpaceDE w:val="0"/>
              <w:autoSpaceDN w:val="0"/>
              <w:adjustRightInd w:val="0"/>
              <w:spacing w:after="0" w:line="240" w:lineRule="auto"/>
              <w:rPr>
                <w:rFonts w:ascii="Arial" w:hAnsi="Arial" w:cs="Arial"/>
                <w:color w:val="000000"/>
                <w:sz w:val="18"/>
                <w:szCs w:val="18"/>
                <w:lang w:val="x-none"/>
              </w:rPr>
            </w:pPr>
          </w:p>
        </w:tc>
        <w:tc>
          <w:tcPr>
            <w:tcW w:w="524" w:type="dxa"/>
            <w:tcBorders>
              <w:top w:val="single" w:sz="6" w:space="0" w:color="000000"/>
              <w:left w:val="nil"/>
              <w:bottom w:val="nil"/>
              <w:right w:val="nil"/>
            </w:tcBorders>
            <w:vAlign w:val="center"/>
          </w:tcPr>
          <w:p w14:paraId="5D303121" w14:textId="77777777" w:rsidR="000A3B2B" w:rsidRDefault="000A3B2B">
            <w:pPr>
              <w:autoSpaceDE w:val="0"/>
              <w:autoSpaceDN w:val="0"/>
              <w:adjustRightInd w:val="0"/>
              <w:spacing w:after="30" w:line="240" w:lineRule="auto"/>
              <w:jc w:val="center"/>
              <w:rPr>
                <w:rFonts w:ascii="Arial" w:hAnsi="Arial" w:cs="Arial"/>
                <w:b/>
                <w:bCs/>
                <w:i/>
                <w:iCs/>
                <w:color w:val="000000"/>
                <w:position w:val="-2"/>
                <w:sz w:val="10"/>
                <w:szCs w:val="10"/>
                <w:lang w:val="x-none"/>
              </w:rPr>
            </w:pPr>
            <w:r>
              <w:rPr>
                <w:rFonts w:ascii="Arial" w:hAnsi="Arial" w:cs="Arial"/>
                <w:b/>
                <w:bCs/>
                <w:i/>
                <w:iCs/>
                <w:color w:val="000000"/>
                <w:sz w:val="20"/>
                <w:szCs w:val="20"/>
                <w:lang w:val="x-none"/>
              </w:rPr>
              <w:t>p</w:t>
            </w:r>
            <w:proofErr w:type="spellStart"/>
            <w:r>
              <w:rPr>
                <w:rFonts w:ascii="Arial" w:hAnsi="Arial" w:cs="Arial"/>
                <w:b/>
                <w:bCs/>
                <w:i/>
                <w:iCs/>
                <w:color w:val="000000"/>
                <w:position w:val="-2"/>
                <w:sz w:val="10"/>
                <w:szCs w:val="10"/>
                <w:lang w:val="x-none"/>
              </w:rPr>
              <w:t>ds</w:t>
            </w:r>
            <w:proofErr w:type="spellEnd"/>
          </w:p>
        </w:tc>
      </w:tr>
    </w:tbl>
    <w:p w14:paraId="64E25680"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gdzie:</w:t>
      </w:r>
    </w:p>
    <w:p w14:paraId="5A1D68E1" w14:textId="77777777" w:rsidR="000A3B2B" w:rsidRDefault="000A3B2B" w:rsidP="000E4A55">
      <w:pPr>
        <w:autoSpaceDE w:val="0"/>
        <w:autoSpaceDN w:val="0"/>
        <w:adjustRightInd w:val="0"/>
        <w:spacing w:after="30" w:line="240" w:lineRule="auto"/>
        <w:ind w:left="570" w:hanging="570"/>
        <w:jc w:val="both"/>
        <w:rPr>
          <w:rFonts w:ascii="Arial" w:hAnsi="Arial" w:cs="Arial"/>
          <w:color w:val="000000"/>
          <w:sz w:val="18"/>
          <w:szCs w:val="18"/>
          <w:lang w:val="x-none"/>
        </w:rPr>
      </w:pPr>
      <w:r>
        <w:rPr>
          <w:rFonts w:ascii="Arial" w:hAnsi="Arial" w:cs="Arial"/>
          <w:i/>
          <w:iCs/>
          <w:color w:val="000000"/>
          <w:sz w:val="18"/>
          <w:szCs w:val="18"/>
          <w:lang w:val="x-none"/>
        </w:rPr>
        <w:t>p</w:t>
      </w:r>
      <w:r>
        <w:rPr>
          <w:rFonts w:ascii="Arial" w:hAnsi="Arial" w:cs="Arial"/>
          <w:i/>
          <w:iCs/>
          <w:color w:val="000000"/>
          <w:position w:val="-2"/>
          <w:sz w:val="8"/>
          <w:szCs w:val="8"/>
          <w:lang w:val="x-none"/>
        </w:rPr>
        <w:t>d</w:t>
      </w:r>
      <w:r>
        <w:rPr>
          <w:rFonts w:ascii="Arial" w:hAnsi="Arial" w:cs="Arial"/>
          <w:color w:val="000000"/>
          <w:sz w:val="18"/>
          <w:szCs w:val="18"/>
          <w:lang w:val="x-none"/>
        </w:rPr>
        <w:t xml:space="preserve">   –</w:t>
      </w:r>
      <w:r>
        <w:rPr>
          <w:rFonts w:ascii="Arial" w:hAnsi="Arial" w:cs="Arial"/>
          <w:color w:val="000000"/>
          <w:sz w:val="18"/>
          <w:szCs w:val="18"/>
          <w:lang w:val="x-none"/>
        </w:rPr>
        <w:tab/>
        <w:t>gęstość objętościowa szkieletu zagęszczonego gruntu (Mg/m</w:t>
      </w:r>
      <w:r>
        <w:rPr>
          <w:rFonts w:ascii="Arial" w:hAnsi="Arial" w:cs="Arial"/>
          <w:color w:val="000000"/>
          <w:position w:val="4"/>
          <w:sz w:val="8"/>
          <w:szCs w:val="8"/>
          <w:lang w:val="x-none"/>
        </w:rPr>
        <w:t>3</w:t>
      </w:r>
      <w:r>
        <w:rPr>
          <w:rFonts w:ascii="Arial" w:hAnsi="Arial" w:cs="Arial"/>
          <w:color w:val="000000"/>
          <w:sz w:val="18"/>
          <w:szCs w:val="18"/>
          <w:lang w:val="x-none"/>
        </w:rPr>
        <w:t>),</w:t>
      </w:r>
    </w:p>
    <w:p w14:paraId="354D6DA9" w14:textId="77777777" w:rsidR="000A3B2B" w:rsidRDefault="000A3B2B" w:rsidP="000E4A55">
      <w:pPr>
        <w:autoSpaceDE w:val="0"/>
        <w:autoSpaceDN w:val="0"/>
        <w:adjustRightInd w:val="0"/>
        <w:spacing w:after="30" w:line="240" w:lineRule="auto"/>
        <w:ind w:left="570" w:hanging="570"/>
        <w:jc w:val="both"/>
        <w:rPr>
          <w:rFonts w:ascii="Arial" w:hAnsi="Arial" w:cs="Arial"/>
          <w:color w:val="000000"/>
          <w:sz w:val="18"/>
          <w:szCs w:val="18"/>
          <w:lang w:val="x-none"/>
        </w:rPr>
      </w:pPr>
      <w:r>
        <w:rPr>
          <w:rFonts w:ascii="Arial" w:hAnsi="Arial" w:cs="Arial"/>
          <w:i/>
          <w:iCs/>
          <w:color w:val="000000"/>
          <w:sz w:val="18"/>
          <w:szCs w:val="18"/>
          <w:lang w:val="x-none"/>
        </w:rPr>
        <w:t>p</w:t>
      </w:r>
      <w:proofErr w:type="spellStart"/>
      <w:r>
        <w:rPr>
          <w:rFonts w:ascii="Arial" w:hAnsi="Arial" w:cs="Arial"/>
          <w:i/>
          <w:iCs/>
          <w:color w:val="000000"/>
          <w:position w:val="-2"/>
          <w:sz w:val="8"/>
          <w:szCs w:val="8"/>
          <w:lang w:val="x-none"/>
        </w:rPr>
        <w:t>ds</w:t>
      </w:r>
      <w:proofErr w:type="spellEnd"/>
      <w:r>
        <w:rPr>
          <w:rFonts w:ascii="Arial" w:hAnsi="Arial" w:cs="Arial"/>
          <w:color w:val="000000"/>
          <w:sz w:val="18"/>
          <w:szCs w:val="18"/>
          <w:lang w:val="x-none"/>
        </w:rPr>
        <w:t xml:space="preserve">   –</w:t>
      </w:r>
      <w:r>
        <w:rPr>
          <w:rFonts w:ascii="Arial" w:hAnsi="Arial" w:cs="Arial"/>
          <w:color w:val="000000"/>
          <w:sz w:val="18"/>
          <w:szCs w:val="18"/>
          <w:lang w:val="x-none"/>
        </w:rPr>
        <w:tab/>
        <w:t xml:space="preserve">maksymalna gęstość objętościowa szkieletu gruntowego przy wilgotności optymalnej, określona w próbie </w:t>
      </w:r>
      <w:proofErr w:type="spellStart"/>
      <w:r>
        <w:rPr>
          <w:rFonts w:ascii="Arial" w:hAnsi="Arial" w:cs="Arial"/>
          <w:color w:val="000000"/>
          <w:sz w:val="18"/>
          <w:szCs w:val="18"/>
          <w:lang w:val="x-none"/>
        </w:rPr>
        <w:t>Proctora</w:t>
      </w:r>
      <w:proofErr w:type="spellEnd"/>
      <w:r>
        <w:rPr>
          <w:rFonts w:ascii="Arial" w:hAnsi="Arial" w:cs="Arial"/>
          <w:color w:val="000000"/>
          <w:sz w:val="18"/>
          <w:szCs w:val="18"/>
          <w:lang w:val="x-none"/>
        </w:rPr>
        <w:t>, zgodnie z PN-B-04481, służąca do oceny zagęszczenia gruntu w robotach ziemnych, badana zgodnie z normą BN-77/8931-12 (Mg/m</w:t>
      </w:r>
      <w:r>
        <w:rPr>
          <w:rFonts w:ascii="Arial" w:hAnsi="Arial" w:cs="Arial"/>
          <w:color w:val="000000"/>
          <w:position w:val="4"/>
          <w:sz w:val="8"/>
          <w:szCs w:val="8"/>
          <w:lang w:val="x-none"/>
        </w:rPr>
        <w:t>3</w:t>
      </w:r>
      <w:r>
        <w:rPr>
          <w:rFonts w:ascii="Arial" w:hAnsi="Arial" w:cs="Arial"/>
          <w:color w:val="000000"/>
          <w:sz w:val="18"/>
          <w:szCs w:val="18"/>
          <w:lang w:val="x-none"/>
        </w:rPr>
        <w:t>).</w:t>
      </w:r>
    </w:p>
    <w:p w14:paraId="7674B1C6"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 xml:space="preserve">Wskaźnik różnoziarnistości </w:t>
      </w:r>
      <w:r>
        <w:rPr>
          <w:rFonts w:ascii="Arial" w:hAnsi="Arial" w:cs="Arial"/>
          <w:color w:val="000000"/>
          <w:sz w:val="18"/>
          <w:szCs w:val="18"/>
          <w:lang w:val="x-none"/>
        </w:rPr>
        <w:t xml:space="preserve">– wielkość charakteryzująca </w:t>
      </w:r>
      <w:proofErr w:type="spellStart"/>
      <w:r>
        <w:rPr>
          <w:rFonts w:ascii="Arial" w:hAnsi="Arial" w:cs="Arial"/>
          <w:color w:val="000000"/>
          <w:sz w:val="18"/>
          <w:szCs w:val="18"/>
          <w:lang w:val="x-none"/>
        </w:rPr>
        <w:t>zagęszczalność</w:t>
      </w:r>
      <w:proofErr w:type="spellEnd"/>
      <w:r>
        <w:rPr>
          <w:rFonts w:ascii="Arial" w:hAnsi="Arial" w:cs="Arial"/>
          <w:color w:val="000000"/>
          <w:sz w:val="18"/>
          <w:szCs w:val="18"/>
          <w:lang w:val="x-none"/>
        </w:rPr>
        <w:t xml:space="preserve"> gruntów niespoistych, określona wg wzoru:</w:t>
      </w:r>
    </w:p>
    <w:tbl>
      <w:tblPr>
        <w:tblW w:w="0" w:type="auto"/>
        <w:jc w:val="center"/>
        <w:tblCellSpacing w:w="0" w:type="dxa"/>
        <w:tblLayout w:type="fixed"/>
        <w:tblCellMar>
          <w:left w:w="0" w:type="dxa"/>
          <w:right w:w="0" w:type="dxa"/>
        </w:tblCellMar>
        <w:tblLook w:val="0000" w:firstRow="0" w:lastRow="0" w:firstColumn="0" w:lastColumn="0" w:noHBand="0" w:noVBand="0"/>
      </w:tblPr>
      <w:tblGrid>
        <w:gridCol w:w="638"/>
        <w:gridCol w:w="524"/>
      </w:tblGrid>
      <w:tr w:rsidR="000A3B2B" w14:paraId="1069535E" w14:textId="77777777">
        <w:trPr>
          <w:trHeight w:val="60"/>
          <w:tblCellSpacing w:w="0" w:type="dxa"/>
          <w:jc w:val="center"/>
        </w:trPr>
        <w:tc>
          <w:tcPr>
            <w:tcW w:w="638" w:type="dxa"/>
            <w:vMerge w:val="restart"/>
            <w:tcBorders>
              <w:top w:val="nil"/>
              <w:left w:val="nil"/>
              <w:bottom w:val="nil"/>
              <w:right w:val="nil"/>
            </w:tcBorders>
            <w:vAlign w:val="center"/>
          </w:tcPr>
          <w:p w14:paraId="75D500C6" w14:textId="77777777" w:rsidR="000A3B2B" w:rsidRDefault="000A3B2B">
            <w:pPr>
              <w:autoSpaceDE w:val="0"/>
              <w:autoSpaceDN w:val="0"/>
              <w:adjustRightInd w:val="0"/>
              <w:spacing w:after="30" w:line="240" w:lineRule="auto"/>
              <w:jc w:val="right"/>
              <w:rPr>
                <w:rFonts w:ascii="Arial" w:hAnsi="Arial" w:cs="Arial"/>
                <w:b/>
                <w:bCs/>
                <w:i/>
                <w:iCs/>
                <w:color w:val="000000"/>
                <w:sz w:val="20"/>
                <w:szCs w:val="20"/>
                <w:lang w:val="x-none"/>
              </w:rPr>
            </w:pPr>
            <w:r>
              <w:rPr>
                <w:rFonts w:ascii="Arial" w:hAnsi="Arial" w:cs="Arial"/>
                <w:b/>
                <w:bCs/>
                <w:i/>
                <w:iCs/>
                <w:color w:val="000000"/>
                <w:sz w:val="20"/>
                <w:szCs w:val="20"/>
                <w:lang w:val="x-none"/>
              </w:rPr>
              <w:t xml:space="preserve">U </w:t>
            </w:r>
            <w:r>
              <w:rPr>
                <w:rFonts w:ascii="Arial" w:hAnsi="Arial" w:cs="Arial"/>
                <w:color w:val="000000"/>
                <w:sz w:val="20"/>
                <w:szCs w:val="20"/>
                <w:lang w:val="x-none"/>
              </w:rPr>
              <w:t>=</w:t>
            </w:r>
            <w:r>
              <w:rPr>
                <w:rFonts w:ascii="Arial" w:hAnsi="Arial" w:cs="Arial"/>
                <w:b/>
                <w:bCs/>
                <w:i/>
                <w:iCs/>
                <w:color w:val="000000"/>
                <w:sz w:val="20"/>
                <w:szCs w:val="20"/>
                <w:lang w:val="x-none"/>
              </w:rPr>
              <w:t xml:space="preserve"> </w:t>
            </w:r>
          </w:p>
        </w:tc>
        <w:tc>
          <w:tcPr>
            <w:tcW w:w="524" w:type="dxa"/>
            <w:tcBorders>
              <w:top w:val="nil"/>
              <w:left w:val="nil"/>
              <w:bottom w:val="single" w:sz="6" w:space="0" w:color="auto"/>
              <w:right w:val="nil"/>
            </w:tcBorders>
            <w:vAlign w:val="center"/>
          </w:tcPr>
          <w:p w14:paraId="078B91E9" w14:textId="77777777" w:rsidR="000A3B2B" w:rsidRDefault="000A3B2B">
            <w:pPr>
              <w:autoSpaceDE w:val="0"/>
              <w:autoSpaceDN w:val="0"/>
              <w:adjustRightInd w:val="0"/>
              <w:spacing w:after="30" w:line="240" w:lineRule="auto"/>
              <w:jc w:val="center"/>
              <w:rPr>
                <w:rFonts w:ascii="Arial" w:hAnsi="Arial" w:cs="Arial"/>
                <w:b/>
                <w:bCs/>
                <w:i/>
                <w:iCs/>
                <w:color w:val="000000"/>
                <w:position w:val="-2"/>
                <w:sz w:val="10"/>
                <w:szCs w:val="10"/>
                <w:lang w:val="x-none"/>
              </w:rPr>
            </w:pPr>
            <w:r>
              <w:rPr>
                <w:rFonts w:ascii="Arial" w:hAnsi="Arial" w:cs="Arial"/>
                <w:b/>
                <w:bCs/>
                <w:i/>
                <w:iCs/>
                <w:color w:val="000000"/>
                <w:sz w:val="20"/>
                <w:szCs w:val="20"/>
                <w:lang w:val="x-none"/>
              </w:rPr>
              <w:t>d</w:t>
            </w:r>
            <w:r>
              <w:rPr>
                <w:rFonts w:ascii="Arial" w:hAnsi="Arial" w:cs="Arial"/>
                <w:b/>
                <w:bCs/>
                <w:i/>
                <w:iCs/>
                <w:color w:val="000000"/>
                <w:position w:val="-2"/>
                <w:sz w:val="10"/>
                <w:szCs w:val="10"/>
                <w:lang w:val="x-none"/>
              </w:rPr>
              <w:t>60</w:t>
            </w:r>
          </w:p>
        </w:tc>
      </w:tr>
      <w:tr w:rsidR="000A3B2B" w14:paraId="34436183" w14:textId="77777777">
        <w:trPr>
          <w:trHeight w:val="60"/>
          <w:tblCellSpacing w:w="0" w:type="dxa"/>
          <w:jc w:val="center"/>
        </w:trPr>
        <w:tc>
          <w:tcPr>
            <w:tcW w:w="638" w:type="dxa"/>
            <w:vMerge/>
            <w:tcBorders>
              <w:top w:val="nil"/>
              <w:left w:val="nil"/>
              <w:bottom w:val="nil"/>
              <w:right w:val="nil"/>
            </w:tcBorders>
            <w:vAlign w:val="center"/>
          </w:tcPr>
          <w:p w14:paraId="33AFE7B5" w14:textId="77777777" w:rsidR="000A3B2B" w:rsidRDefault="000A3B2B">
            <w:pPr>
              <w:autoSpaceDE w:val="0"/>
              <w:autoSpaceDN w:val="0"/>
              <w:adjustRightInd w:val="0"/>
              <w:spacing w:after="0" w:line="240" w:lineRule="auto"/>
              <w:rPr>
                <w:rFonts w:ascii="Arial" w:hAnsi="Arial" w:cs="Arial"/>
                <w:color w:val="000000"/>
                <w:sz w:val="18"/>
                <w:szCs w:val="18"/>
                <w:lang w:val="x-none"/>
              </w:rPr>
            </w:pPr>
          </w:p>
        </w:tc>
        <w:tc>
          <w:tcPr>
            <w:tcW w:w="524" w:type="dxa"/>
            <w:tcBorders>
              <w:top w:val="single" w:sz="6" w:space="0" w:color="000000"/>
              <w:left w:val="nil"/>
              <w:bottom w:val="nil"/>
              <w:right w:val="nil"/>
            </w:tcBorders>
            <w:vAlign w:val="center"/>
          </w:tcPr>
          <w:p w14:paraId="7E58EB2F" w14:textId="77777777" w:rsidR="000A3B2B" w:rsidRDefault="000A3B2B">
            <w:pPr>
              <w:autoSpaceDE w:val="0"/>
              <w:autoSpaceDN w:val="0"/>
              <w:adjustRightInd w:val="0"/>
              <w:spacing w:after="30" w:line="240" w:lineRule="auto"/>
              <w:jc w:val="center"/>
              <w:rPr>
                <w:rFonts w:ascii="Arial" w:hAnsi="Arial" w:cs="Arial"/>
                <w:b/>
                <w:bCs/>
                <w:i/>
                <w:iCs/>
                <w:color w:val="000000"/>
                <w:position w:val="-2"/>
                <w:sz w:val="10"/>
                <w:szCs w:val="10"/>
                <w:lang w:val="x-none"/>
              </w:rPr>
            </w:pPr>
            <w:r>
              <w:rPr>
                <w:rFonts w:ascii="Arial" w:hAnsi="Arial" w:cs="Arial"/>
                <w:b/>
                <w:bCs/>
                <w:i/>
                <w:iCs/>
                <w:color w:val="000000"/>
                <w:sz w:val="20"/>
                <w:szCs w:val="20"/>
                <w:lang w:val="x-none"/>
              </w:rPr>
              <w:t>d</w:t>
            </w:r>
            <w:r>
              <w:rPr>
                <w:rFonts w:ascii="Arial" w:hAnsi="Arial" w:cs="Arial"/>
                <w:b/>
                <w:bCs/>
                <w:i/>
                <w:iCs/>
                <w:color w:val="000000"/>
                <w:position w:val="-2"/>
                <w:sz w:val="10"/>
                <w:szCs w:val="10"/>
                <w:lang w:val="x-none"/>
              </w:rPr>
              <w:t>10</w:t>
            </w:r>
          </w:p>
        </w:tc>
      </w:tr>
    </w:tbl>
    <w:p w14:paraId="1800A6C0"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gdzie:</w:t>
      </w:r>
    </w:p>
    <w:p w14:paraId="6C09C427"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i/>
          <w:iCs/>
          <w:color w:val="000000"/>
          <w:sz w:val="18"/>
          <w:szCs w:val="18"/>
          <w:lang w:val="x-none"/>
        </w:rPr>
        <w:t>d</w:t>
      </w:r>
      <w:r>
        <w:rPr>
          <w:rFonts w:ascii="Arial" w:hAnsi="Arial" w:cs="Arial"/>
          <w:color w:val="000000"/>
          <w:position w:val="-2"/>
          <w:sz w:val="8"/>
          <w:szCs w:val="8"/>
          <w:lang w:val="x-none"/>
        </w:rPr>
        <w:t>60</w:t>
      </w:r>
      <w:r>
        <w:rPr>
          <w:rFonts w:ascii="Arial" w:hAnsi="Arial" w:cs="Arial"/>
          <w:color w:val="000000"/>
          <w:sz w:val="18"/>
          <w:szCs w:val="18"/>
          <w:lang w:val="x-none"/>
        </w:rPr>
        <w:t xml:space="preserve"> – średnica oczek sita, przez które przechodzi 60% gruntu (mm),</w:t>
      </w:r>
    </w:p>
    <w:p w14:paraId="4DB6F30B"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i/>
          <w:iCs/>
          <w:color w:val="000000"/>
          <w:sz w:val="18"/>
          <w:szCs w:val="18"/>
          <w:lang w:val="x-none"/>
        </w:rPr>
        <w:t>d</w:t>
      </w:r>
      <w:r>
        <w:rPr>
          <w:rFonts w:ascii="Arial" w:hAnsi="Arial" w:cs="Arial"/>
          <w:color w:val="000000"/>
          <w:position w:val="-2"/>
          <w:sz w:val="8"/>
          <w:szCs w:val="8"/>
          <w:lang w:val="x-none"/>
        </w:rPr>
        <w:t>10</w:t>
      </w:r>
      <w:r>
        <w:rPr>
          <w:rFonts w:ascii="Arial" w:hAnsi="Arial" w:cs="Arial"/>
          <w:color w:val="000000"/>
          <w:sz w:val="18"/>
          <w:szCs w:val="18"/>
          <w:lang w:val="x-none"/>
        </w:rPr>
        <w:t xml:space="preserve"> – średnica oczek sita, przez które przechodzi 10% gruntu (mm).</w:t>
      </w:r>
    </w:p>
    <w:p w14:paraId="7E96D5F8"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 xml:space="preserve">Grunt budowlany </w:t>
      </w:r>
      <w:r>
        <w:rPr>
          <w:rFonts w:ascii="Arial" w:hAnsi="Arial" w:cs="Arial"/>
          <w:color w:val="000000"/>
          <w:sz w:val="18"/>
          <w:szCs w:val="18"/>
          <w:lang w:val="x-none"/>
        </w:rPr>
        <w:t>– część skorupy ziemskiej mogąca współdziałać z obiektem budowlanym, stanowiąca jego element lub służąca jako tworzywo do wykonywania z niego budowli ziemnych.</w:t>
      </w:r>
    </w:p>
    <w:p w14:paraId="7B9B7749"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 xml:space="preserve">Grunt naturalny </w:t>
      </w:r>
      <w:r>
        <w:rPr>
          <w:rFonts w:ascii="Arial" w:hAnsi="Arial" w:cs="Arial"/>
          <w:color w:val="000000"/>
          <w:sz w:val="18"/>
          <w:szCs w:val="18"/>
          <w:lang w:val="x-none"/>
        </w:rPr>
        <w:t>– grunt, którego szkielet powstał w wyniku procesów geologicznych.</w:t>
      </w:r>
    </w:p>
    <w:p w14:paraId="163C36D0"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Grunt antropogeniczny</w:t>
      </w:r>
      <w:r>
        <w:rPr>
          <w:rFonts w:ascii="Arial" w:hAnsi="Arial" w:cs="Arial"/>
          <w:color w:val="000000"/>
          <w:sz w:val="18"/>
          <w:szCs w:val="18"/>
          <w:lang w:val="x-none"/>
        </w:rPr>
        <w:t xml:space="preserve"> – grunt nasypowy utworzony z produktów gospodarczej lub przemysłowej działalności człowieka (odpady komunalne, pyły dymnicowe, odpady poflotacyjne itp.) w wysypiskach, zwałowiskach, budowlach ziemnych itp.</w:t>
      </w:r>
    </w:p>
    <w:p w14:paraId="1F0F96D1"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 xml:space="preserve">Grunt rodzimy </w:t>
      </w:r>
      <w:r>
        <w:rPr>
          <w:rFonts w:ascii="Arial" w:hAnsi="Arial" w:cs="Arial"/>
          <w:color w:val="000000"/>
          <w:sz w:val="18"/>
          <w:szCs w:val="18"/>
          <w:lang w:val="x-none"/>
        </w:rPr>
        <w:t>– grunt powstały w miejscu zalegania w wyniku procesów geologicznych (wietrzenie, sedymentacja w środowisku wodnym itp.); grunty rodzime są zawsze gruntami naturalnymi.</w:t>
      </w:r>
    </w:p>
    <w:p w14:paraId="34198DD1"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Rozróżnia się następujące grunty rodzime:</w:t>
      </w:r>
    </w:p>
    <w:p w14:paraId="5362661D"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skaliste,</w:t>
      </w:r>
    </w:p>
    <w:p w14:paraId="00F4428D"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nieskaliste mineralne,</w:t>
      </w:r>
    </w:p>
    <w:p w14:paraId="35A9D0CC"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nieskaliste organiczne.</w:t>
      </w:r>
    </w:p>
    <w:p w14:paraId="4EBBF714"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Grunt nasypowy</w:t>
      </w:r>
      <w:r>
        <w:rPr>
          <w:rFonts w:ascii="Arial" w:hAnsi="Arial" w:cs="Arial"/>
          <w:color w:val="000000"/>
          <w:sz w:val="18"/>
          <w:szCs w:val="18"/>
          <w:lang w:val="x-none"/>
        </w:rPr>
        <w:t xml:space="preserve"> – grunt naturalny lub antropogeniczny powstały w wyniku działalności człowieka, np. w wysypiskach, zwałowiskach, zbiornikach osadowych, budowlach ziemnych itp.</w:t>
      </w:r>
    </w:p>
    <w:p w14:paraId="1C029ED2"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Grunt skalisty</w:t>
      </w:r>
      <w:r>
        <w:rPr>
          <w:rFonts w:ascii="Arial" w:hAnsi="Arial" w:cs="Arial"/>
          <w:color w:val="000000"/>
          <w:sz w:val="18"/>
          <w:szCs w:val="18"/>
          <w:lang w:val="x-none"/>
        </w:rPr>
        <w:t xml:space="preserve"> – grunt rodzimy, lity lub spękany o nieprzesuniętych blokach (najmniejszy wymiar bloku &gt; 10 cm), którego próbki nie wykazują zmian objętości ani nie rozpadają się (rozmakają) pod działaniem wody destylowanej i mają wytrzymałość na ściskanie </w:t>
      </w:r>
      <w:proofErr w:type="spellStart"/>
      <w:r>
        <w:rPr>
          <w:rFonts w:ascii="Arial" w:hAnsi="Arial" w:cs="Arial"/>
          <w:color w:val="000000"/>
          <w:sz w:val="18"/>
          <w:szCs w:val="18"/>
          <w:lang w:val="x-none"/>
        </w:rPr>
        <w:t>Rc</w:t>
      </w:r>
      <w:proofErr w:type="spellEnd"/>
      <w:r>
        <w:rPr>
          <w:rFonts w:ascii="Arial" w:hAnsi="Arial" w:cs="Arial"/>
          <w:color w:val="000000"/>
          <w:sz w:val="18"/>
          <w:szCs w:val="18"/>
          <w:lang w:val="x-none"/>
        </w:rPr>
        <w:t xml:space="preserve"> &gt; 0,2 </w:t>
      </w:r>
      <w:proofErr w:type="spellStart"/>
      <w:r>
        <w:rPr>
          <w:rFonts w:ascii="Arial" w:hAnsi="Arial" w:cs="Arial"/>
          <w:color w:val="000000"/>
          <w:sz w:val="18"/>
          <w:szCs w:val="18"/>
          <w:lang w:val="x-none"/>
        </w:rPr>
        <w:t>MPa</w:t>
      </w:r>
      <w:proofErr w:type="spellEnd"/>
      <w:r>
        <w:rPr>
          <w:rFonts w:ascii="Arial" w:hAnsi="Arial" w:cs="Arial"/>
          <w:color w:val="000000"/>
          <w:sz w:val="18"/>
          <w:szCs w:val="18"/>
          <w:lang w:val="x-none"/>
        </w:rPr>
        <w:t>.</w:t>
      </w:r>
    </w:p>
    <w:p w14:paraId="2B93AEFD"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 xml:space="preserve">Grunt nieskalisty </w:t>
      </w:r>
      <w:r>
        <w:rPr>
          <w:rFonts w:ascii="Arial" w:hAnsi="Arial" w:cs="Arial"/>
          <w:color w:val="000000"/>
          <w:sz w:val="18"/>
          <w:szCs w:val="18"/>
          <w:lang w:val="x-none"/>
        </w:rPr>
        <w:t>– grunt rodzimy lub autogeniczny nie spełniający warunków gruntu skalistego.</w:t>
      </w:r>
    </w:p>
    <w:p w14:paraId="5BACEB70"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 xml:space="preserve">Grunt spoisty </w:t>
      </w:r>
      <w:r>
        <w:rPr>
          <w:rFonts w:ascii="Arial" w:hAnsi="Arial" w:cs="Arial"/>
          <w:color w:val="000000"/>
          <w:sz w:val="18"/>
          <w:szCs w:val="18"/>
          <w:lang w:val="x-none"/>
        </w:rPr>
        <w:t xml:space="preserve">– nieskalisty grunt mineralny lub organiczny, wykazujący wartość wskaźnika plastyczności </w:t>
      </w:r>
      <w:proofErr w:type="spellStart"/>
      <w:r>
        <w:rPr>
          <w:rFonts w:ascii="Arial" w:hAnsi="Arial" w:cs="Arial"/>
          <w:color w:val="000000"/>
          <w:sz w:val="18"/>
          <w:szCs w:val="18"/>
          <w:lang w:val="x-none"/>
        </w:rPr>
        <w:t>Ip</w:t>
      </w:r>
      <w:proofErr w:type="spellEnd"/>
      <w:r>
        <w:rPr>
          <w:rFonts w:ascii="Arial" w:hAnsi="Arial" w:cs="Arial"/>
          <w:color w:val="000000"/>
          <w:sz w:val="18"/>
          <w:szCs w:val="18"/>
          <w:lang w:val="x-none"/>
        </w:rPr>
        <w:t xml:space="preserve"> &gt; 1% lub wykazujący w stanie wysuszonym stałość kształtu bryłek przy </w:t>
      </w:r>
      <w:proofErr w:type="spellStart"/>
      <w:r>
        <w:rPr>
          <w:rFonts w:ascii="Arial" w:hAnsi="Arial" w:cs="Arial"/>
          <w:color w:val="000000"/>
          <w:sz w:val="18"/>
          <w:szCs w:val="18"/>
          <w:lang w:val="x-none"/>
        </w:rPr>
        <w:t>naprężeniach</w:t>
      </w:r>
      <w:proofErr w:type="spellEnd"/>
      <w:r>
        <w:rPr>
          <w:rFonts w:ascii="Arial" w:hAnsi="Arial" w:cs="Arial"/>
          <w:color w:val="000000"/>
          <w:sz w:val="18"/>
          <w:szCs w:val="18"/>
          <w:lang w:val="x-none"/>
        </w:rPr>
        <w:t xml:space="preserve"> &gt; 0,01 </w:t>
      </w:r>
      <w:proofErr w:type="spellStart"/>
      <w:r>
        <w:rPr>
          <w:rFonts w:ascii="Arial" w:hAnsi="Arial" w:cs="Arial"/>
          <w:color w:val="000000"/>
          <w:sz w:val="18"/>
          <w:szCs w:val="18"/>
          <w:lang w:val="x-none"/>
        </w:rPr>
        <w:t>MPa</w:t>
      </w:r>
      <w:proofErr w:type="spellEnd"/>
      <w:r>
        <w:rPr>
          <w:rFonts w:ascii="Arial" w:hAnsi="Arial" w:cs="Arial"/>
          <w:color w:val="000000"/>
          <w:sz w:val="18"/>
          <w:szCs w:val="18"/>
          <w:lang w:val="x-none"/>
        </w:rPr>
        <w:t>; minimalny wymiar bryłek nie może być przy tym mniejszy niż 10-krotny wartość maksymalnej średnicy ziaren. W stanie wilgotnym grunty spoiste wykazują cechę plastyczności.</w:t>
      </w:r>
    </w:p>
    <w:p w14:paraId="13D10520"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 xml:space="preserve">Grunt niespoisty (sypki) </w:t>
      </w:r>
      <w:r>
        <w:rPr>
          <w:rFonts w:ascii="Arial" w:hAnsi="Arial" w:cs="Arial"/>
          <w:color w:val="000000"/>
          <w:sz w:val="18"/>
          <w:szCs w:val="18"/>
          <w:lang w:val="x-none"/>
        </w:rPr>
        <w:t>– nieskalisty grunt mineralny lub organiczny nie spełniający warunków podanych dla gruntu spoistego.</w:t>
      </w:r>
    </w:p>
    <w:p w14:paraId="54BE6382"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Podłoże</w:t>
      </w:r>
      <w:r>
        <w:rPr>
          <w:rFonts w:ascii="Arial" w:hAnsi="Arial" w:cs="Arial"/>
          <w:color w:val="000000"/>
          <w:sz w:val="18"/>
          <w:szCs w:val="18"/>
          <w:lang w:val="x-none"/>
        </w:rPr>
        <w:t xml:space="preserve"> – część konstrukcyjna wykopu utrzymująca przewód między dnem wykopu a </w:t>
      </w:r>
      <w:proofErr w:type="spellStart"/>
      <w:r>
        <w:rPr>
          <w:rFonts w:ascii="Arial" w:hAnsi="Arial" w:cs="Arial"/>
          <w:color w:val="000000"/>
          <w:sz w:val="18"/>
          <w:szCs w:val="18"/>
          <w:lang w:val="x-none"/>
        </w:rPr>
        <w:t>obsypką</w:t>
      </w:r>
      <w:proofErr w:type="spellEnd"/>
      <w:r>
        <w:rPr>
          <w:rFonts w:ascii="Arial" w:hAnsi="Arial" w:cs="Arial"/>
          <w:color w:val="000000"/>
          <w:sz w:val="18"/>
          <w:szCs w:val="18"/>
          <w:lang w:val="x-none"/>
        </w:rPr>
        <w:t xml:space="preserve"> lub zasypką wstępną. W podłożu wyróżnia się górną i dolną podsypkę. W przypadku ułożenia przewodu na naturalnym dnie wykopu, dno wykopu jest dolną podsypką.</w:t>
      </w:r>
    </w:p>
    <w:p w14:paraId="26FC45A0"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Grubość warstwy zagęszczenia</w:t>
      </w:r>
      <w:r>
        <w:rPr>
          <w:rFonts w:ascii="Arial" w:hAnsi="Arial" w:cs="Arial"/>
          <w:color w:val="000000"/>
          <w:sz w:val="18"/>
          <w:szCs w:val="18"/>
          <w:lang w:val="x-none"/>
        </w:rPr>
        <w:t xml:space="preserve"> – grubość kolejnej warstwy wypełnienia gruntem przed jej zagęszczeniem.</w:t>
      </w:r>
    </w:p>
    <w:p w14:paraId="3707C4F8"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 xml:space="preserve">Głębokość przykrycia </w:t>
      </w:r>
      <w:r>
        <w:rPr>
          <w:rFonts w:ascii="Arial" w:hAnsi="Arial" w:cs="Arial"/>
          <w:color w:val="000000"/>
          <w:sz w:val="18"/>
          <w:szCs w:val="18"/>
          <w:lang w:val="x-none"/>
        </w:rPr>
        <w:t>– pionowa odległość między wierzchem rury a powierzchnią terenu.</w:t>
      </w:r>
    </w:p>
    <w:p w14:paraId="401C40A0"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Strefa ułożenia przewodu</w:t>
      </w:r>
      <w:r>
        <w:rPr>
          <w:rFonts w:ascii="Arial" w:hAnsi="Arial" w:cs="Arial"/>
          <w:color w:val="000000"/>
          <w:sz w:val="18"/>
          <w:szCs w:val="18"/>
          <w:lang w:val="x-none"/>
        </w:rPr>
        <w:t xml:space="preserve"> – wypełnienie otoczenia przewodu obejmujące podsypkę, obsypkę i wstępną zasypkę.</w:t>
      </w:r>
    </w:p>
    <w:p w14:paraId="16E80E7F"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Zasypka wstępna</w:t>
      </w:r>
      <w:r>
        <w:rPr>
          <w:rFonts w:ascii="Arial" w:hAnsi="Arial" w:cs="Arial"/>
          <w:color w:val="000000"/>
          <w:sz w:val="18"/>
          <w:szCs w:val="18"/>
          <w:lang w:val="x-none"/>
        </w:rPr>
        <w:t xml:space="preserve"> – warstwa wypełniającego materiału gruntowego tuż nad wierzchem rury.</w:t>
      </w:r>
    </w:p>
    <w:p w14:paraId="5F80E5D7"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 xml:space="preserve">Zasypka główna </w:t>
      </w:r>
      <w:r>
        <w:rPr>
          <w:rFonts w:ascii="Arial" w:hAnsi="Arial" w:cs="Arial"/>
          <w:color w:val="000000"/>
          <w:sz w:val="18"/>
          <w:szCs w:val="18"/>
          <w:lang w:val="x-none"/>
        </w:rPr>
        <w:t>– Wypełnienie gruntem między górną powierzchnią zasypki wstępnej a powierzchnią terenu, nasypu, spodem drogi lub spodem konstrukcji torów kolejowych.</w:t>
      </w:r>
    </w:p>
    <w:p w14:paraId="6EFE62C9"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p>
    <w:p w14:paraId="3020B8A0" w14:textId="77777777" w:rsidR="000A3B2B" w:rsidRDefault="000A3B2B" w:rsidP="000E4A5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1.6.</w:t>
      </w:r>
      <w:r>
        <w:rPr>
          <w:rFonts w:ascii="Arial" w:hAnsi="Arial" w:cs="Arial"/>
          <w:b/>
          <w:bCs/>
          <w:color w:val="000000"/>
          <w:sz w:val="18"/>
          <w:szCs w:val="18"/>
          <w:lang w:val="x-none"/>
        </w:rPr>
        <w:tab/>
        <w:t>Ogólne wymagania dotyczące robót</w:t>
      </w:r>
    </w:p>
    <w:p w14:paraId="7257927C"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Wykonawca robót określonych w pkt. 1.4. jest odpowiedzialny za jakość ich wykonania oraz za ich zgodność z dokumentacją projektową, SST i poleceniami Inspektora nadzoru oraz ze sztuką budowlaną. Ogólne wymagania dotyczące robót podano w ST „Wymagania ogólne” Kod CPV 45000000-7, pkt 1.5.</w:t>
      </w:r>
    </w:p>
    <w:p w14:paraId="249BA060" w14:textId="77777777" w:rsidR="000A3B2B" w:rsidRDefault="000A3B2B" w:rsidP="000E4A5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1.6.1.</w:t>
      </w:r>
      <w:r>
        <w:rPr>
          <w:rFonts w:ascii="Arial" w:hAnsi="Arial" w:cs="Arial"/>
          <w:b/>
          <w:bCs/>
          <w:color w:val="000000"/>
          <w:sz w:val="18"/>
          <w:szCs w:val="18"/>
          <w:lang w:val="x-none"/>
        </w:rPr>
        <w:tab/>
        <w:t>Przekazanie terenu budowy</w:t>
      </w:r>
    </w:p>
    <w:p w14:paraId="01644A23"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Zamawiający w terminie określonym w dokumentach umowy przekaże Wykonawcy teren budowy wraz ze wszystkimi wymaganymi uzgodnieniami prawnymi i administracyjnymi, lokalizację i współrzędne punktów głównych obiektu oraz reperów, dziennik budowy oraz dwa egzemplarze dokumentacji projektowej i dwa komplety SST.</w:t>
      </w:r>
    </w:p>
    <w:p w14:paraId="7F7CCA39"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Na Wykonawcy spoczywa odpowiedzialność za ochronę przekazanych mu punktów pomiarowych do chwili odbioru końcowego robót. Uszkodzone lub zniszczone znaki geodezyjne Wykonawca odtworzy i utrwali na własny koszt.</w:t>
      </w:r>
    </w:p>
    <w:p w14:paraId="7166DEAC" w14:textId="77777777" w:rsidR="000A3B2B" w:rsidRDefault="000A3B2B" w:rsidP="000E4A5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1.6.2.</w:t>
      </w:r>
      <w:r>
        <w:rPr>
          <w:rFonts w:ascii="Arial" w:hAnsi="Arial" w:cs="Arial"/>
          <w:b/>
          <w:bCs/>
          <w:color w:val="000000"/>
          <w:sz w:val="18"/>
          <w:szCs w:val="18"/>
          <w:lang w:val="x-none"/>
        </w:rPr>
        <w:tab/>
        <w:t>Zabezpieczenie terenu budowy</w:t>
      </w:r>
    </w:p>
    <w:p w14:paraId="12795C81"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 czasie wykonywania robót Wykonawca dostarczy, zainstaluje i będzie obsługiwał wszystkie tymczasowe urządzenia zabezpieczające takie jak: zapory, światła ostrzegawcze, sygnały itp., zapewniając w ten sposób bezpieczeństwo pojazdów i pieszych.</w:t>
      </w:r>
    </w:p>
    <w:p w14:paraId="54DE899E"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Wykonawca zapewni stałe warunki widoczności w dzień i w nocy tych zapór i znaków, dla których jest to nieodzowne ze względów bezpieczeństwa.</w:t>
      </w:r>
    </w:p>
    <w:p w14:paraId="78525A8C"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Koszt zabezpieczenia terenu budowy nie podlega odrębnej zapłacie i przyjmuje się, że jest włączony w cenę umowną.</w:t>
      </w:r>
    </w:p>
    <w:p w14:paraId="0A689922" w14:textId="77777777" w:rsidR="000A3B2B" w:rsidRDefault="000A3B2B" w:rsidP="000E4A5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1.6.3.</w:t>
      </w:r>
      <w:r>
        <w:rPr>
          <w:rFonts w:ascii="Arial" w:hAnsi="Arial" w:cs="Arial"/>
          <w:b/>
          <w:bCs/>
          <w:color w:val="000000"/>
          <w:sz w:val="18"/>
          <w:szCs w:val="18"/>
          <w:lang w:val="x-none"/>
        </w:rPr>
        <w:tab/>
        <w:t>Ochrona środowiska w czasie wykonywania robót</w:t>
      </w:r>
    </w:p>
    <w:p w14:paraId="69C772F5"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lastRenderedPageBreak/>
        <w:t>Wykonawca ma obowiązek znać i stosować w czasie prowadzenia robót wszelkie przepisy dotyczące ochrony środowiska naturalnego.</w:t>
      </w:r>
    </w:p>
    <w:p w14:paraId="23921765"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 okresie trwania budowy Wykonawca będzie:</w:t>
      </w:r>
    </w:p>
    <w:p w14:paraId="369830DE"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a)</w:t>
      </w:r>
      <w:r>
        <w:rPr>
          <w:rFonts w:ascii="Arial" w:hAnsi="Arial" w:cs="Arial"/>
          <w:color w:val="000000"/>
          <w:sz w:val="18"/>
          <w:szCs w:val="18"/>
          <w:lang w:val="x-none"/>
        </w:rPr>
        <w:tab/>
        <w:t>utrzymywać teren budowy i wykopy w stanie bez wody stojącej,</w:t>
      </w:r>
    </w:p>
    <w:p w14:paraId="079790D0"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b)</w:t>
      </w:r>
      <w:r>
        <w:rPr>
          <w:rFonts w:ascii="Arial" w:hAnsi="Arial" w:cs="Arial"/>
          <w:color w:val="000000"/>
          <w:sz w:val="18"/>
          <w:szCs w:val="18"/>
          <w:lang w:val="x-none"/>
        </w:rPr>
        <w:tab/>
        <w:t>podejmować wszelkie uzasadnione kroki mające na celu stosowanie się do przepisów i norm dotyczących ochrony środowiska na terenie i wokół terenu budowy oraz będzie unikać uszkodzeń lub uciążliwości dla osób lub własności społecznej i innych, a wynikających ze skażenia, hałasu lub innych przyczyn powstałych w następstwie jego sposobu działania.</w:t>
      </w:r>
    </w:p>
    <w:p w14:paraId="5C9B3F12"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Stosując się do tych wymagań, będzie miał szczególny wzgląd na:</w:t>
      </w:r>
    </w:p>
    <w:p w14:paraId="4ACF88A1"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1)</w:t>
      </w:r>
      <w:r>
        <w:rPr>
          <w:rFonts w:ascii="Arial" w:hAnsi="Arial" w:cs="Arial"/>
          <w:color w:val="000000"/>
          <w:sz w:val="18"/>
          <w:szCs w:val="18"/>
          <w:lang w:val="x-none"/>
        </w:rPr>
        <w:tab/>
        <w:t>lokalizację baz, warsztatów, magazynów, składowisk, ukopów i dróg dojazdowych,</w:t>
      </w:r>
    </w:p>
    <w:p w14:paraId="16B96255"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2)</w:t>
      </w:r>
      <w:r>
        <w:rPr>
          <w:rFonts w:ascii="Arial" w:hAnsi="Arial" w:cs="Arial"/>
          <w:color w:val="000000"/>
          <w:sz w:val="18"/>
          <w:szCs w:val="18"/>
          <w:lang w:val="x-none"/>
        </w:rPr>
        <w:tab/>
        <w:t>środki ostrożności i zabezpieczenia przed:</w:t>
      </w:r>
    </w:p>
    <w:p w14:paraId="60FE0230" w14:textId="77777777" w:rsidR="000A3B2B" w:rsidRDefault="000A3B2B" w:rsidP="000E4A55">
      <w:pPr>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t>a)</w:t>
      </w:r>
      <w:r>
        <w:rPr>
          <w:rFonts w:ascii="Arial" w:hAnsi="Arial" w:cs="Arial"/>
          <w:color w:val="000000"/>
          <w:sz w:val="18"/>
          <w:szCs w:val="18"/>
          <w:lang w:val="x-none"/>
        </w:rPr>
        <w:tab/>
        <w:t>zanieczyszczeniem zbiorników i cieków wodnych pyłami lub substancjami toksycznymi,</w:t>
      </w:r>
    </w:p>
    <w:p w14:paraId="0BA6C4D5" w14:textId="77777777" w:rsidR="000A3B2B" w:rsidRDefault="000A3B2B" w:rsidP="000E4A55">
      <w:pPr>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t>b)</w:t>
      </w:r>
      <w:r>
        <w:rPr>
          <w:rFonts w:ascii="Arial" w:hAnsi="Arial" w:cs="Arial"/>
          <w:color w:val="000000"/>
          <w:sz w:val="18"/>
          <w:szCs w:val="18"/>
          <w:lang w:val="x-none"/>
        </w:rPr>
        <w:tab/>
        <w:t>zanieczyszczeniem powietrza pyłami i gazami,</w:t>
      </w:r>
    </w:p>
    <w:p w14:paraId="17D9C73E" w14:textId="77777777" w:rsidR="000A3B2B" w:rsidRDefault="000A3B2B" w:rsidP="000E4A55">
      <w:pPr>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t>c)</w:t>
      </w:r>
      <w:r>
        <w:rPr>
          <w:rFonts w:ascii="Arial" w:hAnsi="Arial" w:cs="Arial"/>
          <w:color w:val="000000"/>
          <w:sz w:val="18"/>
          <w:szCs w:val="18"/>
          <w:lang w:val="x-none"/>
        </w:rPr>
        <w:tab/>
        <w:t>możliwością powstania pożaru.</w:t>
      </w:r>
    </w:p>
    <w:p w14:paraId="18BD6147" w14:textId="77777777" w:rsidR="000A3B2B" w:rsidRDefault="000A3B2B" w:rsidP="000E4A55">
      <w:pPr>
        <w:autoSpaceDE w:val="0"/>
        <w:autoSpaceDN w:val="0"/>
        <w:adjustRightInd w:val="0"/>
        <w:spacing w:after="30" w:line="240" w:lineRule="auto"/>
        <w:jc w:val="both"/>
        <w:rPr>
          <w:rFonts w:ascii="Arial" w:hAnsi="Arial" w:cs="Arial"/>
          <w:b/>
          <w:bCs/>
          <w:color w:val="000000"/>
          <w:sz w:val="18"/>
          <w:szCs w:val="18"/>
          <w:lang w:val="x-none"/>
        </w:rPr>
      </w:pPr>
      <w:r>
        <w:rPr>
          <w:rFonts w:ascii="Arial" w:hAnsi="Arial" w:cs="Arial"/>
          <w:color w:val="000000"/>
          <w:sz w:val="18"/>
          <w:szCs w:val="18"/>
          <w:lang w:val="x-none"/>
        </w:rPr>
        <w:t xml:space="preserve"> </w:t>
      </w:r>
      <w:r>
        <w:rPr>
          <w:rFonts w:ascii="Arial" w:hAnsi="Arial" w:cs="Arial"/>
          <w:b/>
          <w:bCs/>
          <w:color w:val="000000"/>
          <w:sz w:val="18"/>
          <w:szCs w:val="18"/>
          <w:lang w:val="x-none"/>
        </w:rPr>
        <w:t>1.6.4.</w:t>
      </w:r>
      <w:r>
        <w:rPr>
          <w:rFonts w:ascii="Arial" w:hAnsi="Arial" w:cs="Arial"/>
          <w:b/>
          <w:bCs/>
          <w:color w:val="000000"/>
          <w:sz w:val="18"/>
          <w:szCs w:val="18"/>
          <w:lang w:val="x-none"/>
        </w:rPr>
        <w:tab/>
        <w:t>Ochrona przeciwpożarowa</w:t>
      </w:r>
    </w:p>
    <w:p w14:paraId="3449ACC5"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Wykonawca ma obowiązek przestrzegać przepisy i wymagania ochrony przeciwpożarowej.</w:t>
      </w:r>
    </w:p>
    <w:p w14:paraId="0975E274"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Wykonawca musi utrzymywać sprawny sprzęt przeciwpożarowy, wymagany przez odpowiednie przepisy, na terenie baz produkcyjnych, w pomieszczeniach biurowych i magazynowych oraz w maszynach i pojazdach. Materiały łatwopalne będą składowane w sposób zgodny z odpowiednimi przepisami i zabezpieczone przed dostępem osób trzecich.</w:t>
      </w:r>
    </w:p>
    <w:p w14:paraId="0A7D2A4D"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Wykonawca jest odpowiedzialny za wszelkie straty spowodowane pożarem wywołanym jako rezultat realizacji robót albo przez personel Wykonawcy.</w:t>
      </w:r>
    </w:p>
    <w:p w14:paraId="7ECC7B40" w14:textId="77777777" w:rsidR="000A3B2B" w:rsidRDefault="000A3B2B" w:rsidP="000E4A5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1.6.5.</w:t>
      </w:r>
      <w:r>
        <w:rPr>
          <w:rFonts w:ascii="Arial" w:hAnsi="Arial" w:cs="Arial"/>
          <w:b/>
          <w:bCs/>
          <w:color w:val="000000"/>
          <w:sz w:val="18"/>
          <w:szCs w:val="18"/>
          <w:lang w:val="x-none"/>
        </w:rPr>
        <w:tab/>
        <w:t>Materiały szkodliwe dla otoczenia</w:t>
      </w:r>
    </w:p>
    <w:p w14:paraId="05A137B2"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Materiały, które w sposób trwały są szkodliwe dla otoczenia, nie będą dopuszczalne do użytku.</w:t>
      </w:r>
    </w:p>
    <w:p w14:paraId="14E25B71"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Nie dopuszcza się użycia materiałów wywołujących szkodliwe promieniowanie o stężeniu większym od dopuszczalnego, określonego odpowiednimi przepisami.</w:t>
      </w:r>
    </w:p>
    <w:p w14:paraId="4ADAC53B"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Wszelkie materiały odpadowe użyte do robót muszą mieć aprobatę techniczną – wydaną do 31 grudnia 2016 r., a po zakończeniu okresu jej ważności krajową ocenę techniczną, jednoznacznie określającą brak szkodliwego oddziaływania tych materiałów na środowisko.</w:t>
      </w:r>
    </w:p>
    <w:p w14:paraId="45CD57B4"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Materiały, które są szkodliwe dla otoczenia tylko w czasie robót, a po zakończeniu robót ich szkodliwość zanika (np. materiały pylaste) mogą być użyte pod warunkiem przestrzegania wymagań technologicznych wbudowania. Jeżeli wymagają tego odpowiednie przepisy Zamawiający powinien otrzymać zgodę na użycie tych materiałów od właściwych organów administracji państwowej.</w:t>
      </w:r>
    </w:p>
    <w:p w14:paraId="71AA641D"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Jeżeli Wykonawca użył materiałów szkodliwych dla otoczenia zgodnie ze specyfikacjami, a ich użycie spowodowało jakiekolwiek zagrożenie środowiska, to konsekwencje tego poniesie Zamawiający.</w:t>
      </w:r>
    </w:p>
    <w:p w14:paraId="30CF9091" w14:textId="77777777" w:rsidR="000A3B2B" w:rsidRDefault="000A3B2B" w:rsidP="000E4A5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1.6.6.</w:t>
      </w:r>
      <w:r>
        <w:rPr>
          <w:rFonts w:ascii="Arial" w:hAnsi="Arial" w:cs="Arial"/>
          <w:b/>
          <w:bCs/>
          <w:color w:val="000000"/>
          <w:sz w:val="18"/>
          <w:szCs w:val="18"/>
          <w:lang w:val="x-none"/>
        </w:rPr>
        <w:tab/>
        <w:t>Ochrona własności publicznej i prywatnej</w:t>
      </w:r>
    </w:p>
    <w:p w14:paraId="25E9D109"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trwania budowy.</w:t>
      </w:r>
    </w:p>
    <w:p w14:paraId="16050F41"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Wykonawca zobowiązany jest umieścić w swoim harmonogramie rezerwę czasową dla wszelkiego rodzaju robót, które mają być wykonane w zakresie przełożenia instalacji i urządzeń podziemnych na terenie budowy i powiadomić Inspektora nadzoru i władze lokalne o zamiarze rozpoczęcia robót. O fakcie przypadkowego uszkodzenia tych instalacji Wykonawca bezzwłocznie powiadomi Inspektora nadzoru i zainteresowane władze oraz będzie z nimi współpracował, dostarczając wszelkiej pomocy potrzebnej przy dokonywaniu napraw. Wykonawca będzie odpowiadać za wszelkie spowodowane przez jego działania uszkodzenia instalacji na powierzchni ziemi i urządzeń podziemnych wykazanych w dokumentach dostarczonych mu przez Zamawiającego.</w:t>
      </w:r>
    </w:p>
    <w:p w14:paraId="5B26E0F1" w14:textId="77777777" w:rsidR="000A3B2B" w:rsidRDefault="000A3B2B" w:rsidP="000E4A55">
      <w:pPr>
        <w:autoSpaceDE w:val="0"/>
        <w:autoSpaceDN w:val="0"/>
        <w:adjustRightInd w:val="0"/>
        <w:spacing w:after="30" w:line="240" w:lineRule="auto"/>
        <w:jc w:val="both"/>
        <w:rPr>
          <w:rFonts w:ascii="Arial" w:hAnsi="Arial" w:cs="Arial"/>
          <w:b/>
          <w:bCs/>
          <w:color w:val="000000"/>
          <w:sz w:val="18"/>
          <w:szCs w:val="18"/>
          <w:lang w:val="x-none"/>
        </w:rPr>
      </w:pPr>
      <w:r>
        <w:rPr>
          <w:rFonts w:ascii="Arial" w:hAnsi="Arial" w:cs="Arial"/>
          <w:b/>
          <w:bCs/>
          <w:color w:val="000000"/>
          <w:sz w:val="18"/>
          <w:szCs w:val="18"/>
          <w:lang w:val="x-none"/>
        </w:rPr>
        <w:t>1.6.7.</w:t>
      </w:r>
      <w:r>
        <w:rPr>
          <w:rFonts w:ascii="Arial" w:hAnsi="Arial" w:cs="Arial"/>
          <w:b/>
          <w:bCs/>
          <w:color w:val="000000"/>
          <w:sz w:val="18"/>
          <w:szCs w:val="18"/>
          <w:lang w:val="x-none"/>
        </w:rPr>
        <w:tab/>
        <w:t>Ograniczenie obciążeń osi pojazdów</w:t>
      </w:r>
    </w:p>
    <w:p w14:paraId="7D905D75"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Wykonawca ma obowiązek stosować się do ustawowych ograniczeń obciążenia na oś przy transporcie materiałów i gruntu, wyposażenia na i z terenu robót. Musi uzyskać on wszelkie niezbędne zezwolenia od władz co do przewozu nietypowych wagowo ładunków.</w:t>
      </w:r>
    </w:p>
    <w:p w14:paraId="265E3E87" w14:textId="77777777" w:rsidR="000A3B2B" w:rsidRDefault="000A3B2B" w:rsidP="000E4A5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1.6.8.</w:t>
      </w:r>
      <w:r>
        <w:rPr>
          <w:rFonts w:ascii="Arial" w:hAnsi="Arial" w:cs="Arial"/>
          <w:b/>
          <w:bCs/>
          <w:color w:val="000000"/>
          <w:sz w:val="18"/>
          <w:szCs w:val="18"/>
          <w:lang w:val="x-none"/>
        </w:rPr>
        <w:tab/>
        <w:t>Bezpieczeństwo i higiena pracy</w:t>
      </w:r>
    </w:p>
    <w:p w14:paraId="08917F9D"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Podczas realizacji robót Wykonawca musi przestrzegać przepisów dotyczących bezpieczeństwa i higieny pracy.</w:t>
      </w:r>
    </w:p>
    <w:p w14:paraId="50D950D9"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 szczególności Wykonawca ma obowiązek zadbać, aby personel nie wykonywał pracy w warunkach niebezpiecznych, szkodliwych dla zdrowia oraz nie spełniających odpowiednich wymagań sanitarnych.</w:t>
      </w:r>
    </w:p>
    <w:p w14:paraId="3BFF721E"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Wykonawca zapewni i będzie utrzymywał wszelkie urządzenia zabezpieczające, socjalne oraz sprzęt i odpowiednią odzież dla ochrony życia i zdrowia osób zatrudnionych na budowie oraz dla zapewnienia bezpieczeństwa publicznego.</w:t>
      </w:r>
    </w:p>
    <w:p w14:paraId="51C9C835"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lastRenderedPageBreak/>
        <w:t>Uznaje się, że wszelkie koszty związane z wypełnieniem wymagań określonych powyżej nie podlegają odrębnej zapłacie i są uwzględnione w cenie umownej za wykonane roboty.</w:t>
      </w:r>
    </w:p>
    <w:p w14:paraId="451274E4" w14:textId="77777777" w:rsidR="000A3B2B" w:rsidRDefault="000A3B2B" w:rsidP="000E4A5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1.6.9.</w:t>
      </w:r>
      <w:r>
        <w:rPr>
          <w:rFonts w:ascii="Arial" w:hAnsi="Arial" w:cs="Arial"/>
          <w:b/>
          <w:bCs/>
          <w:color w:val="000000"/>
          <w:sz w:val="18"/>
          <w:szCs w:val="18"/>
          <w:lang w:val="x-none"/>
        </w:rPr>
        <w:tab/>
        <w:t>Ochrona i utrzymanie robót</w:t>
      </w:r>
    </w:p>
    <w:p w14:paraId="701B2E49"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Wykonawca jest odpowiedzialny za ochronę robót i za wszelkie materiały i urządzenia używane do robót od daty rozpoczęcia do daty zakończenia robót (do wydania potwierdzenia ich zakończenia przez Inspektora nadzoru).</w:t>
      </w:r>
    </w:p>
    <w:p w14:paraId="5DCB9018"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Wykonawca będzie utrzymywać wykonane roboty w niezmienionym stanie do czasu odbioru ostatecznego. Jeśli Wykonawca w jakimkolwiek czasie zaniedba ich utrzymania, to na polecenie Inspektora nadzoru powinien rozpocząć roboty utrzymaniowe nie później niż w 24 godziny po otrzymaniu tego polecenia.</w:t>
      </w:r>
    </w:p>
    <w:p w14:paraId="6563C002"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p>
    <w:p w14:paraId="3EC9FE05" w14:textId="77777777" w:rsidR="000A3B2B" w:rsidRDefault="000A3B2B" w:rsidP="000E4A5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1.7.</w:t>
      </w:r>
      <w:r>
        <w:rPr>
          <w:rFonts w:ascii="Arial" w:hAnsi="Arial" w:cs="Arial"/>
          <w:b/>
          <w:bCs/>
          <w:color w:val="000000"/>
          <w:sz w:val="18"/>
          <w:szCs w:val="18"/>
          <w:lang w:val="x-none"/>
        </w:rPr>
        <w:tab/>
        <w:t>Dokumentacja robót ziemnych</w:t>
      </w:r>
    </w:p>
    <w:p w14:paraId="6622D1DE"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Dokumentację robót ziemnych stanowią:</w:t>
      </w:r>
    </w:p>
    <w:p w14:paraId="60DA197F"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projekt wykonawczy w zakresie wynikającym z rozporządzenia Ministra Infrastruktury z 02.09.2004 r. w sprawie szczegółowego zakresu i formy dokumentacji projektowej, specyfikacji technicznych wykonania i odbioru robót budowlanych oraz programu funkcjonalno-użytkowego (Dz. U. z 2004 r. Nr 202, poz. 2072 z </w:t>
      </w:r>
      <w:proofErr w:type="spellStart"/>
      <w:r>
        <w:rPr>
          <w:rFonts w:ascii="Arial" w:hAnsi="Arial" w:cs="Arial"/>
          <w:color w:val="000000"/>
          <w:sz w:val="18"/>
          <w:szCs w:val="18"/>
          <w:lang w:val="x-none"/>
        </w:rPr>
        <w:t>późn</w:t>
      </w:r>
      <w:proofErr w:type="spellEnd"/>
      <w:r>
        <w:rPr>
          <w:rFonts w:ascii="Arial" w:hAnsi="Arial" w:cs="Arial"/>
          <w:color w:val="000000"/>
          <w:sz w:val="18"/>
          <w:szCs w:val="18"/>
          <w:lang w:val="x-none"/>
        </w:rPr>
        <w:t>. zmianami – tekst jednolity Dz. U. z 2013 Nr 0, poz. 1129),</w:t>
      </w:r>
    </w:p>
    <w:p w14:paraId="2A1113E6"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specyfikacja techniczna wykonania i odbioru robót (obligatoryjna w przypadku zamówień publicznych), sporządzona zgodnie z rozporządzeniem Ministra Infrastruktury z dnia 02.09.2004 r. w sprawie szczegółowego zakresu i formy dokumentacji projektowej, specyfikacji technicznych wykonania i odbioru robót budowlanych oraz programu funkcjonalno-użytkowego (Dz. U. z 2004 r. Nr 202, poz. 2072 z </w:t>
      </w:r>
      <w:proofErr w:type="spellStart"/>
      <w:r>
        <w:rPr>
          <w:rFonts w:ascii="Arial" w:hAnsi="Arial" w:cs="Arial"/>
          <w:color w:val="000000"/>
          <w:sz w:val="18"/>
          <w:szCs w:val="18"/>
          <w:lang w:val="x-none"/>
        </w:rPr>
        <w:t>późn</w:t>
      </w:r>
      <w:proofErr w:type="spellEnd"/>
      <w:r>
        <w:rPr>
          <w:rFonts w:ascii="Arial" w:hAnsi="Arial" w:cs="Arial"/>
          <w:color w:val="000000"/>
          <w:sz w:val="18"/>
          <w:szCs w:val="18"/>
          <w:lang w:val="x-none"/>
        </w:rPr>
        <w:t>. zmianami – tekst jednolity Dz. U. z 2013 Nr 0, poz. 1129),</w:t>
      </w:r>
    </w:p>
    <w:p w14:paraId="6C353492"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dziennik budowy prowadzony zgodnie z rozporządzeniem Ministra Infrastruktury z dnia 26 czerwca 2002 r. w sprawie dziennika budowy, montażu i rozbiórki, tablicy informacyjnej oraz ogłoszenia zawierającego dane dotyczące bezpieczeństwa pracy i ochrony zdrowia (Dz. U. z 2002 r. Nr 108, poz. 953 z </w:t>
      </w:r>
      <w:proofErr w:type="spellStart"/>
      <w:r>
        <w:rPr>
          <w:rFonts w:ascii="Arial" w:hAnsi="Arial" w:cs="Arial"/>
          <w:color w:val="000000"/>
          <w:sz w:val="18"/>
          <w:szCs w:val="18"/>
          <w:lang w:val="x-none"/>
        </w:rPr>
        <w:t>późn</w:t>
      </w:r>
      <w:proofErr w:type="spellEnd"/>
      <w:r>
        <w:rPr>
          <w:rFonts w:ascii="Arial" w:hAnsi="Arial" w:cs="Arial"/>
          <w:color w:val="000000"/>
          <w:sz w:val="18"/>
          <w:szCs w:val="18"/>
          <w:lang w:val="x-none"/>
        </w:rPr>
        <w:t>. zmianami),</w:t>
      </w:r>
    </w:p>
    <w:p w14:paraId="502EB2F5"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dokumenty świadczące o dopuszczeniu do obrotu lub udostępnieniu na rynku krajowym bądź do jednostkowego zastosowania użytych wyrobów budowlanych, zgodnie z ustawą z 16 kwietnia 2004 r. o wyrobach budowlanych (tekst jednolity Dz. U. z 2016 r. Nr 0, poz. 1570),),</w:t>
      </w:r>
    </w:p>
    <w:p w14:paraId="2A944CD4"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protokoły odbiorów częściowych, końcowych i robót zanikających, z załączonymi protokołami z badań kontrolnych,</w:t>
      </w:r>
    </w:p>
    <w:p w14:paraId="1654231B"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dokumentacja powykonawcza czyli wcześniej wymienione części składowe dokumentacji z naniesionymi zmianami dokonanymi w toku wykonywania robót (zgodnie z art. 3, pkt 14 ustawy Prawo budowlane z dnia 7 lipca 1994 r. – tekst jednolity Dz. U. z 2016 poz. 290).</w:t>
      </w:r>
    </w:p>
    <w:p w14:paraId="34D37E3A"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Roboty należy wykonywać na podstawie dokumentacji projektowej i specyfikacji technicznej wykonania i odbioru robót budowlanych opracowanych dla realizacji konkretnego zadania.</w:t>
      </w:r>
    </w:p>
    <w:p w14:paraId="309E527C"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p>
    <w:p w14:paraId="44CF299A" w14:textId="77777777" w:rsidR="000A3B2B" w:rsidRDefault="000A3B2B" w:rsidP="000E4A5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1.8.</w:t>
      </w:r>
      <w:r>
        <w:rPr>
          <w:rFonts w:ascii="Arial" w:hAnsi="Arial" w:cs="Arial"/>
          <w:b/>
          <w:bCs/>
          <w:color w:val="000000"/>
          <w:sz w:val="18"/>
          <w:szCs w:val="18"/>
          <w:lang w:val="x-none"/>
        </w:rPr>
        <w:tab/>
        <w:t>Nazwy i kody:</w:t>
      </w:r>
    </w:p>
    <w:p w14:paraId="5A7BC885" w14:textId="77777777" w:rsidR="000A3B2B" w:rsidRDefault="000A3B2B" w:rsidP="000E4A55">
      <w:pPr>
        <w:autoSpaceDE w:val="0"/>
        <w:autoSpaceDN w:val="0"/>
        <w:adjustRightInd w:val="0"/>
        <w:spacing w:after="30" w:line="240" w:lineRule="auto"/>
        <w:jc w:val="both"/>
        <w:rPr>
          <w:rFonts w:ascii="Arial" w:hAnsi="Arial" w:cs="Arial"/>
          <w:b/>
          <w:bCs/>
          <w:color w:val="000000"/>
          <w:sz w:val="18"/>
          <w:szCs w:val="18"/>
          <w:lang w:val="x-none"/>
        </w:rPr>
      </w:pPr>
      <w:r>
        <w:rPr>
          <w:rFonts w:ascii="Arial" w:hAnsi="Arial" w:cs="Arial"/>
          <w:b/>
          <w:bCs/>
          <w:color w:val="000000"/>
          <w:sz w:val="18"/>
          <w:szCs w:val="18"/>
          <w:lang w:val="x-none"/>
        </w:rPr>
        <w:t>Grupy robót, klasy lub kategorie robót objętych zamówieniem</w:t>
      </w:r>
    </w:p>
    <w:tbl>
      <w:tblPr>
        <w:tblW w:w="0" w:type="auto"/>
        <w:tblCellSpacing w:w="0" w:type="dxa"/>
        <w:tblInd w:w="-8" w:type="dxa"/>
        <w:tblLayout w:type="fixed"/>
        <w:tblCellMar>
          <w:left w:w="0" w:type="dxa"/>
          <w:right w:w="0" w:type="dxa"/>
        </w:tblCellMar>
        <w:tblLook w:val="0000" w:firstRow="0" w:lastRow="0" w:firstColumn="0" w:lastColumn="0" w:noHBand="0" w:noVBand="0"/>
      </w:tblPr>
      <w:tblGrid>
        <w:gridCol w:w="292"/>
        <w:gridCol w:w="196"/>
        <w:gridCol w:w="314"/>
        <w:gridCol w:w="196"/>
        <w:gridCol w:w="314"/>
        <w:gridCol w:w="196"/>
        <w:gridCol w:w="314"/>
        <w:gridCol w:w="196"/>
        <w:gridCol w:w="314"/>
        <w:gridCol w:w="196"/>
        <w:gridCol w:w="314"/>
        <w:gridCol w:w="196"/>
        <w:gridCol w:w="314"/>
        <w:gridCol w:w="196"/>
        <w:gridCol w:w="314"/>
        <w:gridCol w:w="390"/>
        <w:gridCol w:w="316"/>
        <w:gridCol w:w="194"/>
        <w:gridCol w:w="4036"/>
      </w:tblGrid>
      <w:tr w:rsidR="000A3B2B" w14:paraId="52B06A4F" w14:textId="77777777">
        <w:trPr>
          <w:trHeight w:val="60"/>
          <w:tblCellSpacing w:w="0" w:type="dxa"/>
        </w:trPr>
        <w:tc>
          <w:tcPr>
            <w:tcW w:w="292" w:type="dxa"/>
            <w:tcBorders>
              <w:top w:val="single" w:sz="6" w:space="0" w:color="000000"/>
              <w:left w:val="single" w:sz="6" w:space="0" w:color="000000"/>
              <w:bottom w:val="single" w:sz="6" w:space="0" w:color="000000"/>
              <w:right w:val="single" w:sz="6" w:space="0" w:color="000000"/>
            </w:tcBorders>
          </w:tcPr>
          <w:p w14:paraId="59C86C68" w14:textId="77777777" w:rsidR="000A3B2B" w:rsidRDefault="000A3B2B">
            <w:pPr>
              <w:autoSpaceDE w:val="0"/>
              <w:autoSpaceDN w:val="0"/>
              <w:adjustRightInd w:val="0"/>
              <w:spacing w:after="0" w:line="240" w:lineRule="auto"/>
              <w:rPr>
                <w:rFonts w:ascii="Arial" w:hAnsi="Arial" w:cs="Arial"/>
                <w:sz w:val="24"/>
                <w:szCs w:val="24"/>
                <w:lang w:val="x-none"/>
              </w:rPr>
            </w:pPr>
            <w:r>
              <w:rPr>
                <w:rFonts w:ascii="Arial" w:hAnsi="Arial" w:cs="Arial"/>
                <w:sz w:val="24"/>
                <w:szCs w:val="24"/>
                <w:lang w:val="x-none"/>
              </w:rPr>
              <w:t>4</w:t>
            </w:r>
          </w:p>
        </w:tc>
        <w:tc>
          <w:tcPr>
            <w:tcW w:w="196" w:type="dxa"/>
            <w:tcBorders>
              <w:top w:val="nil"/>
              <w:left w:val="single" w:sz="6" w:space="0" w:color="000000"/>
              <w:bottom w:val="nil"/>
              <w:right w:val="single" w:sz="6" w:space="0" w:color="000000"/>
            </w:tcBorders>
          </w:tcPr>
          <w:p w14:paraId="78F3C6AB"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314" w:type="dxa"/>
            <w:tcBorders>
              <w:top w:val="single" w:sz="6" w:space="0" w:color="000000"/>
              <w:left w:val="single" w:sz="6" w:space="0" w:color="000000"/>
              <w:bottom w:val="single" w:sz="6" w:space="0" w:color="000000"/>
              <w:right w:val="single" w:sz="6" w:space="0" w:color="000000"/>
            </w:tcBorders>
          </w:tcPr>
          <w:p w14:paraId="3B1975BF" w14:textId="77777777" w:rsidR="000A3B2B" w:rsidRDefault="000A3B2B">
            <w:pPr>
              <w:autoSpaceDE w:val="0"/>
              <w:autoSpaceDN w:val="0"/>
              <w:adjustRightInd w:val="0"/>
              <w:spacing w:after="0" w:line="240" w:lineRule="auto"/>
              <w:rPr>
                <w:rFonts w:ascii="Arial" w:hAnsi="Arial" w:cs="Arial"/>
                <w:sz w:val="24"/>
                <w:szCs w:val="24"/>
                <w:lang w:val="x-none"/>
              </w:rPr>
            </w:pPr>
            <w:r>
              <w:rPr>
                <w:rFonts w:ascii="Arial" w:hAnsi="Arial" w:cs="Arial"/>
                <w:sz w:val="24"/>
                <w:szCs w:val="24"/>
                <w:lang w:val="x-none"/>
              </w:rPr>
              <w:t>5</w:t>
            </w:r>
          </w:p>
        </w:tc>
        <w:tc>
          <w:tcPr>
            <w:tcW w:w="196" w:type="dxa"/>
            <w:tcBorders>
              <w:top w:val="nil"/>
              <w:left w:val="single" w:sz="6" w:space="0" w:color="000000"/>
              <w:bottom w:val="nil"/>
              <w:right w:val="single" w:sz="6" w:space="0" w:color="000000"/>
            </w:tcBorders>
          </w:tcPr>
          <w:p w14:paraId="5AC70251"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314" w:type="dxa"/>
            <w:tcBorders>
              <w:top w:val="single" w:sz="6" w:space="0" w:color="000000"/>
              <w:left w:val="single" w:sz="6" w:space="0" w:color="000000"/>
              <w:bottom w:val="single" w:sz="6" w:space="0" w:color="000000"/>
              <w:right w:val="single" w:sz="6" w:space="0" w:color="000000"/>
            </w:tcBorders>
          </w:tcPr>
          <w:p w14:paraId="1FB0C6C7" w14:textId="77777777" w:rsidR="000A3B2B" w:rsidRDefault="000A3B2B">
            <w:pPr>
              <w:autoSpaceDE w:val="0"/>
              <w:autoSpaceDN w:val="0"/>
              <w:adjustRightInd w:val="0"/>
              <w:spacing w:after="0" w:line="240" w:lineRule="auto"/>
              <w:rPr>
                <w:rFonts w:ascii="Arial" w:hAnsi="Arial" w:cs="Arial"/>
                <w:sz w:val="24"/>
                <w:szCs w:val="24"/>
                <w:lang w:val="x-none"/>
              </w:rPr>
            </w:pPr>
            <w:r>
              <w:rPr>
                <w:rFonts w:ascii="Arial" w:hAnsi="Arial" w:cs="Arial"/>
                <w:sz w:val="24"/>
                <w:szCs w:val="24"/>
                <w:lang w:val="x-none"/>
              </w:rPr>
              <w:t>1</w:t>
            </w:r>
          </w:p>
        </w:tc>
        <w:tc>
          <w:tcPr>
            <w:tcW w:w="196" w:type="dxa"/>
            <w:tcBorders>
              <w:top w:val="nil"/>
              <w:left w:val="single" w:sz="6" w:space="0" w:color="000000"/>
              <w:bottom w:val="nil"/>
              <w:right w:val="single" w:sz="6" w:space="0" w:color="000000"/>
            </w:tcBorders>
          </w:tcPr>
          <w:p w14:paraId="5BC6829A"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314" w:type="dxa"/>
            <w:tcBorders>
              <w:top w:val="single" w:sz="6" w:space="0" w:color="000000"/>
              <w:left w:val="single" w:sz="6" w:space="0" w:color="000000"/>
              <w:bottom w:val="single" w:sz="6" w:space="0" w:color="000000"/>
              <w:right w:val="single" w:sz="6" w:space="0" w:color="000000"/>
            </w:tcBorders>
          </w:tcPr>
          <w:p w14:paraId="698D44A1" w14:textId="77777777" w:rsidR="000A3B2B" w:rsidRDefault="000A3B2B">
            <w:pPr>
              <w:autoSpaceDE w:val="0"/>
              <w:autoSpaceDN w:val="0"/>
              <w:adjustRightInd w:val="0"/>
              <w:spacing w:after="0" w:line="240" w:lineRule="auto"/>
              <w:rPr>
                <w:rFonts w:ascii="Arial" w:hAnsi="Arial" w:cs="Arial"/>
                <w:sz w:val="24"/>
                <w:szCs w:val="24"/>
                <w:lang w:val="x-none"/>
              </w:rPr>
            </w:pPr>
            <w:r>
              <w:rPr>
                <w:rFonts w:ascii="Arial" w:hAnsi="Arial" w:cs="Arial"/>
                <w:sz w:val="24"/>
                <w:szCs w:val="24"/>
                <w:lang w:val="x-none"/>
              </w:rPr>
              <w:t>1</w:t>
            </w:r>
          </w:p>
        </w:tc>
        <w:tc>
          <w:tcPr>
            <w:tcW w:w="196" w:type="dxa"/>
            <w:tcBorders>
              <w:top w:val="nil"/>
              <w:left w:val="single" w:sz="6" w:space="0" w:color="000000"/>
              <w:bottom w:val="nil"/>
              <w:right w:val="single" w:sz="6" w:space="0" w:color="000000"/>
            </w:tcBorders>
          </w:tcPr>
          <w:p w14:paraId="6B8EC9E6"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314" w:type="dxa"/>
            <w:tcBorders>
              <w:top w:val="single" w:sz="6" w:space="0" w:color="000000"/>
              <w:left w:val="single" w:sz="6" w:space="0" w:color="000000"/>
              <w:bottom w:val="single" w:sz="6" w:space="0" w:color="000000"/>
              <w:right w:val="single" w:sz="6" w:space="0" w:color="000000"/>
            </w:tcBorders>
          </w:tcPr>
          <w:p w14:paraId="5FE46E98" w14:textId="77777777" w:rsidR="000A3B2B" w:rsidRDefault="000A3B2B">
            <w:pPr>
              <w:autoSpaceDE w:val="0"/>
              <w:autoSpaceDN w:val="0"/>
              <w:adjustRightInd w:val="0"/>
              <w:spacing w:after="0" w:line="240" w:lineRule="auto"/>
              <w:rPr>
                <w:rFonts w:ascii="Arial" w:hAnsi="Arial" w:cs="Arial"/>
                <w:sz w:val="24"/>
                <w:szCs w:val="24"/>
                <w:lang w:val="x-none"/>
              </w:rPr>
            </w:pPr>
            <w:r>
              <w:rPr>
                <w:rFonts w:ascii="Arial" w:hAnsi="Arial" w:cs="Arial"/>
                <w:sz w:val="24"/>
                <w:szCs w:val="24"/>
                <w:lang w:val="x-none"/>
              </w:rPr>
              <w:t>2</w:t>
            </w:r>
          </w:p>
        </w:tc>
        <w:tc>
          <w:tcPr>
            <w:tcW w:w="196" w:type="dxa"/>
            <w:tcBorders>
              <w:top w:val="nil"/>
              <w:left w:val="single" w:sz="6" w:space="0" w:color="000000"/>
              <w:bottom w:val="nil"/>
              <w:right w:val="single" w:sz="6" w:space="0" w:color="000000"/>
            </w:tcBorders>
          </w:tcPr>
          <w:p w14:paraId="5973A8BD"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314" w:type="dxa"/>
            <w:tcBorders>
              <w:top w:val="single" w:sz="6" w:space="0" w:color="000000"/>
              <w:left w:val="single" w:sz="6" w:space="0" w:color="000000"/>
              <w:bottom w:val="single" w:sz="6" w:space="0" w:color="000000"/>
              <w:right w:val="single" w:sz="6" w:space="0" w:color="000000"/>
            </w:tcBorders>
          </w:tcPr>
          <w:p w14:paraId="451D4D9A" w14:textId="77777777" w:rsidR="000A3B2B" w:rsidRDefault="000A3B2B">
            <w:pPr>
              <w:autoSpaceDE w:val="0"/>
              <w:autoSpaceDN w:val="0"/>
              <w:adjustRightInd w:val="0"/>
              <w:spacing w:after="0" w:line="240" w:lineRule="auto"/>
              <w:rPr>
                <w:rFonts w:ascii="Arial" w:hAnsi="Arial" w:cs="Arial"/>
                <w:sz w:val="24"/>
                <w:szCs w:val="24"/>
                <w:lang w:val="x-none"/>
              </w:rPr>
            </w:pPr>
            <w:r>
              <w:rPr>
                <w:rFonts w:ascii="Arial" w:hAnsi="Arial" w:cs="Arial"/>
                <w:sz w:val="24"/>
                <w:szCs w:val="24"/>
                <w:lang w:val="x-none"/>
              </w:rPr>
              <w:t>0</w:t>
            </w:r>
          </w:p>
        </w:tc>
        <w:tc>
          <w:tcPr>
            <w:tcW w:w="196" w:type="dxa"/>
            <w:tcBorders>
              <w:top w:val="nil"/>
              <w:left w:val="single" w:sz="6" w:space="0" w:color="000000"/>
              <w:bottom w:val="nil"/>
              <w:right w:val="single" w:sz="6" w:space="0" w:color="000000"/>
            </w:tcBorders>
          </w:tcPr>
          <w:p w14:paraId="1036D8DA"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314" w:type="dxa"/>
            <w:tcBorders>
              <w:top w:val="single" w:sz="6" w:space="0" w:color="000000"/>
              <w:left w:val="single" w:sz="6" w:space="0" w:color="000000"/>
              <w:bottom w:val="single" w:sz="6" w:space="0" w:color="000000"/>
              <w:right w:val="single" w:sz="6" w:space="0" w:color="000000"/>
            </w:tcBorders>
          </w:tcPr>
          <w:p w14:paraId="2329D6C0" w14:textId="77777777" w:rsidR="000A3B2B" w:rsidRDefault="000A3B2B">
            <w:pPr>
              <w:autoSpaceDE w:val="0"/>
              <w:autoSpaceDN w:val="0"/>
              <w:adjustRightInd w:val="0"/>
              <w:spacing w:after="0" w:line="240" w:lineRule="auto"/>
              <w:rPr>
                <w:rFonts w:ascii="Arial" w:hAnsi="Arial" w:cs="Arial"/>
                <w:sz w:val="24"/>
                <w:szCs w:val="24"/>
                <w:lang w:val="x-none"/>
              </w:rPr>
            </w:pPr>
            <w:r>
              <w:rPr>
                <w:rFonts w:ascii="Arial" w:hAnsi="Arial" w:cs="Arial"/>
                <w:sz w:val="24"/>
                <w:szCs w:val="24"/>
                <w:lang w:val="x-none"/>
              </w:rPr>
              <w:t>0</w:t>
            </w:r>
          </w:p>
        </w:tc>
        <w:tc>
          <w:tcPr>
            <w:tcW w:w="196" w:type="dxa"/>
            <w:tcBorders>
              <w:top w:val="nil"/>
              <w:left w:val="single" w:sz="6" w:space="0" w:color="000000"/>
              <w:bottom w:val="nil"/>
              <w:right w:val="single" w:sz="6" w:space="0" w:color="000000"/>
            </w:tcBorders>
          </w:tcPr>
          <w:p w14:paraId="17203608"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314" w:type="dxa"/>
            <w:tcBorders>
              <w:top w:val="single" w:sz="6" w:space="0" w:color="000000"/>
              <w:left w:val="single" w:sz="6" w:space="0" w:color="000000"/>
              <w:bottom w:val="single" w:sz="6" w:space="0" w:color="000000"/>
              <w:right w:val="single" w:sz="6" w:space="0" w:color="000000"/>
            </w:tcBorders>
          </w:tcPr>
          <w:p w14:paraId="49C57FD0" w14:textId="77777777" w:rsidR="000A3B2B" w:rsidRDefault="000A3B2B">
            <w:pPr>
              <w:autoSpaceDE w:val="0"/>
              <w:autoSpaceDN w:val="0"/>
              <w:adjustRightInd w:val="0"/>
              <w:spacing w:after="0" w:line="240" w:lineRule="auto"/>
              <w:rPr>
                <w:rFonts w:ascii="Arial" w:hAnsi="Arial" w:cs="Arial"/>
                <w:sz w:val="24"/>
                <w:szCs w:val="24"/>
                <w:lang w:val="x-none"/>
              </w:rPr>
            </w:pPr>
            <w:r>
              <w:rPr>
                <w:rFonts w:ascii="Arial" w:hAnsi="Arial" w:cs="Arial"/>
                <w:sz w:val="24"/>
                <w:szCs w:val="24"/>
                <w:lang w:val="x-none"/>
              </w:rPr>
              <w:t>0</w:t>
            </w:r>
          </w:p>
        </w:tc>
        <w:tc>
          <w:tcPr>
            <w:tcW w:w="390" w:type="dxa"/>
            <w:tcBorders>
              <w:top w:val="nil"/>
              <w:left w:val="single" w:sz="6" w:space="0" w:color="000000"/>
              <w:bottom w:val="nil"/>
              <w:right w:val="single" w:sz="6" w:space="0" w:color="000000"/>
            </w:tcBorders>
            <w:vAlign w:val="center"/>
          </w:tcPr>
          <w:p w14:paraId="38C51D2A" w14:textId="77777777" w:rsidR="000A3B2B" w:rsidRDefault="000A3B2B">
            <w:pPr>
              <w:tabs>
                <w:tab w:val="right" w:pos="7035"/>
              </w:tabs>
              <w:autoSpaceDE w:val="0"/>
              <w:autoSpaceDN w:val="0"/>
              <w:adjustRightInd w:val="0"/>
              <w:spacing w:after="0" w:line="288" w:lineRule="auto"/>
              <w:jc w:val="center"/>
              <w:rPr>
                <w:rFonts w:ascii="Times New Roman" w:hAnsi="Times New Roman" w:cs="Times New Roman"/>
                <w:color w:val="000000"/>
                <w:sz w:val="24"/>
                <w:szCs w:val="24"/>
                <w:lang w:val="x-none"/>
              </w:rPr>
            </w:pPr>
            <w:r>
              <w:rPr>
                <w:rFonts w:ascii="Times New Roman" w:hAnsi="Times New Roman" w:cs="Times New Roman"/>
                <w:color w:val="000000"/>
                <w:sz w:val="24"/>
                <w:szCs w:val="24"/>
                <w:lang w:val="x-none"/>
              </w:rPr>
              <w:t>–</w:t>
            </w:r>
          </w:p>
        </w:tc>
        <w:tc>
          <w:tcPr>
            <w:tcW w:w="316" w:type="dxa"/>
            <w:tcBorders>
              <w:top w:val="single" w:sz="6" w:space="0" w:color="000000"/>
              <w:left w:val="single" w:sz="6" w:space="0" w:color="000000"/>
              <w:bottom w:val="single" w:sz="6" w:space="0" w:color="000000"/>
              <w:right w:val="single" w:sz="6" w:space="0" w:color="000000"/>
            </w:tcBorders>
          </w:tcPr>
          <w:p w14:paraId="7CFC9C7C" w14:textId="77777777" w:rsidR="000A3B2B" w:rsidRDefault="000A3B2B">
            <w:pPr>
              <w:autoSpaceDE w:val="0"/>
              <w:autoSpaceDN w:val="0"/>
              <w:adjustRightInd w:val="0"/>
              <w:spacing w:after="0" w:line="240" w:lineRule="auto"/>
              <w:rPr>
                <w:rFonts w:ascii="Arial" w:hAnsi="Arial" w:cs="Arial"/>
                <w:sz w:val="24"/>
                <w:szCs w:val="24"/>
                <w:lang w:val="x-none"/>
              </w:rPr>
            </w:pPr>
            <w:r>
              <w:rPr>
                <w:rFonts w:ascii="Arial" w:hAnsi="Arial" w:cs="Arial"/>
                <w:sz w:val="24"/>
                <w:szCs w:val="24"/>
                <w:lang w:val="x-none"/>
              </w:rPr>
              <w:t>5</w:t>
            </w:r>
          </w:p>
        </w:tc>
        <w:tc>
          <w:tcPr>
            <w:tcW w:w="194" w:type="dxa"/>
            <w:tcBorders>
              <w:top w:val="nil"/>
              <w:left w:val="single" w:sz="6" w:space="0" w:color="000000"/>
              <w:bottom w:val="nil"/>
              <w:right w:val="nil"/>
            </w:tcBorders>
          </w:tcPr>
          <w:p w14:paraId="020C4526"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4036" w:type="dxa"/>
            <w:tcBorders>
              <w:top w:val="nil"/>
              <w:left w:val="nil"/>
              <w:bottom w:val="single" w:sz="6" w:space="0" w:color="auto"/>
              <w:right w:val="nil"/>
            </w:tcBorders>
            <w:vAlign w:val="bottom"/>
          </w:tcPr>
          <w:p w14:paraId="2BC57F46" w14:textId="77777777" w:rsidR="000A3B2B" w:rsidRDefault="000A3B2B">
            <w:pPr>
              <w:autoSpaceDE w:val="0"/>
              <w:autoSpaceDN w:val="0"/>
              <w:adjustRightInd w:val="0"/>
              <w:spacing w:after="0" w:line="240" w:lineRule="auto"/>
              <w:rPr>
                <w:rFonts w:ascii="Arial" w:hAnsi="Arial" w:cs="Arial"/>
                <w:sz w:val="24"/>
                <w:szCs w:val="24"/>
                <w:lang w:val="x-none"/>
              </w:rPr>
            </w:pPr>
            <w:r>
              <w:rPr>
                <w:rFonts w:ascii="Arial" w:hAnsi="Arial" w:cs="Arial"/>
                <w:sz w:val="24"/>
                <w:szCs w:val="24"/>
                <w:lang w:val="x-none"/>
              </w:rPr>
              <w:t>Roboty w zakresie usuwania gleby</w:t>
            </w:r>
          </w:p>
        </w:tc>
      </w:tr>
    </w:tbl>
    <w:p w14:paraId="54EB4D49"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p>
    <w:p w14:paraId="6200DBA2" w14:textId="77777777" w:rsidR="000A3B2B" w:rsidRDefault="000A3B2B" w:rsidP="000E4A55">
      <w:pPr>
        <w:autoSpaceDE w:val="0"/>
        <w:autoSpaceDN w:val="0"/>
        <w:adjustRightInd w:val="0"/>
        <w:spacing w:before="225" w:after="12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2.</w:t>
      </w:r>
      <w:r>
        <w:rPr>
          <w:rFonts w:ascii="Arial" w:hAnsi="Arial" w:cs="Arial"/>
          <w:b/>
          <w:bCs/>
          <w:color w:val="000000"/>
          <w:sz w:val="18"/>
          <w:szCs w:val="18"/>
          <w:lang w:val="x-none"/>
        </w:rPr>
        <w:tab/>
        <w:t>WYMAGANIA DOTYCZĄCE MATERIAŁÓW</w:t>
      </w:r>
    </w:p>
    <w:p w14:paraId="55F6C831" w14:textId="77777777" w:rsidR="000A3B2B" w:rsidRDefault="000A3B2B" w:rsidP="000E4A5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2.1.</w:t>
      </w:r>
      <w:r>
        <w:rPr>
          <w:rFonts w:ascii="Arial" w:hAnsi="Arial" w:cs="Arial"/>
          <w:b/>
          <w:bCs/>
          <w:color w:val="000000"/>
          <w:sz w:val="18"/>
          <w:szCs w:val="18"/>
          <w:lang w:val="x-none"/>
        </w:rPr>
        <w:tab/>
        <w:t>Ogólne wymagania dotyczące materiałów, ich pozyskiwania i składowania podano w ST „Wymagania ogólne” Kod CPV 45000000-7, pkt 2</w:t>
      </w:r>
    </w:p>
    <w:p w14:paraId="776AE0AE"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p>
    <w:p w14:paraId="5A3A6E18" w14:textId="77777777" w:rsidR="000A3B2B" w:rsidRDefault="000A3B2B" w:rsidP="000E4A5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2.2.</w:t>
      </w:r>
      <w:r>
        <w:rPr>
          <w:rFonts w:ascii="Arial" w:hAnsi="Arial" w:cs="Arial"/>
          <w:b/>
          <w:bCs/>
          <w:color w:val="000000"/>
          <w:sz w:val="18"/>
          <w:szCs w:val="18"/>
          <w:lang w:val="x-none"/>
        </w:rPr>
        <w:tab/>
        <w:t>Rodzaje materiałów</w:t>
      </w:r>
    </w:p>
    <w:p w14:paraId="0E9E645D" w14:textId="77777777" w:rsidR="000A3B2B" w:rsidRDefault="000A3B2B" w:rsidP="000E4A5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2.2.1.</w:t>
      </w:r>
      <w:r>
        <w:rPr>
          <w:rFonts w:ascii="Arial" w:hAnsi="Arial" w:cs="Arial"/>
          <w:b/>
          <w:bCs/>
          <w:color w:val="000000"/>
          <w:sz w:val="18"/>
          <w:szCs w:val="18"/>
          <w:lang w:val="x-none"/>
        </w:rPr>
        <w:tab/>
        <w:t>Grunty – wymagania ogólne</w:t>
      </w:r>
    </w:p>
    <w:p w14:paraId="6D7D0EDC"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Wykonawca przedstawi szczegółowe informacje dotyczące źródła pozyskiwania materiałów (podłoża, </w:t>
      </w:r>
      <w:proofErr w:type="spellStart"/>
      <w:r>
        <w:rPr>
          <w:rFonts w:ascii="Arial" w:hAnsi="Arial" w:cs="Arial"/>
          <w:color w:val="000000"/>
          <w:sz w:val="18"/>
          <w:szCs w:val="18"/>
          <w:lang w:val="x-none"/>
        </w:rPr>
        <w:t>obsypki</w:t>
      </w:r>
      <w:proofErr w:type="spellEnd"/>
      <w:r>
        <w:rPr>
          <w:rFonts w:ascii="Arial" w:hAnsi="Arial" w:cs="Arial"/>
          <w:color w:val="000000"/>
          <w:sz w:val="18"/>
          <w:szCs w:val="18"/>
          <w:lang w:val="x-none"/>
        </w:rPr>
        <w:t>) i odpowiednie świadectwa badań laboratoryjnych oraz próbki do zatwierdzenia przez Inspektora nadzoru. Grunty uzyskane przy wykonywaniu wykopów powinny być przez Wykonawcę wykorzystywane w maksymalnym stopniu do zasypki (przy spełnieniu wymogów jakościowych). Miejsce czasowego składania gruntów powinno być zlokalizowane w obrębie placu budowy lub poza terenem budowy w miejscach uzgodnionych z Inspektorem nadzoru.</w:t>
      </w:r>
    </w:p>
    <w:p w14:paraId="71B00E45"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Grunty przydatne do budowy nasypów mogą być wywiezione poza teren budowy tylko wówczas, gdy stanowią nadmiar objętości robót ziemnych i za zezwoleniem Inspektora nadzoru.</w:t>
      </w:r>
    </w:p>
    <w:p w14:paraId="0A20731E"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Grunt  użyty do zasypki powinien odpowiadać wymaganiom projektowym, wg PN-EN 1997-1:2008. Grunt ten może być gruntem rodzimym lub dostarczonym z zewnątrz, nie powinien być zbrylony (zamarznięty) nie może zawierać gruzu, śmieci itp., co mogłoby uszkodzić przewód lub spowodować niewłaściwe zagęszczenie zasypki.</w:t>
      </w:r>
    </w:p>
    <w:p w14:paraId="19ECF7BA" w14:textId="77777777" w:rsidR="000A3B2B" w:rsidRDefault="000A3B2B" w:rsidP="000E4A5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2.2.2.</w:t>
      </w:r>
      <w:r>
        <w:rPr>
          <w:rFonts w:ascii="Arial" w:hAnsi="Arial" w:cs="Arial"/>
          <w:b/>
          <w:bCs/>
          <w:color w:val="000000"/>
          <w:sz w:val="18"/>
          <w:szCs w:val="18"/>
          <w:lang w:val="x-none"/>
        </w:rPr>
        <w:tab/>
        <w:t>Odwodnienie wykopów – drenaż, igłofiltry, ścianki szczelne</w:t>
      </w:r>
    </w:p>
    <w:p w14:paraId="32E86C65"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lastRenderedPageBreak/>
        <w:t>Rodzaj zastosowanego odwodnienia i zastosowanych materiałów (np. drenaż – sączki ceramiczne, z tworzyw sztucznych, ścianki szczelne – z kształtowników stalowych, z blach giętych na zimno, igłofiltry z rurek stalowych lub z tworzyw sztucznych) musi być zgodny z dokumentacją projektową i odpowiednią SST.</w:t>
      </w:r>
    </w:p>
    <w:p w14:paraId="19931FA8" w14:textId="77777777" w:rsidR="000A3B2B" w:rsidRDefault="000A3B2B" w:rsidP="000E4A5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2.2.3.</w:t>
      </w:r>
      <w:r>
        <w:rPr>
          <w:rFonts w:ascii="Arial" w:hAnsi="Arial" w:cs="Arial"/>
          <w:b/>
          <w:bCs/>
          <w:color w:val="000000"/>
          <w:sz w:val="18"/>
          <w:szCs w:val="18"/>
          <w:lang w:val="x-none"/>
        </w:rPr>
        <w:tab/>
        <w:t>Obudowy (oszalowanie) wykopów</w:t>
      </w:r>
    </w:p>
    <w:p w14:paraId="3C323604"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Pionowe obudowy ścian wykopów pod rurociągi mogą być wykonane z bali drewnianych, pali szalunkowych (wyprasek) oraz </w:t>
      </w:r>
      <w:proofErr w:type="spellStart"/>
      <w:r>
        <w:rPr>
          <w:rFonts w:ascii="Arial" w:hAnsi="Arial" w:cs="Arial"/>
          <w:color w:val="000000"/>
          <w:sz w:val="18"/>
          <w:szCs w:val="18"/>
          <w:lang w:val="x-none"/>
        </w:rPr>
        <w:t>deskowań</w:t>
      </w:r>
      <w:proofErr w:type="spellEnd"/>
      <w:r>
        <w:rPr>
          <w:rFonts w:ascii="Arial" w:hAnsi="Arial" w:cs="Arial"/>
          <w:color w:val="000000"/>
          <w:sz w:val="18"/>
          <w:szCs w:val="18"/>
          <w:lang w:val="x-none"/>
        </w:rPr>
        <w:t xml:space="preserve"> systemowych składających się z różnych elementów obudowy (np. płyta podstawowa, słupy, rozpory itd.).</w:t>
      </w:r>
    </w:p>
    <w:p w14:paraId="6D4F03F4"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 xml:space="preserve">W zależności od rodzaju gruntu i warunków </w:t>
      </w:r>
      <w:proofErr w:type="spellStart"/>
      <w:r>
        <w:rPr>
          <w:rFonts w:ascii="Arial" w:hAnsi="Arial" w:cs="Arial"/>
          <w:color w:val="000000"/>
          <w:sz w:val="18"/>
          <w:szCs w:val="18"/>
          <w:lang w:val="x-none"/>
        </w:rPr>
        <w:t>terenowo-wodnych</w:t>
      </w:r>
      <w:proofErr w:type="spellEnd"/>
      <w:r>
        <w:rPr>
          <w:rFonts w:ascii="Arial" w:hAnsi="Arial" w:cs="Arial"/>
          <w:color w:val="000000"/>
          <w:sz w:val="18"/>
          <w:szCs w:val="18"/>
          <w:lang w:val="x-none"/>
        </w:rPr>
        <w:t xml:space="preserve"> (po dokonaniu obliczeń statycznych naporu gruntu) należy dobrać odpowiedni zestaw elementów obudowy wykopu dla określonej głębokości.</w:t>
      </w:r>
    </w:p>
    <w:p w14:paraId="0B5792F1"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Należy ściśle przestrzegać wytycznych producenta odpowiednich obudów wykopów.</w:t>
      </w:r>
    </w:p>
    <w:p w14:paraId="39ACDF39"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p>
    <w:p w14:paraId="37FC65F9" w14:textId="77777777" w:rsidR="000A3B2B" w:rsidRDefault="000A3B2B" w:rsidP="000E4A5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2.3.</w:t>
      </w:r>
      <w:r>
        <w:rPr>
          <w:rFonts w:ascii="Arial" w:hAnsi="Arial" w:cs="Arial"/>
          <w:b/>
          <w:bCs/>
          <w:color w:val="000000"/>
          <w:sz w:val="18"/>
          <w:szCs w:val="18"/>
          <w:lang w:val="x-none"/>
        </w:rPr>
        <w:tab/>
        <w:t>Składowanie materiałów</w:t>
      </w:r>
    </w:p>
    <w:p w14:paraId="68E0DA3F"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Grunt wydobywany z wykopu powinien być składowany po jednej stronie wykopu lub wywieziony na odkład. Elementy obudowy wykopów należy składać w taki sposób, aby nie nastąpiło ich samoczynne przesunięcie.</w:t>
      </w:r>
    </w:p>
    <w:p w14:paraId="15218618"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Wszystkie rodzaje płyt układać poziomo na dwóch belkach drewnianych, najlepiej kompletami wg wymiarów i rodzajów. Wskazane jest użycie przekładek z deseczek, które zapobiegną porysowaniu farby w czasie podnoszenia płyt.</w:t>
      </w:r>
    </w:p>
    <w:p w14:paraId="42220D14"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Słupy należy układać poziomo na przekładkach drewnianych.</w:t>
      </w:r>
    </w:p>
    <w:p w14:paraId="2F5C813F"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Rozpory stałe, bufory, sworznie i zawleczki należy przechowywać w pomieszczeniu zamkniętym, oczyszczone i zakonserwowane.</w:t>
      </w:r>
    </w:p>
    <w:p w14:paraId="0AD72495"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Wykonawca zapewni, aby tymczasowo składowane materiały były zabezpieczone przed zanieczyszczeniami, zachowały swoją jakość i właściwości.</w:t>
      </w:r>
    </w:p>
    <w:p w14:paraId="7AA321AC"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p>
    <w:p w14:paraId="5F4FB081" w14:textId="77777777" w:rsidR="000A3B2B" w:rsidRDefault="000A3B2B" w:rsidP="000E4A55">
      <w:pPr>
        <w:autoSpaceDE w:val="0"/>
        <w:autoSpaceDN w:val="0"/>
        <w:adjustRightInd w:val="0"/>
        <w:spacing w:before="225" w:after="12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3.</w:t>
      </w:r>
      <w:r>
        <w:rPr>
          <w:rFonts w:ascii="Arial" w:hAnsi="Arial" w:cs="Arial"/>
          <w:b/>
          <w:bCs/>
          <w:color w:val="000000"/>
          <w:sz w:val="18"/>
          <w:szCs w:val="18"/>
          <w:lang w:val="x-none"/>
        </w:rPr>
        <w:tab/>
        <w:t>WYMAGANIA DOTYCZĄCE SPRZĘTU, MASZYN I NARZĘDZI</w:t>
      </w:r>
    </w:p>
    <w:p w14:paraId="0F3329CC" w14:textId="77777777" w:rsidR="000A3B2B" w:rsidRDefault="000A3B2B" w:rsidP="000E4A5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3.1.</w:t>
      </w:r>
      <w:r>
        <w:rPr>
          <w:rFonts w:ascii="Arial" w:hAnsi="Arial" w:cs="Arial"/>
          <w:b/>
          <w:bCs/>
          <w:color w:val="000000"/>
          <w:sz w:val="18"/>
          <w:szCs w:val="18"/>
          <w:lang w:val="x-none"/>
        </w:rPr>
        <w:tab/>
        <w:t>Ogólne wymagania dotyczące sprzętu podane zostały w ST „Wymagania ogólne” Kod CPV 45000000-7, pkt 3</w:t>
      </w:r>
    </w:p>
    <w:p w14:paraId="38D71DEC"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SST, PZJ lub projekcie organizacji robót, zaakceptowanym przez Inspektora nadzoru. W przypadku braku ustaleń w takich dokumentach sprzęt powinien być uzgodniony i zaakceptowany przez Inspektora nadzoru.</w:t>
      </w:r>
    </w:p>
    <w:p w14:paraId="2FA3C405"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Liczba i wydajność sprzętu będzie gwarantować przeprowadzenie robót, zgodnie z zasadami określonymi w dokumentacji projektowej, SST i wskazaniach Inspektora nadzoru w terminie przewidzianym umową.</w:t>
      </w:r>
    </w:p>
    <w:p w14:paraId="38A3D320"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Sprzęt będący własnością Wykonawcy lub wynajęty do wykonania robót ma być utrzymywany w dobrym stanie i gotowości do pracy. Będzie on zgodny z normami ochrony środowiska i przepisami dotyczącymi jego użytkowania.</w:t>
      </w:r>
    </w:p>
    <w:p w14:paraId="7FE74E42"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Wykonawca dostarczy Inspektorowi nadzoru kopie dokumentów potwierdzających dopuszczenie sprzętu do użytkowania, tam gdzie jest to wymagane przepisami.</w:t>
      </w:r>
    </w:p>
    <w:p w14:paraId="67B23FCC"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Jeżeli dokumentacja projektowa lub SST przewidują możliwość wariantowego użycia sprzętu przy wykonywanych robotach, Wykonawca powiadomi Inspektora nadzoru o swoim zamiarze wyboru i uzyska jego akceptację przed użyciem sprzętu. Wybrany sprzęt, po akceptacji Inspektora nie może być później zmieniany bez jego zgody.</w:t>
      </w:r>
    </w:p>
    <w:p w14:paraId="3C465ED5"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Jakikolwiek sprzęt, maszyny, urządzenia i narzędzia nie gwarantujące zachowania warunków umowy, zostaną przez Inspektora nadzoru zdyskwalifikowane i nie dopuszczone do robót.</w:t>
      </w:r>
    </w:p>
    <w:p w14:paraId="72B0F688"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p>
    <w:p w14:paraId="09EEA17E" w14:textId="77777777" w:rsidR="000A3B2B" w:rsidRDefault="000A3B2B" w:rsidP="000E4A5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3.2.</w:t>
      </w:r>
      <w:r>
        <w:rPr>
          <w:rFonts w:ascii="Arial" w:hAnsi="Arial" w:cs="Arial"/>
          <w:b/>
          <w:bCs/>
          <w:color w:val="000000"/>
          <w:sz w:val="18"/>
          <w:szCs w:val="18"/>
          <w:lang w:val="x-none"/>
        </w:rPr>
        <w:tab/>
        <w:t>Sprzęt do robót ziemnych</w:t>
      </w:r>
    </w:p>
    <w:p w14:paraId="22B60969"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Wykonawca przystępujący do wykonania robót ziemnych powinien wykazać się możliwością korzystania z następującego sprzętu do:</w:t>
      </w:r>
    </w:p>
    <w:p w14:paraId="3C93C22F"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odspajania i wydobywania gruntów (narzędzia mechaniczne, młoty pneumatyczne, zrywarki, koparki, ładowarki, wiertarki mechaniczne itp.),</w:t>
      </w:r>
    </w:p>
    <w:p w14:paraId="0B8D5207"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jednoczesnego wydobywania i przemieszczania gruntów (spycharki, zgarniarki, równiarki, urządzenia do hydromechanizacji itp.),</w:t>
      </w:r>
    </w:p>
    <w:p w14:paraId="47909EEC"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transportu mas ziemnych (samochody wywrotki, samochody skrzyniowe, taśmociągi itp.),</w:t>
      </w:r>
    </w:p>
    <w:p w14:paraId="122DAF69"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sprzętu zagęszczającego (walce, ubijaki, płyty wibracyjne itp.).</w:t>
      </w:r>
    </w:p>
    <w:p w14:paraId="7DAF034B" w14:textId="77777777" w:rsidR="000A3B2B" w:rsidRDefault="000A3B2B" w:rsidP="000E4A55">
      <w:pPr>
        <w:autoSpaceDE w:val="0"/>
        <w:autoSpaceDN w:val="0"/>
        <w:adjustRightInd w:val="0"/>
        <w:spacing w:before="225" w:after="12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4.</w:t>
      </w:r>
      <w:r>
        <w:rPr>
          <w:rFonts w:ascii="Arial" w:hAnsi="Arial" w:cs="Arial"/>
          <w:b/>
          <w:bCs/>
          <w:color w:val="000000"/>
          <w:sz w:val="18"/>
          <w:szCs w:val="18"/>
          <w:lang w:val="x-none"/>
        </w:rPr>
        <w:tab/>
        <w:t>WYMAGANIA DOTYCZĄCE TRANSPORTU</w:t>
      </w:r>
    </w:p>
    <w:p w14:paraId="3E1E3E45" w14:textId="77777777" w:rsidR="000A3B2B" w:rsidRDefault="000A3B2B" w:rsidP="000E4A5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4.1.</w:t>
      </w:r>
      <w:r>
        <w:rPr>
          <w:rFonts w:ascii="Arial" w:hAnsi="Arial" w:cs="Arial"/>
          <w:b/>
          <w:bCs/>
          <w:color w:val="000000"/>
          <w:sz w:val="18"/>
          <w:szCs w:val="18"/>
          <w:lang w:val="x-none"/>
        </w:rPr>
        <w:tab/>
        <w:t>Ogólne wymagania dotyczące transportu podane zostały w ST „Wymagania ogólne” Kod CPV 45000000-7, pkt 4</w:t>
      </w:r>
    </w:p>
    <w:p w14:paraId="2947B7CE"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lastRenderedPageBreak/>
        <w:t>Wykonawca jest zobowiązany do stosowania jedynie takich środków transportu, które nie wpłyną niekorzystnie na jakość wykonywanych robót i właściwości przewożonych materiałów.</w:t>
      </w:r>
    </w:p>
    <w:p w14:paraId="3F633267"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Liczba środków transportu będzie zapewniać prowadzenie robót ziemnych zgodnie z zasadami określonymi w dokumentacji projektowej, SST i wskazaniach Inspektora nadzoru w terminie przewidzianym w umowie.</w:t>
      </w:r>
    </w:p>
    <w:p w14:paraId="5B9167B7"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Przy ruchu na drogach publicznych pojazdy będą spełniać wymagania dotyczące przepisów ruchu drogowego w odniesieniu do dopuszczalnych obciążeń na osie i innych parametrów technicznych. Środki transportu nie odpowiadające warunkom dopuszczalnych obciążeń na osie mogą być dopuszczone przez Inspektora nadzoru pod warunkiem przywrócenia stanu pierwotnego użytkowanych odcinków dróg na koszt Wykonawcy.</w:t>
      </w:r>
    </w:p>
    <w:p w14:paraId="7444D090"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Wykonawca będzie usuwać na bieżąco, na własny koszt, wszelkie zanieczyszczenia spowodowane jego pojazdami na drogach publicznych oraz dojazdach do terenu budowy.</w:t>
      </w:r>
    </w:p>
    <w:p w14:paraId="0F021289"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p>
    <w:p w14:paraId="5D8DCCBD" w14:textId="77777777" w:rsidR="000A3B2B" w:rsidRDefault="000A3B2B" w:rsidP="000E4A5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4.2.</w:t>
      </w:r>
      <w:r>
        <w:rPr>
          <w:rFonts w:ascii="Arial" w:hAnsi="Arial" w:cs="Arial"/>
          <w:b/>
          <w:bCs/>
          <w:color w:val="000000"/>
          <w:sz w:val="18"/>
          <w:szCs w:val="18"/>
          <w:lang w:val="x-none"/>
        </w:rPr>
        <w:tab/>
        <w:t>Transport gruntów</w:t>
      </w:r>
    </w:p>
    <w:p w14:paraId="23F446A1"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Wybór środków transportowych oraz metod transportu powinien być dostosowany do kategorii gruntu (materiału), jego objętości, technologii odspajania i załadunku oraz odległości transportu. Wydajność środków transportowych powinna być ponadto dostosowana do wydajności sprzętu stosowanego do urabiania i wbudowania gruntu (materiału).</w:t>
      </w:r>
    </w:p>
    <w:p w14:paraId="6D464B67"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Zwiększenie odległości transportu ponad wartości uzgodnione nie może być podstawą roszczeń Wykonawcy, dotyczących dodatkowej zapłaty za transport, o ile zwiększone odległości nie zostały wcześniej zaakceptowane na piśmie przez Inspektora nadzoru.</w:t>
      </w:r>
    </w:p>
    <w:p w14:paraId="3CC7A21C"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p>
    <w:p w14:paraId="51A2D108" w14:textId="77777777" w:rsidR="000A3B2B" w:rsidRDefault="000A3B2B" w:rsidP="000E4A55">
      <w:pPr>
        <w:autoSpaceDE w:val="0"/>
        <w:autoSpaceDN w:val="0"/>
        <w:adjustRightInd w:val="0"/>
        <w:spacing w:before="225" w:after="12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5.</w:t>
      </w:r>
      <w:r>
        <w:rPr>
          <w:rFonts w:ascii="Arial" w:hAnsi="Arial" w:cs="Arial"/>
          <w:b/>
          <w:bCs/>
          <w:color w:val="000000"/>
          <w:sz w:val="18"/>
          <w:szCs w:val="18"/>
          <w:lang w:val="x-none"/>
        </w:rPr>
        <w:tab/>
        <w:t>WYMAGANIA DOTYCZĄCE WYKONANIA ROBÓT</w:t>
      </w:r>
    </w:p>
    <w:p w14:paraId="6E39F6F8" w14:textId="77777777" w:rsidR="000A3B2B" w:rsidRDefault="000A3B2B" w:rsidP="000E4A5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5.1.</w:t>
      </w:r>
      <w:r>
        <w:rPr>
          <w:rFonts w:ascii="Arial" w:hAnsi="Arial" w:cs="Arial"/>
          <w:b/>
          <w:bCs/>
          <w:color w:val="000000"/>
          <w:sz w:val="18"/>
          <w:szCs w:val="18"/>
          <w:lang w:val="x-none"/>
        </w:rPr>
        <w:tab/>
        <w:t>Ogólne zasady wykonania robót podane zostały w ST „Wymagania ogólne” Kod CPV 45000000-7, pkt 5</w:t>
      </w:r>
    </w:p>
    <w:p w14:paraId="40C48AD8"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Wykonawca jest odpowiedzialny za prowadzenie robót zgodnie z umową oraz za jakość zastosowanych materiałów i wykonywanych robót, za ich zgodność z dokumentacją projektową, wymaganiami SST, PZJ, projektu organizacji robót oraz poleceniami Inspektora nadzoru.</w:t>
      </w:r>
    </w:p>
    <w:p w14:paraId="4F0F58F5"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Wykonawca ponosi odpowiedzialność za dokładne wytyczenie w planie i wyznaczenie wysokości wszystkich elementów robót zgodnie z wymiarami i rzędnymi określonymi w dokumentacji projektowej lub przekazanymi na piśmie przez Inspektora nadzoru. Następstwa jakiegokolwiek błędu spowodowanego przez Wykonawcę w wytyczeniu i wyznaczaniu robót zostaną, jeśli wymagać tego będzie Inspektor nadzoru, poprawione przez Wykonawcę na własny koszt.</w:t>
      </w:r>
    </w:p>
    <w:p w14:paraId="1AD49CB4"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Sprawdzenie wytyczenia robót lub wyznaczenia wysokości przez Inspektora nadzoru nie zwalnia Wykonawcy od odpowiedzialności za ich dokładność.</w:t>
      </w:r>
    </w:p>
    <w:p w14:paraId="698C55DE"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Decyzje Inspektora nadzoru dotyczące akceptacji lub odrzucenia materiałów i elementów robót będą oparte na wymaganiach sformułowanych w dokumentach umowy, dokumentacji projektowej i w SST, a także w normach i wytycznych. Przy podejmowaniu decyzji Inspektor nadzoru uwzględni wyniki badań materiałów i robót, rozrzuty normalnie występujące przy produkcji i przy badaniach materiałów, doświadczenia z przeszłości, wyniki badań naukowych oraz inne czynniki wpływające na rozważaną kwestię.</w:t>
      </w:r>
    </w:p>
    <w:p w14:paraId="47C7137E"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Polecenia Inspektora nadzoru będą wykonywane nie później niż w czasie przez niego wyznaczonym, pod groźbą zatrzymania robót. Skutki finansowe z tego tytułu ponosi Wykonawca.</w:t>
      </w:r>
    </w:p>
    <w:p w14:paraId="3B43AD8D"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p>
    <w:p w14:paraId="2E65DFD4" w14:textId="77777777" w:rsidR="000A3B2B" w:rsidRDefault="000A3B2B" w:rsidP="000E4A5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5.2.</w:t>
      </w:r>
      <w:r>
        <w:rPr>
          <w:rFonts w:ascii="Arial" w:hAnsi="Arial" w:cs="Arial"/>
          <w:b/>
          <w:bCs/>
          <w:color w:val="000000"/>
          <w:sz w:val="18"/>
          <w:szCs w:val="18"/>
          <w:lang w:val="x-none"/>
        </w:rPr>
        <w:tab/>
        <w:t>Metody wykonania wykopów</w:t>
      </w:r>
    </w:p>
    <w:p w14:paraId="1548872F"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Wykopy mogą być obudowane, nie obudowane, ze skarpami, lub ze skarpami obudowane w dolnej części. Wykonuje się je ręcznie lub mechanicznie. Sposób wykonania wykopów powinien być zgodny z projektem.</w:t>
      </w:r>
    </w:p>
    <w:p w14:paraId="1A76CE46" w14:textId="77777777" w:rsidR="000A3B2B" w:rsidRDefault="000A3B2B" w:rsidP="000E4A55">
      <w:pPr>
        <w:autoSpaceDE w:val="0"/>
        <w:autoSpaceDN w:val="0"/>
        <w:adjustRightInd w:val="0"/>
        <w:spacing w:after="30" w:line="240" w:lineRule="auto"/>
        <w:jc w:val="both"/>
        <w:rPr>
          <w:rFonts w:ascii="Arial" w:hAnsi="Arial" w:cs="Arial"/>
          <w:b/>
          <w:bCs/>
          <w:color w:val="000000"/>
          <w:sz w:val="18"/>
          <w:szCs w:val="18"/>
          <w:lang w:val="x-none"/>
        </w:rPr>
      </w:pPr>
      <w:r>
        <w:rPr>
          <w:rFonts w:ascii="Arial" w:hAnsi="Arial" w:cs="Arial"/>
          <w:b/>
          <w:bCs/>
          <w:color w:val="000000"/>
          <w:sz w:val="18"/>
          <w:szCs w:val="18"/>
          <w:lang w:val="x-none"/>
        </w:rPr>
        <w:t>Wykopy otwarte nie obudowane o ścianach pionowych</w:t>
      </w:r>
    </w:p>
    <w:p w14:paraId="5AD40FBF"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Wykopy o ścianach pionowych bez obudowy możne wykonywać tylko w gruntach o normalnej wilgotności, gdy nie występują wody gruntowe, a teren nie jest obciążony nasypem przy krawędziach wykopu w pasie o szerokości równej co najmniej głębokości wykopu H.</w:t>
      </w:r>
    </w:p>
    <w:p w14:paraId="146CF4B2"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Dopuszczalne głębokości wykopów o ścianach pionowych w gruntach określonych wg PN-B-02481:1998 wynoszą:</w:t>
      </w:r>
    </w:p>
    <w:p w14:paraId="32F41021"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 gruntach skalistych litych – 4,0 m,</w:t>
      </w:r>
    </w:p>
    <w:p w14:paraId="581B960F"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 gruntach bardzo spoistych zawartych – 2,0 m,</w:t>
      </w:r>
    </w:p>
    <w:p w14:paraId="35588FA6"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 pozostałych gruntach – 1,0 m.</w:t>
      </w:r>
    </w:p>
    <w:p w14:paraId="218B90C0" w14:textId="77777777" w:rsidR="000A3B2B" w:rsidRDefault="000A3B2B" w:rsidP="000E4A55">
      <w:pPr>
        <w:autoSpaceDE w:val="0"/>
        <w:autoSpaceDN w:val="0"/>
        <w:adjustRightInd w:val="0"/>
        <w:spacing w:after="30" w:line="240" w:lineRule="auto"/>
        <w:jc w:val="both"/>
        <w:rPr>
          <w:rFonts w:ascii="Arial" w:hAnsi="Arial" w:cs="Arial"/>
          <w:b/>
          <w:bCs/>
          <w:color w:val="000000"/>
          <w:sz w:val="18"/>
          <w:szCs w:val="18"/>
          <w:lang w:val="x-none"/>
        </w:rPr>
      </w:pPr>
      <w:r>
        <w:rPr>
          <w:rFonts w:ascii="Arial" w:hAnsi="Arial" w:cs="Arial"/>
          <w:b/>
          <w:bCs/>
          <w:color w:val="000000"/>
          <w:sz w:val="18"/>
          <w:szCs w:val="18"/>
          <w:lang w:val="x-none"/>
        </w:rPr>
        <w:t>Wykopy otwarte nie obudowane ze skarpami</w:t>
      </w:r>
    </w:p>
    <w:p w14:paraId="023CC722"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Nachylenie skarp wykopów należy wykonywać zgodnie z projektem. Jeśli w projekcie nie określono inaczej, to przy głębokości wykopu do 4 m i niewystępowaniu wody gruntowej, usuwisk oraz nieobciążaniu naziomu w zasięgu klina odłamu, dopuszcza się następujące bezpieczne nachylenie skarp:</w:t>
      </w:r>
    </w:p>
    <w:p w14:paraId="70B00B5C"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 gruntach bardzo spoistych 2:1,</w:t>
      </w:r>
    </w:p>
    <w:p w14:paraId="2CB0C87A"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 gruntach kamienistych (rumosz, wietrzelina), skalistych spękanych 1:1,</w:t>
      </w:r>
    </w:p>
    <w:p w14:paraId="1507CB10"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lastRenderedPageBreak/>
        <w:t>–</w:t>
      </w:r>
      <w:r>
        <w:rPr>
          <w:rFonts w:ascii="Arial" w:hAnsi="Arial" w:cs="Arial"/>
          <w:color w:val="000000"/>
          <w:sz w:val="18"/>
          <w:szCs w:val="18"/>
          <w:lang w:val="x-none"/>
        </w:rPr>
        <w:tab/>
        <w:t>w pozostałych gruntach spoistych oraz wietrzelinach i rumoszach gliniastych 1:1,25,</w:t>
      </w:r>
    </w:p>
    <w:p w14:paraId="6705D703"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w gruntach </w:t>
      </w:r>
      <w:proofErr w:type="spellStart"/>
      <w:r>
        <w:rPr>
          <w:rFonts w:ascii="Arial" w:hAnsi="Arial" w:cs="Arial"/>
          <w:color w:val="000000"/>
          <w:sz w:val="18"/>
          <w:szCs w:val="18"/>
          <w:lang w:val="x-none"/>
        </w:rPr>
        <w:t>niespoinowych</w:t>
      </w:r>
      <w:proofErr w:type="spellEnd"/>
      <w:r>
        <w:rPr>
          <w:rFonts w:ascii="Arial" w:hAnsi="Arial" w:cs="Arial"/>
          <w:color w:val="000000"/>
          <w:sz w:val="18"/>
          <w:szCs w:val="18"/>
          <w:lang w:val="x-none"/>
        </w:rPr>
        <w:t xml:space="preserve"> 1:1,50,</w:t>
      </w:r>
    </w:p>
    <w:p w14:paraId="661682C0"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przy równoczesnym zapewnieniu łatwego i szybkiego odpływu wód opadowych od krawędzi wykopu z pasa terenu szerokości równej trzykrotnej głębokości wykopu oraz zabezpieczeniu podnóża pochylonej skarpy na dnie wykopu.</w:t>
      </w:r>
    </w:p>
    <w:p w14:paraId="08A2F8D6" w14:textId="77777777" w:rsidR="000A3B2B" w:rsidRDefault="000A3B2B" w:rsidP="000E4A55">
      <w:pPr>
        <w:autoSpaceDE w:val="0"/>
        <w:autoSpaceDN w:val="0"/>
        <w:adjustRightInd w:val="0"/>
        <w:spacing w:after="30" w:line="240" w:lineRule="auto"/>
        <w:jc w:val="both"/>
        <w:rPr>
          <w:rFonts w:ascii="Arial" w:hAnsi="Arial" w:cs="Arial"/>
          <w:b/>
          <w:bCs/>
          <w:color w:val="000000"/>
          <w:sz w:val="18"/>
          <w:szCs w:val="18"/>
          <w:lang w:val="x-none"/>
        </w:rPr>
      </w:pPr>
      <w:r>
        <w:rPr>
          <w:rFonts w:ascii="Arial" w:hAnsi="Arial" w:cs="Arial"/>
          <w:b/>
          <w:bCs/>
          <w:color w:val="000000"/>
          <w:sz w:val="18"/>
          <w:szCs w:val="18"/>
          <w:lang w:val="x-none"/>
        </w:rPr>
        <w:t>Wykopy otwarte obudowane (obudowa rozparta)</w:t>
      </w:r>
    </w:p>
    <w:p w14:paraId="6F30F199"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Rodzaj obudowy powinien być zgodny z określonym w projekcie. Wykopy powinny być zabezpieczone przed zalaniem wodą opadową odpowiednio wyprofilowanym terenem i wysuniętą górną krawędzią obudowy 15 cm ponad teren.</w:t>
      </w:r>
    </w:p>
    <w:p w14:paraId="43B15BD7"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 przypadku prowadzenia prac wykopowych poniżej zwierciadła wody gruntowej obniżenie poziomu wody powinno być wykonane zgodnie z projektem.</w:t>
      </w:r>
    </w:p>
    <w:p w14:paraId="061D1842"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p>
    <w:p w14:paraId="25384497"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p>
    <w:p w14:paraId="7AAC1990" w14:textId="77777777" w:rsidR="000A3B2B" w:rsidRDefault="000A3B2B" w:rsidP="000E4A5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5.3.</w:t>
      </w:r>
      <w:r>
        <w:rPr>
          <w:rFonts w:ascii="Arial" w:hAnsi="Arial" w:cs="Arial"/>
          <w:b/>
          <w:bCs/>
          <w:color w:val="000000"/>
          <w:sz w:val="18"/>
          <w:szCs w:val="18"/>
          <w:lang w:val="x-none"/>
        </w:rPr>
        <w:tab/>
        <w:t>Wymiary wykopów i dokładność ich wykonania</w:t>
      </w:r>
    </w:p>
    <w:p w14:paraId="375D98CF" w14:textId="77777777" w:rsidR="000A3B2B" w:rsidRDefault="000A3B2B" w:rsidP="000E4A55">
      <w:pPr>
        <w:autoSpaceDE w:val="0"/>
        <w:autoSpaceDN w:val="0"/>
        <w:adjustRightInd w:val="0"/>
        <w:spacing w:after="30" w:line="240" w:lineRule="auto"/>
        <w:jc w:val="right"/>
        <w:rPr>
          <w:rFonts w:ascii="Arial" w:hAnsi="Arial" w:cs="Arial"/>
          <w:b/>
          <w:bCs/>
          <w:color w:val="000000"/>
          <w:sz w:val="18"/>
          <w:szCs w:val="18"/>
          <w:lang w:val="x-none"/>
        </w:rPr>
      </w:pPr>
    </w:p>
    <w:p w14:paraId="1CBBFB78" w14:textId="77777777" w:rsidR="000A3B2B" w:rsidRDefault="000A3B2B" w:rsidP="000E4A55">
      <w:pPr>
        <w:autoSpaceDE w:val="0"/>
        <w:autoSpaceDN w:val="0"/>
        <w:adjustRightInd w:val="0"/>
        <w:spacing w:after="30" w:line="240" w:lineRule="auto"/>
        <w:jc w:val="right"/>
        <w:rPr>
          <w:rFonts w:ascii="Arial" w:hAnsi="Arial" w:cs="Arial"/>
          <w:b/>
          <w:bCs/>
          <w:color w:val="000000"/>
          <w:sz w:val="18"/>
          <w:szCs w:val="18"/>
          <w:lang w:val="x-none"/>
        </w:rPr>
      </w:pPr>
      <w:r>
        <w:rPr>
          <w:rFonts w:ascii="Arial" w:hAnsi="Arial" w:cs="Arial"/>
          <w:b/>
          <w:bCs/>
          <w:color w:val="000000"/>
          <w:sz w:val="18"/>
          <w:szCs w:val="18"/>
          <w:lang w:val="x-none"/>
        </w:rPr>
        <w:t>Tablica nr 1</w:t>
      </w:r>
    </w:p>
    <w:p w14:paraId="72AADBE5" w14:textId="77777777" w:rsidR="000A3B2B" w:rsidRDefault="000A3B2B" w:rsidP="000E4A55">
      <w:pPr>
        <w:autoSpaceDE w:val="0"/>
        <w:autoSpaceDN w:val="0"/>
        <w:adjustRightInd w:val="0"/>
        <w:spacing w:after="30" w:line="240" w:lineRule="auto"/>
        <w:jc w:val="center"/>
        <w:rPr>
          <w:rFonts w:ascii="Arial" w:hAnsi="Arial" w:cs="Arial"/>
          <w:b/>
          <w:bCs/>
          <w:color w:val="000000"/>
          <w:sz w:val="18"/>
          <w:szCs w:val="18"/>
          <w:lang w:val="x-none"/>
        </w:rPr>
      </w:pPr>
      <w:r>
        <w:rPr>
          <w:rFonts w:ascii="Arial" w:hAnsi="Arial" w:cs="Arial"/>
          <w:b/>
          <w:bCs/>
          <w:color w:val="000000"/>
          <w:sz w:val="18"/>
          <w:szCs w:val="18"/>
          <w:lang w:val="x-none"/>
        </w:rPr>
        <w:t xml:space="preserve">Minimalna szerokość dna wykopu </w:t>
      </w:r>
      <w:r>
        <w:rPr>
          <w:rFonts w:ascii="Arial" w:hAnsi="Arial" w:cs="Arial"/>
          <w:b/>
          <w:bCs/>
          <w:color w:val="000000"/>
          <w:sz w:val="18"/>
          <w:szCs w:val="18"/>
          <w:lang w:val="x-none"/>
        </w:rPr>
        <w:br/>
        <w:t>w zależności od średnicy nominalnej przewodu DN wg PN-EN 1610:2015</w:t>
      </w:r>
    </w:p>
    <w:tbl>
      <w:tblPr>
        <w:tblW w:w="0" w:type="auto"/>
        <w:jc w:val="center"/>
        <w:tblCellSpacing w:w="0" w:type="dxa"/>
        <w:tblLayout w:type="fixed"/>
        <w:tblCellMar>
          <w:left w:w="0" w:type="dxa"/>
          <w:right w:w="0" w:type="dxa"/>
        </w:tblCellMar>
        <w:tblLook w:val="0000" w:firstRow="0" w:lastRow="0" w:firstColumn="0" w:lastColumn="0" w:noHBand="0" w:noVBand="0"/>
      </w:tblPr>
      <w:tblGrid>
        <w:gridCol w:w="2332"/>
        <w:gridCol w:w="2176"/>
        <w:gridCol w:w="2174"/>
        <w:gridCol w:w="2176"/>
      </w:tblGrid>
      <w:tr w:rsidR="000A3B2B" w14:paraId="12356BF2" w14:textId="77777777">
        <w:trPr>
          <w:trHeight w:val="60"/>
          <w:tblCellSpacing w:w="0" w:type="dxa"/>
          <w:jc w:val="center"/>
        </w:trPr>
        <w:tc>
          <w:tcPr>
            <w:tcW w:w="2332" w:type="dxa"/>
            <w:vMerge w:val="restart"/>
            <w:tcBorders>
              <w:top w:val="single" w:sz="6" w:space="0" w:color="000000"/>
              <w:left w:val="single" w:sz="6" w:space="0" w:color="000000"/>
              <w:bottom w:val="single" w:sz="6" w:space="0" w:color="000000"/>
              <w:right w:val="single" w:sz="6" w:space="0" w:color="000000"/>
            </w:tcBorders>
            <w:shd w:val="clear" w:color="auto" w:fill="CBCBCB"/>
            <w:vAlign w:val="center"/>
          </w:tcPr>
          <w:p w14:paraId="1FC2CDF7" w14:textId="77777777" w:rsidR="000A3B2B" w:rsidRDefault="000A3B2B">
            <w:pPr>
              <w:autoSpaceDE w:val="0"/>
              <w:autoSpaceDN w:val="0"/>
              <w:adjustRightInd w:val="0"/>
              <w:spacing w:after="30" w:line="240" w:lineRule="auto"/>
              <w:jc w:val="center"/>
              <w:rPr>
                <w:rFonts w:ascii="Arial" w:hAnsi="Arial" w:cs="Arial"/>
                <w:b/>
                <w:bCs/>
                <w:color w:val="000000"/>
                <w:sz w:val="18"/>
                <w:szCs w:val="18"/>
                <w:lang w:val="x-none"/>
              </w:rPr>
            </w:pPr>
            <w:r>
              <w:rPr>
                <w:rFonts w:ascii="Arial" w:hAnsi="Arial" w:cs="Arial"/>
                <w:b/>
                <w:bCs/>
                <w:color w:val="000000"/>
                <w:sz w:val="18"/>
                <w:szCs w:val="18"/>
                <w:lang w:val="x-none"/>
              </w:rPr>
              <w:t>DN</w:t>
            </w:r>
          </w:p>
        </w:tc>
        <w:tc>
          <w:tcPr>
            <w:tcW w:w="6526" w:type="dxa"/>
            <w:gridSpan w:val="3"/>
            <w:tcBorders>
              <w:top w:val="single" w:sz="6" w:space="0" w:color="000000"/>
              <w:left w:val="single" w:sz="6" w:space="0" w:color="000000"/>
              <w:bottom w:val="single" w:sz="6" w:space="0" w:color="000000"/>
              <w:right w:val="single" w:sz="6" w:space="0" w:color="000000"/>
            </w:tcBorders>
            <w:shd w:val="clear" w:color="auto" w:fill="CBCBCB"/>
            <w:vAlign w:val="center"/>
          </w:tcPr>
          <w:p w14:paraId="0F643441" w14:textId="77777777" w:rsidR="000A3B2B" w:rsidRDefault="000A3B2B">
            <w:pPr>
              <w:autoSpaceDE w:val="0"/>
              <w:autoSpaceDN w:val="0"/>
              <w:adjustRightInd w:val="0"/>
              <w:spacing w:after="30" w:line="240" w:lineRule="auto"/>
              <w:jc w:val="center"/>
              <w:rPr>
                <w:rFonts w:ascii="Arial" w:hAnsi="Arial" w:cs="Arial"/>
                <w:b/>
                <w:bCs/>
                <w:color w:val="000000"/>
                <w:sz w:val="18"/>
                <w:szCs w:val="18"/>
                <w:lang w:val="x-none"/>
              </w:rPr>
            </w:pPr>
            <w:r>
              <w:rPr>
                <w:rFonts w:ascii="Arial" w:hAnsi="Arial" w:cs="Arial"/>
                <w:b/>
                <w:bCs/>
                <w:color w:val="000000"/>
                <w:sz w:val="18"/>
                <w:szCs w:val="18"/>
                <w:lang w:val="x-none"/>
              </w:rPr>
              <w:t xml:space="preserve">Minimalna szerokość wykopu (OD + x) </w:t>
            </w:r>
            <w:r>
              <w:rPr>
                <w:rFonts w:ascii="Arial" w:hAnsi="Arial" w:cs="Arial"/>
                <w:b/>
                <w:bCs/>
                <w:color w:val="000000"/>
                <w:sz w:val="18"/>
                <w:szCs w:val="18"/>
                <w:lang w:val="x-none"/>
              </w:rPr>
              <w:br/>
              <w:t>m</w:t>
            </w:r>
          </w:p>
        </w:tc>
      </w:tr>
      <w:tr w:rsidR="000A3B2B" w14:paraId="2F1B9F05" w14:textId="77777777">
        <w:trPr>
          <w:trHeight w:val="60"/>
          <w:tblCellSpacing w:w="0" w:type="dxa"/>
          <w:jc w:val="center"/>
        </w:trPr>
        <w:tc>
          <w:tcPr>
            <w:tcW w:w="2332" w:type="dxa"/>
            <w:vMerge/>
            <w:tcBorders>
              <w:top w:val="single" w:sz="6" w:space="0" w:color="000000"/>
              <w:left w:val="single" w:sz="6" w:space="0" w:color="000000"/>
              <w:bottom w:val="single" w:sz="6" w:space="0" w:color="000000"/>
              <w:right w:val="single" w:sz="6" w:space="0" w:color="000000"/>
            </w:tcBorders>
            <w:shd w:val="clear" w:color="auto" w:fill="CBCBCB"/>
            <w:vAlign w:val="center"/>
          </w:tcPr>
          <w:p w14:paraId="267ADD96" w14:textId="77777777" w:rsidR="000A3B2B" w:rsidRDefault="000A3B2B">
            <w:pPr>
              <w:autoSpaceDE w:val="0"/>
              <w:autoSpaceDN w:val="0"/>
              <w:adjustRightInd w:val="0"/>
              <w:spacing w:after="0" w:line="240" w:lineRule="auto"/>
              <w:rPr>
                <w:rFonts w:ascii="Arial" w:hAnsi="Arial" w:cs="Arial"/>
                <w:b/>
                <w:bCs/>
                <w:color w:val="000000"/>
                <w:sz w:val="18"/>
                <w:szCs w:val="18"/>
                <w:lang w:val="x-none"/>
              </w:rPr>
            </w:pPr>
          </w:p>
        </w:tc>
        <w:tc>
          <w:tcPr>
            <w:tcW w:w="2176" w:type="dxa"/>
            <w:vMerge w:val="restart"/>
            <w:tcBorders>
              <w:top w:val="single" w:sz="6" w:space="0" w:color="000000"/>
              <w:left w:val="single" w:sz="6" w:space="0" w:color="000000"/>
              <w:bottom w:val="single" w:sz="6" w:space="0" w:color="000000"/>
              <w:right w:val="single" w:sz="6" w:space="0" w:color="000000"/>
            </w:tcBorders>
            <w:shd w:val="clear" w:color="auto" w:fill="CBCBCB"/>
            <w:vAlign w:val="center"/>
          </w:tcPr>
          <w:p w14:paraId="52937F95" w14:textId="77777777" w:rsidR="000A3B2B" w:rsidRDefault="000A3B2B">
            <w:pPr>
              <w:autoSpaceDE w:val="0"/>
              <w:autoSpaceDN w:val="0"/>
              <w:adjustRightInd w:val="0"/>
              <w:spacing w:after="30" w:line="240" w:lineRule="auto"/>
              <w:jc w:val="center"/>
              <w:rPr>
                <w:rFonts w:ascii="Arial" w:hAnsi="Arial" w:cs="Arial"/>
                <w:b/>
                <w:bCs/>
                <w:color w:val="000000"/>
                <w:sz w:val="18"/>
                <w:szCs w:val="18"/>
                <w:lang w:val="x-none"/>
              </w:rPr>
            </w:pPr>
            <w:r>
              <w:rPr>
                <w:rFonts w:ascii="Arial" w:hAnsi="Arial" w:cs="Arial"/>
                <w:b/>
                <w:bCs/>
                <w:color w:val="000000"/>
                <w:sz w:val="18"/>
                <w:szCs w:val="18"/>
                <w:lang w:val="x-none"/>
              </w:rPr>
              <w:t>Wykop oszalowany</w:t>
            </w:r>
          </w:p>
        </w:tc>
        <w:tc>
          <w:tcPr>
            <w:tcW w:w="4350" w:type="dxa"/>
            <w:gridSpan w:val="2"/>
            <w:tcBorders>
              <w:top w:val="single" w:sz="6" w:space="0" w:color="000000"/>
              <w:left w:val="single" w:sz="6" w:space="0" w:color="000000"/>
              <w:bottom w:val="single" w:sz="6" w:space="0" w:color="000000"/>
              <w:right w:val="single" w:sz="6" w:space="0" w:color="000000"/>
            </w:tcBorders>
            <w:shd w:val="clear" w:color="auto" w:fill="CBCBCB"/>
            <w:vAlign w:val="center"/>
          </w:tcPr>
          <w:p w14:paraId="7F926AE4" w14:textId="77777777" w:rsidR="000A3B2B" w:rsidRDefault="000A3B2B">
            <w:pPr>
              <w:autoSpaceDE w:val="0"/>
              <w:autoSpaceDN w:val="0"/>
              <w:adjustRightInd w:val="0"/>
              <w:spacing w:after="30" w:line="240" w:lineRule="auto"/>
              <w:jc w:val="center"/>
              <w:rPr>
                <w:rFonts w:ascii="Arial" w:hAnsi="Arial" w:cs="Arial"/>
                <w:b/>
                <w:bCs/>
                <w:color w:val="000000"/>
                <w:sz w:val="18"/>
                <w:szCs w:val="18"/>
                <w:lang w:val="x-none"/>
              </w:rPr>
            </w:pPr>
            <w:r>
              <w:rPr>
                <w:rFonts w:ascii="Arial" w:hAnsi="Arial" w:cs="Arial"/>
                <w:b/>
                <w:bCs/>
                <w:color w:val="000000"/>
                <w:sz w:val="18"/>
                <w:szCs w:val="18"/>
                <w:lang w:val="x-none"/>
              </w:rPr>
              <w:t>Wykop nieoszalowany</w:t>
            </w:r>
          </w:p>
        </w:tc>
      </w:tr>
      <w:tr w:rsidR="000A3B2B" w14:paraId="0DCD05DB" w14:textId="77777777">
        <w:trPr>
          <w:trHeight w:val="60"/>
          <w:tblCellSpacing w:w="0" w:type="dxa"/>
          <w:jc w:val="center"/>
        </w:trPr>
        <w:tc>
          <w:tcPr>
            <w:tcW w:w="2332" w:type="dxa"/>
            <w:vMerge/>
            <w:tcBorders>
              <w:top w:val="single" w:sz="6" w:space="0" w:color="000000"/>
              <w:left w:val="single" w:sz="6" w:space="0" w:color="000000"/>
              <w:bottom w:val="single" w:sz="6" w:space="0" w:color="000000"/>
              <w:right w:val="single" w:sz="6" w:space="0" w:color="000000"/>
            </w:tcBorders>
            <w:shd w:val="clear" w:color="auto" w:fill="CBCBCB"/>
            <w:vAlign w:val="center"/>
          </w:tcPr>
          <w:p w14:paraId="51B055C3" w14:textId="77777777" w:rsidR="000A3B2B" w:rsidRDefault="000A3B2B">
            <w:pPr>
              <w:autoSpaceDE w:val="0"/>
              <w:autoSpaceDN w:val="0"/>
              <w:adjustRightInd w:val="0"/>
              <w:spacing w:after="0" w:line="240" w:lineRule="auto"/>
              <w:rPr>
                <w:rFonts w:ascii="Arial" w:hAnsi="Arial" w:cs="Arial"/>
                <w:b/>
                <w:bCs/>
                <w:color w:val="000000"/>
                <w:sz w:val="18"/>
                <w:szCs w:val="18"/>
                <w:lang w:val="x-none"/>
              </w:rPr>
            </w:pPr>
          </w:p>
        </w:tc>
        <w:tc>
          <w:tcPr>
            <w:tcW w:w="2176" w:type="dxa"/>
            <w:vMerge/>
            <w:tcBorders>
              <w:top w:val="single" w:sz="6" w:space="0" w:color="000000"/>
              <w:left w:val="single" w:sz="6" w:space="0" w:color="000000"/>
              <w:bottom w:val="single" w:sz="6" w:space="0" w:color="000000"/>
              <w:right w:val="single" w:sz="6" w:space="0" w:color="000000"/>
            </w:tcBorders>
            <w:shd w:val="clear" w:color="auto" w:fill="CBCBCB"/>
            <w:vAlign w:val="center"/>
          </w:tcPr>
          <w:p w14:paraId="74D6F699" w14:textId="77777777" w:rsidR="000A3B2B" w:rsidRDefault="000A3B2B">
            <w:pPr>
              <w:autoSpaceDE w:val="0"/>
              <w:autoSpaceDN w:val="0"/>
              <w:adjustRightInd w:val="0"/>
              <w:spacing w:after="0" w:line="240" w:lineRule="auto"/>
              <w:rPr>
                <w:rFonts w:ascii="Arial" w:hAnsi="Arial" w:cs="Arial"/>
                <w:b/>
                <w:bCs/>
                <w:color w:val="000000"/>
                <w:sz w:val="18"/>
                <w:szCs w:val="18"/>
                <w:lang w:val="x-none"/>
              </w:rPr>
            </w:pPr>
          </w:p>
        </w:tc>
        <w:tc>
          <w:tcPr>
            <w:tcW w:w="2174" w:type="dxa"/>
            <w:tcBorders>
              <w:top w:val="single" w:sz="6" w:space="0" w:color="000000"/>
              <w:left w:val="single" w:sz="6" w:space="0" w:color="000000"/>
              <w:bottom w:val="single" w:sz="6" w:space="0" w:color="000000"/>
              <w:right w:val="single" w:sz="6" w:space="0" w:color="000000"/>
            </w:tcBorders>
            <w:shd w:val="clear" w:color="auto" w:fill="CBCBCB"/>
            <w:vAlign w:val="center"/>
          </w:tcPr>
          <w:p w14:paraId="75BF46D6" w14:textId="77777777" w:rsidR="000A3B2B" w:rsidRDefault="000A3B2B">
            <w:pPr>
              <w:autoSpaceDE w:val="0"/>
              <w:autoSpaceDN w:val="0"/>
              <w:adjustRightInd w:val="0"/>
              <w:spacing w:after="30" w:line="240" w:lineRule="auto"/>
              <w:jc w:val="center"/>
              <w:rPr>
                <w:rFonts w:ascii="Arial" w:hAnsi="Arial" w:cs="Arial"/>
                <w:b/>
                <w:bCs/>
                <w:color w:val="000000"/>
                <w:sz w:val="18"/>
                <w:szCs w:val="18"/>
                <w:lang w:val="el-GR"/>
              </w:rPr>
            </w:pPr>
            <w:r>
              <w:rPr>
                <w:rFonts w:ascii="Arial" w:hAnsi="Arial" w:cs="Arial"/>
                <w:b/>
                <w:bCs/>
                <w:color w:val="000000"/>
                <w:sz w:val="18"/>
                <w:szCs w:val="18"/>
                <w:lang w:val="el-GR"/>
              </w:rPr>
              <w:t>β &gt; 60°</w:t>
            </w:r>
          </w:p>
        </w:tc>
        <w:tc>
          <w:tcPr>
            <w:tcW w:w="2176" w:type="dxa"/>
            <w:tcBorders>
              <w:top w:val="single" w:sz="6" w:space="0" w:color="000000"/>
              <w:left w:val="single" w:sz="6" w:space="0" w:color="000000"/>
              <w:bottom w:val="single" w:sz="6" w:space="0" w:color="000000"/>
              <w:right w:val="single" w:sz="6" w:space="0" w:color="000000"/>
            </w:tcBorders>
            <w:shd w:val="clear" w:color="auto" w:fill="CBCBCB"/>
            <w:vAlign w:val="center"/>
          </w:tcPr>
          <w:p w14:paraId="460D784D" w14:textId="77777777" w:rsidR="000A3B2B" w:rsidRDefault="000A3B2B">
            <w:pPr>
              <w:autoSpaceDE w:val="0"/>
              <w:autoSpaceDN w:val="0"/>
              <w:adjustRightInd w:val="0"/>
              <w:spacing w:after="30" w:line="240" w:lineRule="auto"/>
              <w:jc w:val="center"/>
              <w:rPr>
                <w:rFonts w:ascii="Arial" w:hAnsi="Arial" w:cs="Arial"/>
                <w:b/>
                <w:bCs/>
                <w:color w:val="000000"/>
                <w:sz w:val="18"/>
                <w:szCs w:val="18"/>
                <w:lang w:val="el-GR"/>
              </w:rPr>
            </w:pPr>
            <w:r>
              <w:rPr>
                <w:rFonts w:ascii="Arial" w:hAnsi="Arial" w:cs="Arial"/>
                <w:b/>
                <w:bCs/>
                <w:color w:val="000000"/>
                <w:sz w:val="18"/>
                <w:szCs w:val="18"/>
                <w:lang w:val="el-GR"/>
              </w:rPr>
              <w:t>β ≤ 60°</w:t>
            </w:r>
          </w:p>
        </w:tc>
      </w:tr>
      <w:tr w:rsidR="000A3B2B" w14:paraId="382F4EF5" w14:textId="77777777">
        <w:trPr>
          <w:trHeight w:val="60"/>
          <w:tblCellSpacing w:w="0" w:type="dxa"/>
          <w:jc w:val="center"/>
        </w:trPr>
        <w:tc>
          <w:tcPr>
            <w:tcW w:w="2332" w:type="dxa"/>
            <w:tcBorders>
              <w:top w:val="single" w:sz="6" w:space="0" w:color="000000"/>
              <w:left w:val="single" w:sz="6" w:space="0" w:color="000000"/>
              <w:bottom w:val="single" w:sz="6" w:space="0" w:color="000000"/>
              <w:right w:val="single" w:sz="6" w:space="0" w:color="000000"/>
            </w:tcBorders>
          </w:tcPr>
          <w:p w14:paraId="0D665AE8"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DN ≤ 225</w:t>
            </w:r>
          </w:p>
        </w:tc>
        <w:tc>
          <w:tcPr>
            <w:tcW w:w="2176" w:type="dxa"/>
            <w:tcBorders>
              <w:top w:val="single" w:sz="6" w:space="0" w:color="000000"/>
              <w:left w:val="single" w:sz="6" w:space="0" w:color="000000"/>
              <w:bottom w:val="single" w:sz="6" w:space="0" w:color="000000"/>
              <w:right w:val="single" w:sz="6" w:space="0" w:color="000000"/>
            </w:tcBorders>
          </w:tcPr>
          <w:p w14:paraId="2ABA4089"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OD + 0,40</w:t>
            </w:r>
          </w:p>
        </w:tc>
        <w:tc>
          <w:tcPr>
            <w:tcW w:w="4350" w:type="dxa"/>
            <w:gridSpan w:val="2"/>
            <w:tcBorders>
              <w:top w:val="single" w:sz="6" w:space="0" w:color="000000"/>
              <w:left w:val="single" w:sz="6" w:space="0" w:color="000000"/>
              <w:bottom w:val="single" w:sz="6" w:space="0" w:color="000000"/>
              <w:right w:val="single" w:sz="6" w:space="0" w:color="000000"/>
            </w:tcBorders>
          </w:tcPr>
          <w:p w14:paraId="464AA1D5"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OD + 0,40</w:t>
            </w:r>
          </w:p>
        </w:tc>
      </w:tr>
      <w:tr w:rsidR="000A3B2B" w14:paraId="63B5D0F1" w14:textId="77777777">
        <w:trPr>
          <w:trHeight w:val="60"/>
          <w:tblCellSpacing w:w="0" w:type="dxa"/>
          <w:jc w:val="center"/>
        </w:trPr>
        <w:tc>
          <w:tcPr>
            <w:tcW w:w="2332" w:type="dxa"/>
            <w:tcBorders>
              <w:top w:val="single" w:sz="6" w:space="0" w:color="000000"/>
              <w:left w:val="single" w:sz="6" w:space="0" w:color="000000"/>
              <w:bottom w:val="single" w:sz="6" w:space="0" w:color="000000"/>
              <w:right w:val="single" w:sz="6" w:space="0" w:color="000000"/>
            </w:tcBorders>
          </w:tcPr>
          <w:p w14:paraId="09F4DA09"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225 &lt; DN ≤ 350</w:t>
            </w:r>
          </w:p>
        </w:tc>
        <w:tc>
          <w:tcPr>
            <w:tcW w:w="2176" w:type="dxa"/>
            <w:tcBorders>
              <w:top w:val="single" w:sz="6" w:space="0" w:color="000000"/>
              <w:left w:val="single" w:sz="6" w:space="0" w:color="000000"/>
              <w:bottom w:val="single" w:sz="6" w:space="0" w:color="000000"/>
              <w:right w:val="single" w:sz="6" w:space="0" w:color="000000"/>
            </w:tcBorders>
          </w:tcPr>
          <w:p w14:paraId="115D3442"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OD + 0,50</w:t>
            </w:r>
          </w:p>
        </w:tc>
        <w:tc>
          <w:tcPr>
            <w:tcW w:w="2174" w:type="dxa"/>
            <w:tcBorders>
              <w:top w:val="single" w:sz="6" w:space="0" w:color="000000"/>
              <w:left w:val="single" w:sz="6" w:space="0" w:color="000000"/>
              <w:bottom w:val="single" w:sz="6" w:space="0" w:color="000000"/>
              <w:right w:val="single" w:sz="6" w:space="0" w:color="000000"/>
            </w:tcBorders>
          </w:tcPr>
          <w:p w14:paraId="3FAA892A"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OD + 0,50</w:t>
            </w:r>
          </w:p>
        </w:tc>
        <w:tc>
          <w:tcPr>
            <w:tcW w:w="2176" w:type="dxa"/>
            <w:tcBorders>
              <w:top w:val="single" w:sz="6" w:space="0" w:color="000000"/>
              <w:left w:val="single" w:sz="6" w:space="0" w:color="000000"/>
              <w:bottom w:val="single" w:sz="6" w:space="0" w:color="000000"/>
              <w:right w:val="single" w:sz="6" w:space="0" w:color="000000"/>
            </w:tcBorders>
          </w:tcPr>
          <w:p w14:paraId="0C5CEB26"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OD + 0,40</w:t>
            </w:r>
          </w:p>
        </w:tc>
      </w:tr>
      <w:tr w:rsidR="000A3B2B" w14:paraId="253C96B9" w14:textId="77777777">
        <w:trPr>
          <w:trHeight w:val="60"/>
          <w:tblCellSpacing w:w="0" w:type="dxa"/>
          <w:jc w:val="center"/>
        </w:trPr>
        <w:tc>
          <w:tcPr>
            <w:tcW w:w="2332" w:type="dxa"/>
            <w:tcBorders>
              <w:top w:val="single" w:sz="6" w:space="0" w:color="000000"/>
              <w:left w:val="single" w:sz="6" w:space="0" w:color="000000"/>
              <w:bottom w:val="single" w:sz="6" w:space="0" w:color="000000"/>
              <w:right w:val="single" w:sz="6" w:space="0" w:color="000000"/>
            </w:tcBorders>
          </w:tcPr>
          <w:p w14:paraId="511D99F9"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350 &lt; DN ≤ 750</w:t>
            </w:r>
          </w:p>
        </w:tc>
        <w:tc>
          <w:tcPr>
            <w:tcW w:w="2176" w:type="dxa"/>
            <w:tcBorders>
              <w:top w:val="single" w:sz="6" w:space="0" w:color="000000"/>
              <w:left w:val="single" w:sz="6" w:space="0" w:color="000000"/>
              <w:bottom w:val="single" w:sz="6" w:space="0" w:color="000000"/>
              <w:right w:val="single" w:sz="6" w:space="0" w:color="000000"/>
            </w:tcBorders>
          </w:tcPr>
          <w:p w14:paraId="77A8B8ED"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OD + 0,70</w:t>
            </w:r>
          </w:p>
        </w:tc>
        <w:tc>
          <w:tcPr>
            <w:tcW w:w="2174" w:type="dxa"/>
            <w:tcBorders>
              <w:top w:val="single" w:sz="6" w:space="0" w:color="000000"/>
              <w:left w:val="single" w:sz="6" w:space="0" w:color="000000"/>
              <w:bottom w:val="single" w:sz="6" w:space="0" w:color="000000"/>
              <w:right w:val="single" w:sz="6" w:space="0" w:color="000000"/>
            </w:tcBorders>
          </w:tcPr>
          <w:p w14:paraId="1ECB4347"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OD + 0,70</w:t>
            </w:r>
          </w:p>
        </w:tc>
        <w:tc>
          <w:tcPr>
            <w:tcW w:w="2176" w:type="dxa"/>
            <w:tcBorders>
              <w:top w:val="single" w:sz="6" w:space="0" w:color="000000"/>
              <w:left w:val="single" w:sz="6" w:space="0" w:color="000000"/>
              <w:bottom w:val="single" w:sz="6" w:space="0" w:color="000000"/>
              <w:right w:val="single" w:sz="6" w:space="0" w:color="000000"/>
            </w:tcBorders>
          </w:tcPr>
          <w:p w14:paraId="76E0B2E9"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OD + 0,40</w:t>
            </w:r>
          </w:p>
        </w:tc>
      </w:tr>
      <w:tr w:rsidR="000A3B2B" w14:paraId="2A3BA690" w14:textId="77777777">
        <w:trPr>
          <w:trHeight w:val="60"/>
          <w:tblCellSpacing w:w="0" w:type="dxa"/>
          <w:jc w:val="center"/>
        </w:trPr>
        <w:tc>
          <w:tcPr>
            <w:tcW w:w="2332" w:type="dxa"/>
            <w:tcBorders>
              <w:top w:val="single" w:sz="6" w:space="0" w:color="000000"/>
              <w:left w:val="single" w:sz="6" w:space="0" w:color="000000"/>
              <w:bottom w:val="single" w:sz="6" w:space="0" w:color="000000"/>
              <w:right w:val="single" w:sz="6" w:space="0" w:color="000000"/>
            </w:tcBorders>
          </w:tcPr>
          <w:p w14:paraId="206EF746"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700 &lt; DN ≤ 1200</w:t>
            </w:r>
          </w:p>
        </w:tc>
        <w:tc>
          <w:tcPr>
            <w:tcW w:w="2176" w:type="dxa"/>
            <w:tcBorders>
              <w:top w:val="single" w:sz="6" w:space="0" w:color="000000"/>
              <w:left w:val="single" w:sz="6" w:space="0" w:color="000000"/>
              <w:bottom w:val="single" w:sz="6" w:space="0" w:color="000000"/>
              <w:right w:val="single" w:sz="6" w:space="0" w:color="000000"/>
            </w:tcBorders>
          </w:tcPr>
          <w:p w14:paraId="5C10F785"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OD + 0,85</w:t>
            </w:r>
          </w:p>
        </w:tc>
        <w:tc>
          <w:tcPr>
            <w:tcW w:w="2174" w:type="dxa"/>
            <w:tcBorders>
              <w:top w:val="single" w:sz="6" w:space="0" w:color="000000"/>
              <w:left w:val="single" w:sz="6" w:space="0" w:color="000000"/>
              <w:bottom w:val="single" w:sz="6" w:space="0" w:color="000000"/>
              <w:right w:val="single" w:sz="6" w:space="0" w:color="000000"/>
            </w:tcBorders>
          </w:tcPr>
          <w:p w14:paraId="11F480E9"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OD + 0,85</w:t>
            </w:r>
          </w:p>
        </w:tc>
        <w:tc>
          <w:tcPr>
            <w:tcW w:w="2176" w:type="dxa"/>
            <w:tcBorders>
              <w:top w:val="single" w:sz="6" w:space="0" w:color="000000"/>
              <w:left w:val="single" w:sz="6" w:space="0" w:color="000000"/>
              <w:bottom w:val="single" w:sz="6" w:space="0" w:color="000000"/>
              <w:right w:val="single" w:sz="6" w:space="0" w:color="000000"/>
            </w:tcBorders>
          </w:tcPr>
          <w:p w14:paraId="6C022B15"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OD + 0,40</w:t>
            </w:r>
          </w:p>
        </w:tc>
      </w:tr>
      <w:tr w:rsidR="000A3B2B" w14:paraId="7E42DB5C" w14:textId="77777777">
        <w:trPr>
          <w:trHeight w:val="60"/>
          <w:tblCellSpacing w:w="0" w:type="dxa"/>
          <w:jc w:val="center"/>
        </w:trPr>
        <w:tc>
          <w:tcPr>
            <w:tcW w:w="2332" w:type="dxa"/>
            <w:tcBorders>
              <w:top w:val="single" w:sz="6" w:space="0" w:color="000000"/>
              <w:left w:val="single" w:sz="6" w:space="0" w:color="000000"/>
              <w:bottom w:val="single" w:sz="6" w:space="0" w:color="000000"/>
              <w:right w:val="single" w:sz="6" w:space="0" w:color="000000"/>
            </w:tcBorders>
          </w:tcPr>
          <w:p w14:paraId="4D71A55F"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DN &gt; 1200</w:t>
            </w:r>
          </w:p>
        </w:tc>
        <w:tc>
          <w:tcPr>
            <w:tcW w:w="2176" w:type="dxa"/>
            <w:tcBorders>
              <w:top w:val="single" w:sz="6" w:space="0" w:color="000000"/>
              <w:left w:val="single" w:sz="6" w:space="0" w:color="000000"/>
              <w:bottom w:val="single" w:sz="6" w:space="0" w:color="000000"/>
              <w:right w:val="single" w:sz="6" w:space="0" w:color="000000"/>
            </w:tcBorders>
          </w:tcPr>
          <w:p w14:paraId="1BE21D28"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OD + 1,00</w:t>
            </w:r>
          </w:p>
        </w:tc>
        <w:tc>
          <w:tcPr>
            <w:tcW w:w="2174" w:type="dxa"/>
            <w:tcBorders>
              <w:top w:val="single" w:sz="6" w:space="0" w:color="000000"/>
              <w:left w:val="single" w:sz="6" w:space="0" w:color="000000"/>
              <w:bottom w:val="single" w:sz="6" w:space="0" w:color="000000"/>
              <w:right w:val="single" w:sz="6" w:space="0" w:color="000000"/>
            </w:tcBorders>
          </w:tcPr>
          <w:p w14:paraId="4C8553BC"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OD + 1,00</w:t>
            </w:r>
          </w:p>
        </w:tc>
        <w:tc>
          <w:tcPr>
            <w:tcW w:w="2176" w:type="dxa"/>
            <w:tcBorders>
              <w:top w:val="single" w:sz="6" w:space="0" w:color="000000"/>
              <w:left w:val="single" w:sz="6" w:space="0" w:color="000000"/>
              <w:bottom w:val="single" w:sz="6" w:space="0" w:color="000000"/>
              <w:right w:val="single" w:sz="6" w:space="0" w:color="000000"/>
            </w:tcBorders>
          </w:tcPr>
          <w:p w14:paraId="31EA22B9"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OD + 0,40</w:t>
            </w:r>
          </w:p>
        </w:tc>
      </w:tr>
      <w:tr w:rsidR="000A3B2B" w14:paraId="59E12BAC" w14:textId="77777777">
        <w:trPr>
          <w:trHeight w:val="60"/>
          <w:tblCellSpacing w:w="0" w:type="dxa"/>
          <w:jc w:val="center"/>
        </w:trPr>
        <w:tc>
          <w:tcPr>
            <w:tcW w:w="8858" w:type="dxa"/>
            <w:gridSpan w:val="4"/>
            <w:tcBorders>
              <w:top w:val="single" w:sz="6" w:space="0" w:color="000000"/>
              <w:left w:val="single" w:sz="6" w:space="0" w:color="000000"/>
              <w:bottom w:val="single" w:sz="6" w:space="0" w:color="000000"/>
              <w:right w:val="single" w:sz="6" w:space="0" w:color="000000"/>
            </w:tcBorders>
          </w:tcPr>
          <w:p w14:paraId="65E6558D"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 podanych wielkościach OD + x, x/2 jest równe minimalnej przestrzeni roboczej między rurą a ścianą wykopu lub jego oszalowaniem.</w:t>
            </w:r>
          </w:p>
          <w:p w14:paraId="506CE940"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Gdzie:</w:t>
            </w:r>
          </w:p>
          <w:p w14:paraId="7D3D0CB8"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OD – jest zewnętrzną średnicą przewodu, w metrach</w:t>
            </w:r>
          </w:p>
          <w:p w14:paraId="2A1DF232"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el-GR"/>
              </w:rPr>
              <w:t>β – jest k</w:t>
            </w:r>
            <w:proofErr w:type="spellStart"/>
            <w:r>
              <w:rPr>
                <w:rFonts w:ascii="Arial" w:hAnsi="Arial" w:cs="Arial"/>
                <w:color w:val="000000"/>
                <w:sz w:val="18"/>
                <w:szCs w:val="18"/>
                <w:lang w:val="x-none"/>
              </w:rPr>
              <w:t>ątem</w:t>
            </w:r>
            <w:proofErr w:type="spellEnd"/>
            <w:r>
              <w:rPr>
                <w:rFonts w:ascii="Arial" w:hAnsi="Arial" w:cs="Arial"/>
                <w:color w:val="000000"/>
                <w:sz w:val="18"/>
                <w:szCs w:val="18"/>
                <w:lang w:val="x-none"/>
              </w:rPr>
              <w:t xml:space="preserve"> nachylenia ściany wykopu nieoszalowanego mierzonym od poziomu</w:t>
            </w:r>
          </w:p>
        </w:tc>
      </w:tr>
    </w:tbl>
    <w:p w14:paraId="2E555893"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p>
    <w:p w14:paraId="1B33D93E" w14:textId="77777777" w:rsidR="000A3B2B" w:rsidRDefault="000A3B2B" w:rsidP="000E4A55">
      <w:pPr>
        <w:autoSpaceDE w:val="0"/>
        <w:autoSpaceDN w:val="0"/>
        <w:adjustRightInd w:val="0"/>
        <w:spacing w:after="30" w:line="240" w:lineRule="auto"/>
        <w:jc w:val="both"/>
        <w:rPr>
          <w:rFonts w:ascii="Arial" w:hAnsi="Arial" w:cs="Arial"/>
          <w:b/>
          <w:bCs/>
          <w:color w:val="000000"/>
          <w:sz w:val="18"/>
          <w:szCs w:val="18"/>
          <w:lang w:val="x-none"/>
        </w:rPr>
      </w:pPr>
    </w:p>
    <w:p w14:paraId="2F21F132" w14:textId="77777777" w:rsidR="000A3B2B" w:rsidRDefault="000A3B2B" w:rsidP="000E4A55">
      <w:pPr>
        <w:autoSpaceDE w:val="0"/>
        <w:autoSpaceDN w:val="0"/>
        <w:adjustRightInd w:val="0"/>
        <w:spacing w:after="30" w:line="240" w:lineRule="auto"/>
        <w:jc w:val="right"/>
        <w:rPr>
          <w:rFonts w:ascii="Arial" w:hAnsi="Arial" w:cs="Arial"/>
          <w:b/>
          <w:bCs/>
          <w:color w:val="000000"/>
          <w:sz w:val="18"/>
          <w:szCs w:val="18"/>
          <w:lang w:val="x-none"/>
        </w:rPr>
      </w:pPr>
      <w:r>
        <w:rPr>
          <w:rFonts w:ascii="Arial" w:hAnsi="Arial" w:cs="Arial"/>
          <w:b/>
          <w:bCs/>
          <w:color w:val="000000"/>
          <w:sz w:val="18"/>
          <w:szCs w:val="18"/>
          <w:lang w:val="x-none"/>
        </w:rPr>
        <w:t>Tablica nr 2</w:t>
      </w:r>
    </w:p>
    <w:p w14:paraId="442EE48E" w14:textId="77777777" w:rsidR="000A3B2B" w:rsidRDefault="000A3B2B" w:rsidP="000E4A55">
      <w:pPr>
        <w:autoSpaceDE w:val="0"/>
        <w:autoSpaceDN w:val="0"/>
        <w:adjustRightInd w:val="0"/>
        <w:spacing w:after="30" w:line="240" w:lineRule="auto"/>
        <w:jc w:val="center"/>
        <w:rPr>
          <w:rFonts w:ascii="Arial" w:hAnsi="Arial" w:cs="Arial"/>
          <w:b/>
          <w:bCs/>
          <w:color w:val="000000"/>
          <w:sz w:val="18"/>
          <w:szCs w:val="18"/>
          <w:lang w:val="x-none"/>
        </w:rPr>
      </w:pPr>
      <w:r>
        <w:rPr>
          <w:rFonts w:ascii="Arial" w:hAnsi="Arial" w:cs="Arial"/>
          <w:b/>
          <w:bCs/>
          <w:color w:val="000000"/>
          <w:sz w:val="18"/>
          <w:szCs w:val="18"/>
          <w:lang w:val="x-none"/>
        </w:rPr>
        <w:t xml:space="preserve">Minimalna szerokość dna wykopu </w:t>
      </w:r>
      <w:r>
        <w:rPr>
          <w:rFonts w:ascii="Arial" w:hAnsi="Arial" w:cs="Arial"/>
          <w:b/>
          <w:bCs/>
          <w:color w:val="000000"/>
          <w:sz w:val="18"/>
          <w:szCs w:val="18"/>
          <w:lang w:val="x-none"/>
        </w:rPr>
        <w:br/>
        <w:t>w zależności od jego głębokości wg PN-EN 1610:2015</w:t>
      </w:r>
    </w:p>
    <w:tbl>
      <w:tblPr>
        <w:tblW w:w="0" w:type="auto"/>
        <w:jc w:val="center"/>
        <w:tblCellSpacing w:w="0" w:type="dxa"/>
        <w:tblLayout w:type="fixed"/>
        <w:tblCellMar>
          <w:left w:w="0" w:type="dxa"/>
          <w:right w:w="0" w:type="dxa"/>
        </w:tblCellMar>
        <w:tblLook w:val="0000" w:firstRow="0" w:lastRow="0" w:firstColumn="0" w:lastColumn="0" w:noHBand="0" w:noVBand="0"/>
      </w:tblPr>
      <w:tblGrid>
        <w:gridCol w:w="3532"/>
        <w:gridCol w:w="3556"/>
      </w:tblGrid>
      <w:tr w:rsidR="000A3B2B" w14:paraId="06099B68" w14:textId="77777777">
        <w:trPr>
          <w:trHeight w:val="60"/>
          <w:tblCellSpacing w:w="0" w:type="dxa"/>
          <w:jc w:val="center"/>
        </w:trPr>
        <w:tc>
          <w:tcPr>
            <w:tcW w:w="3532" w:type="dxa"/>
            <w:tcBorders>
              <w:top w:val="single" w:sz="6" w:space="0" w:color="000000"/>
              <w:left w:val="single" w:sz="6" w:space="0" w:color="000000"/>
              <w:bottom w:val="single" w:sz="6" w:space="0" w:color="000000"/>
              <w:right w:val="single" w:sz="6" w:space="0" w:color="000000"/>
            </w:tcBorders>
            <w:shd w:val="clear" w:color="auto" w:fill="CBCBCB"/>
          </w:tcPr>
          <w:p w14:paraId="5602E9CF" w14:textId="77777777" w:rsidR="000A3B2B" w:rsidRDefault="000A3B2B">
            <w:pPr>
              <w:autoSpaceDE w:val="0"/>
              <w:autoSpaceDN w:val="0"/>
              <w:adjustRightInd w:val="0"/>
              <w:spacing w:after="30" w:line="240" w:lineRule="auto"/>
              <w:jc w:val="center"/>
              <w:rPr>
                <w:rFonts w:ascii="Arial" w:hAnsi="Arial" w:cs="Arial"/>
                <w:b/>
                <w:bCs/>
                <w:color w:val="000000"/>
                <w:sz w:val="18"/>
                <w:szCs w:val="18"/>
                <w:lang w:val="x-none"/>
              </w:rPr>
            </w:pPr>
            <w:r>
              <w:rPr>
                <w:rFonts w:ascii="Arial" w:hAnsi="Arial" w:cs="Arial"/>
                <w:b/>
                <w:bCs/>
                <w:color w:val="000000"/>
                <w:sz w:val="18"/>
                <w:szCs w:val="18"/>
                <w:lang w:val="x-none"/>
              </w:rPr>
              <w:t xml:space="preserve">Głębokość wykopu </w:t>
            </w:r>
            <w:r>
              <w:rPr>
                <w:rFonts w:ascii="Arial" w:hAnsi="Arial" w:cs="Arial"/>
                <w:b/>
                <w:bCs/>
                <w:color w:val="000000"/>
                <w:sz w:val="18"/>
                <w:szCs w:val="18"/>
                <w:lang w:val="x-none"/>
              </w:rPr>
              <w:br/>
              <w:t>m</w:t>
            </w:r>
          </w:p>
        </w:tc>
        <w:tc>
          <w:tcPr>
            <w:tcW w:w="3556" w:type="dxa"/>
            <w:tcBorders>
              <w:top w:val="single" w:sz="6" w:space="0" w:color="000000"/>
              <w:left w:val="single" w:sz="6" w:space="0" w:color="000000"/>
              <w:bottom w:val="single" w:sz="6" w:space="0" w:color="000000"/>
              <w:right w:val="single" w:sz="6" w:space="0" w:color="000000"/>
            </w:tcBorders>
            <w:shd w:val="clear" w:color="auto" w:fill="CBCBCB"/>
          </w:tcPr>
          <w:p w14:paraId="48D09C51" w14:textId="77777777" w:rsidR="000A3B2B" w:rsidRDefault="000A3B2B">
            <w:pPr>
              <w:autoSpaceDE w:val="0"/>
              <w:autoSpaceDN w:val="0"/>
              <w:adjustRightInd w:val="0"/>
              <w:spacing w:after="30" w:line="240" w:lineRule="auto"/>
              <w:jc w:val="center"/>
              <w:rPr>
                <w:rFonts w:ascii="Arial" w:hAnsi="Arial" w:cs="Arial"/>
                <w:b/>
                <w:bCs/>
                <w:color w:val="000000"/>
                <w:sz w:val="18"/>
                <w:szCs w:val="18"/>
                <w:lang w:val="x-none"/>
              </w:rPr>
            </w:pPr>
            <w:r>
              <w:rPr>
                <w:rFonts w:ascii="Arial" w:hAnsi="Arial" w:cs="Arial"/>
                <w:b/>
                <w:bCs/>
                <w:color w:val="000000"/>
                <w:sz w:val="18"/>
                <w:szCs w:val="18"/>
                <w:lang w:val="x-none"/>
              </w:rPr>
              <w:t xml:space="preserve">Minimalna szerokość wykopu </w:t>
            </w:r>
            <w:r>
              <w:rPr>
                <w:rFonts w:ascii="Arial" w:hAnsi="Arial" w:cs="Arial"/>
                <w:b/>
                <w:bCs/>
                <w:color w:val="000000"/>
                <w:sz w:val="18"/>
                <w:szCs w:val="18"/>
                <w:lang w:val="x-none"/>
              </w:rPr>
              <w:br/>
              <w:t>m</w:t>
            </w:r>
          </w:p>
        </w:tc>
      </w:tr>
      <w:tr w:rsidR="000A3B2B" w14:paraId="5180B46A" w14:textId="77777777">
        <w:trPr>
          <w:trHeight w:val="60"/>
          <w:tblCellSpacing w:w="0" w:type="dxa"/>
          <w:jc w:val="center"/>
        </w:trPr>
        <w:tc>
          <w:tcPr>
            <w:tcW w:w="3532" w:type="dxa"/>
            <w:tcBorders>
              <w:top w:val="single" w:sz="6" w:space="0" w:color="000000"/>
              <w:left w:val="single" w:sz="6" w:space="0" w:color="000000"/>
              <w:bottom w:val="single" w:sz="6" w:space="0" w:color="000000"/>
              <w:right w:val="single" w:sz="6" w:space="0" w:color="000000"/>
            </w:tcBorders>
          </w:tcPr>
          <w:p w14:paraId="399B9F4D"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&lt; 1,00</w:t>
            </w:r>
          </w:p>
        </w:tc>
        <w:tc>
          <w:tcPr>
            <w:tcW w:w="3556" w:type="dxa"/>
            <w:tcBorders>
              <w:top w:val="single" w:sz="6" w:space="0" w:color="000000"/>
              <w:left w:val="single" w:sz="6" w:space="0" w:color="000000"/>
              <w:bottom w:val="single" w:sz="6" w:space="0" w:color="000000"/>
              <w:right w:val="single" w:sz="6" w:space="0" w:color="000000"/>
            </w:tcBorders>
          </w:tcPr>
          <w:p w14:paraId="223B217E"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nie jest wymagana minimalna szerokość</w:t>
            </w:r>
          </w:p>
        </w:tc>
      </w:tr>
      <w:tr w:rsidR="000A3B2B" w14:paraId="4AA0F350" w14:textId="77777777">
        <w:trPr>
          <w:trHeight w:val="60"/>
          <w:tblCellSpacing w:w="0" w:type="dxa"/>
          <w:jc w:val="center"/>
        </w:trPr>
        <w:tc>
          <w:tcPr>
            <w:tcW w:w="3532" w:type="dxa"/>
            <w:tcBorders>
              <w:top w:val="single" w:sz="6" w:space="0" w:color="000000"/>
              <w:left w:val="single" w:sz="6" w:space="0" w:color="000000"/>
              <w:bottom w:val="single" w:sz="6" w:space="0" w:color="000000"/>
              <w:right w:val="single" w:sz="6" w:space="0" w:color="000000"/>
            </w:tcBorders>
          </w:tcPr>
          <w:p w14:paraId="519637F3"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 1,00 i ≤ 1,75</w:t>
            </w:r>
          </w:p>
        </w:tc>
        <w:tc>
          <w:tcPr>
            <w:tcW w:w="3556" w:type="dxa"/>
            <w:tcBorders>
              <w:top w:val="single" w:sz="6" w:space="0" w:color="000000"/>
              <w:left w:val="single" w:sz="6" w:space="0" w:color="000000"/>
              <w:bottom w:val="single" w:sz="6" w:space="0" w:color="000000"/>
              <w:right w:val="single" w:sz="6" w:space="0" w:color="000000"/>
            </w:tcBorders>
          </w:tcPr>
          <w:p w14:paraId="0AED3F45"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0,80</w:t>
            </w:r>
          </w:p>
        </w:tc>
      </w:tr>
      <w:tr w:rsidR="000A3B2B" w14:paraId="506B96ED" w14:textId="77777777">
        <w:trPr>
          <w:trHeight w:val="60"/>
          <w:tblCellSpacing w:w="0" w:type="dxa"/>
          <w:jc w:val="center"/>
        </w:trPr>
        <w:tc>
          <w:tcPr>
            <w:tcW w:w="3532" w:type="dxa"/>
            <w:tcBorders>
              <w:top w:val="single" w:sz="6" w:space="0" w:color="000000"/>
              <w:left w:val="single" w:sz="6" w:space="0" w:color="000000"/>
              <w:bottom w:val="single" w:sz="6" w:space="0" w:color="000000"/>
              <w:right w:val="single" w:sz="6" w:space="0" w:color="000000"/>
            </w:tcBorders>
          </w:tcPr>
          <w:p w14:paraId="1BA31536"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&gt; 1,75 i ≤ 4,00</w:t>
            </w:r>
          </w:p>
        </w:tc>
        <w:tc>
          <w:tcPr>
            <w:tcW w:w="3556" w:type="dxa"/>
            <w:tcBorders>
              <w:top w:val="single" w:sz="6" w:space="0" w:color="000000"/>
              <w:left w:val="single" w:sz="6" w:space="0" w:color="000000"/>
              <w:bottom w:val="single" w:sz="6" w:space="0" w:color="000000"/>
              <w:right w:val="single" w:sz="6" w:space="0" w:color="000000"/>
            </w:tcBorders>
          </w:tcPr>
          <w:p w14:paraId="5A718797"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0,90</w:t>
            </w:r>
          </w:p>
        </w:tc>
      </w:tr>
      <w:tr w:rsidR="000A3B2B" w14:paraId="68FFF6B6" w14:textId="77777777">
        <w:trPr>
          <w:trHeight w:val="60"/>
          <w:tblCellSpacing w:w="0" w:type="dxa"/>
          <w:jc w:val="center"/>
        </w:trPr>
        <w:tc>
          <w:tcPr>
            <w:tcW w:w="3532" w:type="dxa"/>
            <w:tcBorders>
              <w:top w:val="single" w:sz="6" w:space="0" w:color="000000"/>
              <w:left w:val="single" w:sz="6" w:space="0" w:color="000000"/>
              <w:bottom w:val="single" w:sz="6" w:space="0" w:color="000000"/>
              <w:right w:val="single" w:sz="6" w:space="0" w:color="000000"/>
            </w:tcBorders>
          </w:tcPr>
          <w:p w14:paraId="4A89F197"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&gt; 4,00</w:t>
            </w:r>
          </w:p>
        </w:tc>
        <w:tc>
          <w:tcPr>
            <w:tcW w:w="3556" w:type="dxa"/>
            <w:tcBorders>
              <w:top w:val="single" w:sz="6" w:space="0" w:color="000000"/>
              <w:left w:val="single" w:sz="6" w:space="0" w:color="000000"/>
              <w:bottom w:val="single" w:sz="6" w:space="0" w:color="000000"/>
              <w:right w:val="single" w:sz="6" w:space="0" w:color="000000"/>
            </w:tcBorders>
          </w:tcPr>
          <w:p w14:paraId="2906127C"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1,00</w:t>
            </w:r>
          </w:p>
        </w:tc>
      </w:tr>
    </w:tbl>
    <w:p w14:paraId="3EA891E3"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p>
    <w:p w14:paraId="63F18F46"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Wymiary wykopów dla preizolowanych rur i elementów powinny być określone przez producenta. Wymagane, minimalne wymiary wykopu przedstawia rysunek, a zalecane wymiary wykopu dla zakresu średnic rurociągów zawiera tablica.</w:t>
      </w:r>
    </w:p>
    <w:p w14:paraId="45125A27" w14:textId="77777777" w:rsidR="000A3B2B" w:rsidRDefault="000A3B2B" w:rsidP="000E4A55">
      <w:pPr>
        <w:tabs>
          <w:tab w:val="right" w:pos="11685"/>
        </w:tabs>
        <w:autoSpaceDE w:val="0"/>
        <w:autoSpaceDN w:val="0"/>
        <w:adjustRightInd w:val="0"/>
        <w:spacing w:after="0" w:line="240" w:lineRule="auto"/>
        <w:rPr>
          <w:rFonts w:ascii="Arial" w:hAnsi="Arial" w:cs="Arial"/>
          <w:color w:val="000000"/>
          <w:sz w:val="18"/>
          <w:szCs w:val="18"/>
          <w:lang w:val="x-none"/>
        </w:rPr>
      </w:pPr>
    </w:p>
    <w:p w14:paraId="6C196F52" w14:textId="77777777" w:rsidR="000A3B2B" w:rsidRDefault="000A3B2B" w:rsidP="000E4A55">
      <w:pPr>
        <w:tabs>
          <w:tab w:val="right" w:pos="11685"/>
        </w:tabs>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noProof/>
          <w:color w:val="000000"/>
          <w:sz w:val="18"/>
          <w:szCs w:val="18"/>
          <w:lang w:val="x-none"/>
        </w:rPr>
        <w:drawing>
          <wp:inline distT="0" distB="0" distL="0" distR="0" wp14:anchorId="4132A40E" wp14:editId="4ECC8068">
            <wp:extent cx="1447800" cy="1000125"/>
            <wp:effectExtent l="0" t="0" r="0" b="952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47800" cy="1000125"/>
                    </a:xfrm>
                    <a:prstGeom prst="rect">
                      <a:avLst/>
                    </a:prstGeom>
                    <a:noFill/>
                    <a:ln>
                      <a:noFill/>
                    </a:ln>
                  </pic:spPr>
                </pic:pic>
              </a:graphicData>
            </a:graphic>
          </wp:inline>
        </w:drawing>
      </w:r>
    </w:p>
    <w:p w14:paraId="26D07EDF" w14:textId="77777777" w:rsidR="000A3B2B" w:rsidRDefault="000A3B2B" w:rsidP="000E4A55">
      <w:pPr>
        <w:autoSpaceDE w:val="0"/>
        <w:autoSpaceDN w:val="0"/>
        <w:adjustRightInd w:val="0"/>
        <w:spacing w:after="30" w:line="240" w:lineRule="auto"/>
        <w:jc w:val="center"/>
        <w:rPr>
          <w:rFonts w:ascii="Arial" w:hAnsi="Arial" w:cs="Arial"/>
          <w:color w:val="000000"/>
          <w:sz w:val="18"/>
          <w:szCs w:val="18"/>
          <w:lang w:val="x-none"/>
        </w:rPr>
      </w:pPr>
    </w:p>
    <w:p w14:paraId="27A00203" w14:textId="77777777" w:rsidR="000A3B2B" w:rsidRDefault="000A3B2B" w:rsidP="000E4A55">
      <w:pPr>
        <w:autoSpaceDE w:val="0"/>
        <w:autoSpaceDN w:val="0"/>
        <w:adjustRightInd w:val="0"/>
        <w:spacing w:after="30" w:line="240" w:lineRule="auto"/>
        <w:jc w:val="center"/>
        <w:rPr>
          <w:rFonts w:ascii="Arial" w:hAnsi="Arial" w:cs="Arial"/>
          <w:b/>
          <w:bCs/>
          <w:color w:val="000000"/>
          <w:sz w:val="18"/>
          <w:szCs w:val="18"/>
          <w:lang w:val="x-none"/>
        </w:rPr>
      </w:pPr>
      <w:r>
        <w:rPr>
          <w:rFonts w:ascii="Arial" w:hAnsi="Arial" w:cs="Arial"/>
          <w:color w:val="000000"/>
          <w:sz w:val="18"/>
          <w:szCs w:val="18"/>
          <w:lang w:val="x-none"/>
        </w:rPr>
        <w:lastRenderedPageBreak/>
        <w:t xml:space="preserve">Rysunek. </w:t>
      </w:r>
      <w:r>
        <w:rPr>
          <w:rFonts w:ascii="Arial" w:hAnsi="Arial" w:cs="Arial"/>
          <w:b/>
          <w:bCs/>
          <w:color w:val="000000"/>
          <w:sz w:val="18"/>
          <w:szCs w:val="18"/>
          <w:lang w:val="x-none"/>
        </w:rPr>
        <w:t>Przekrój i podstawowe wymagane wymiary wykopu dla rur preizolowanych</w:t>
      </w:r>
    </w:p>
    <w:p w14:paraId="4079EE21"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p>
    <w:p w14:paraId="20B134F1" w14:textId="77777777" w:rsidR="000A3B2B" w:rsidRDefault="000A3B2B" w:rsidP="000E4A55">
      <w:pPr>
        <w:autoSpaceDE w:val="0"/>
        <w:autoSpaceDN w:val="0"/>
        <w:adjustRightInd w:val="0"/>
        <w:spacing w:after="30" w:line="240" w:lineRule="auto"/>
        <w:jc w:val="right"/>
        <w:rPr>
          <w:rFonts w:ascii="Arial" w:hAnsi="Arial" w:cs="Arial"/>
          <w:b/>
          <w:bCs/>
          <w:color w:val="000000"/>
          <w:sz w:val="18"/>
          <w:szCs w:val="18"/>
          <w:lang w:val="x-none"/>
        </w:rPr>
      </w:pPr>
    </w:p>
    <w:p w14:paraId="4948C9EE" w14:textId="77777777" w:rsidR="000A3B2B" w:rsidRDefault="000A3B2B" w:rsidP="000E4A55">
      <w:pPr>
        <w:autoSpaceDE w:val="0"/>
        <w:autoSpaceDN w:val="0"/>
        <w:adjustRightInd w:val="0"/>
        <w:spacing w:after="30" w:line="240" w:lineRule="auto"/>
        <w:jc w:val="right"/>
        <w:rPr>
          <w:rFonts w:ascii="Arial" w:hAnsi="Arial" w:cs="Arial"/>
          <w:b/>
          <w:bCs/>
          <w:color w:val="000000"/>
          <w:sz w:val="18"/>
          <w:szCs w:val="18"/>
          <w:lang w:val="x-none"/>
        </w:rPr>
      </w:pPr>
      <w:r>
        <w:rPr>
          <w:rFonts w:ascii="Arial" w:hAnsi="Arial" w:cs="Arial"/>
          <w:b/>
          <w:bCs/>
          <w:color w:val="000000"/>
          <w:sz w:val="18"/>
          <w:szCs w:val="18"/>
          <w:lang w:val="x-none"/>
        </w:rPr>
        <w:t>Tablica nr 3</w:t>
      </w:r>
    </w:p>
    <w:p w14:paraId="08779B23" w14:textId="77777777" w:rsidR="000A3B2B" w:rsidRDefault="000A3B2B" w:rsidP="000E4A55">
      <w:pPr>
        <w:autoSpaceDE w:val="0"/>
        <w:autoSpaceDN w:val="0"/>
        <w:adjustRightInd w:val="0"/>
        <w:spacing w:after="30" w:line="240" w:lineRule="auto"/>
        <w:jc w:val="center"/>
        <w:rPr>
          <w:rFonts w:ascii="Arial" w:hAnsi="Arial" w:cs="Arial"/>
          <w:b/>
          <w:bCs/>
          <w:color w:val="000000"/>
          <w:sz w:val="18"/>
          <w:szCs w:val="18"/>
          <w:lang w:val="x-none"/>
        </w:rPr>
      </w:pPr>
      <w:r>
        <w:rPr>
          <w:rFonts w:ascii="Arial" w:hAnsi="Arial" w:cs="Arial"/>
          <w:b/>
          <w:bCs/>
          <w:color w:val="000000"/>
          <w:sz w:val="18"/>
          <w:szCs w:val="18"/>
          <w:lang w:val="x-none"/>
        </w:rPr>
        <w:t>Zalecane wymiary wykopu dla rur preizolowanych</w:t>
      </w:r>
    </w:p>
    <w:tbl>
      <w:tblPr>
        <w:tblW w:w="0" w:type="auto"/>
        <w:jc w:val="center"/>
        <w:tblCellSpacing w:w="0" w:type="dxa"/>
        <w:tblLayout w:type="fixed"/>
        <w:tblCellMar>
          <w:left w:w="0" w:type="dxa"/>
          <w:right w:w="0" w:type="dxa"/>
        </w:tblCellMar>
        <w:tblLook w:val="0000" w:firstRow="0" w:lastRow="0" w:firstColumn="0" w:lastColumn="0" w:noHBand="0" w:noVBand="0"/>
      </w:tblPr>
      <w:tblGrid>
        <w:gridCol w:w="1718"/>
        <w:gridCol w:w="914"/>
        <w:gridCol w:w="916"/>
        <w:gridCol w:w="1740"/>
        <w:gridCol w:w="930"/>
        <w:gridCol w:w="914"/>
      </w:tblGrid>
      <w:tr w:rsidR="000A3B2B" w14:paraId="39D0CECA" w14:textId="77777777">
        <w:trPr>
          <w:trHeight w:val="60"/>
          <w:tblCellSpacing w:w="0" w:type="dxa"/>
          <w:jc w:val="center"/>
        </w:trPr>
        <w:tc>
          <w:tcPr>
            <w:tcW w:w="1718" w:type="dxa"/>
            <w:tcBorders>
              <w:top w:val="single" w:sz="6" w:space="0" w:color="000000"/>
              <w:left w:val="single" w:sz="6" w:space="0" w:color="000000"/>
              <w:bottom w:val="single" w:sz="6" w:space="0" w:color="000000"/>
              <w:right w:val="single" w:sz="6" w:space="0" w:color="000000"/>
            </w:tcBorders>
            <w:shd w:val="clear" w:color="auto" w:fill="CBCBCB"/>
            <w:vAlign w:val="center"/>
          </w:tcPr>
          <w:p w14:paraId="6F8741DD" w14:textId="77777777" w:rsidR="000A3B2B" w:rsidRDefault="000A3B2B">
            <w:pPr>
              <w:autoSpaceDE w:val="0"/>
              <w:autoSpaceDN w:val="0"/>
              <w:adjustRightInd w:val="0"/>
              <w:spacing w:after="30" w:line="240" w:lineRule="auto"/>
              <w:jc w:val="center"/>
              <w:rPr>
                <w:rFonts w:ascii="Arial" w:hAnsi="Arial" w:cs="Arial"/>
                <w:b/>
                <w:bCs/>
                <w:color w:val="000000"/>
                <w:sz w:val="18"/>
                <w:szCs w:val="18"/>
                <w:lang w:val="x-none"/>
              </w:rPr>
            </w:pPr>
            <w:r>
              <w:rPr>
                <w:rFonts w:ascii="Arial" w:hAnsi="Arial" w:cs="Arial"/>
                <w:b/>
                <w:bCs/>
                <w:color w:val="000000"/>
                <w:sz w:val="18"/>
                <w:szCs w:val="18"/>
                <w:lang w:val="x-none"/>
              </w:rPr>
              <w:t>Średnica rury osłonowej D</w:t>
            </w:r>
          </w:p>
        </w:tc>
        <w:tc>
          <w:tcPr>
            <w:tcW w:w="914" w:type="dxa"/>
            <w:tcBorders>
              <w:top w:val="single" w:sz="6" w:space="0" w:color="000000"/>
              <w:left w:val="single" w:sz="6" w:space="0" w:color="000000"/>
              <w:bottom w:val="single" w:sz="6" w:space="0" w:color="000000"/>
              <w:right w:val="single" w:sz="6" w:space="0" w:color="000000"/>
            </w:tcBorders>
            <w:shd w:val="clear" w:color="auto" w:fill="CBCBCB"/>
            <w:vAlign w:val="center"/>
          </w:tcPr>
          <w:p w14:paraId="32F6A54F" w14:textId="77777777" w:rsidR="000A3B2B" w:rsidRDefault="000A3B2B">
            <w:pPr>
              <w:autoSpaceDE w:val="0"/>
              <w:autoSpaceDN w:val="0"/>
              <w:adjustRightInd w:val="0"/>
              <w:spacing w:after="30" w:line="240" w:lineRule="auto"/>
              <w:jc w:val="center"/>
              <w:rPr>
                <w:rFonts w:ascii="Arial" w:hAnsi="Arial" w:cs="Arial"/>
                <w:b/>
                <w:bCs/>
                <w:color w:val="000000"/>
                <w:position w:val="-2"/>
                <w:sz w:val="8"/>
                <w:szCs w:val="8"/>
                <w:lang w:val="x-none"/>
              </w:rPr>
            </w:pPr>
            <w:r>
              <w:rPr>
                <w:rFonts w:ascii="Arial" w:hAnsi="Arial" w:cs="Arial"/>
                <w:b/>
                <w:bCs/>
                <w:color w:val="000000"/>
                <w:sz w:val="18"/>
                <w:szCs w:val="18"/>
                <w:lang w:val="x-none"/>
              </w:rPr>
              <w:t>W</w:t>
            </w:r>
            <w:r>
              <w:rPr>
                <w:rFonts w:ascii="Arial" w:hAnsi="Arial" w:cs="Arial"/>
                <w:b/>
                <w:bCs/>
                <w:color w:val="000000"/>
                <w:position w:val="-2"/>
                <w:sz w:val="8"/>
                <w:szCs w:val="8"/>
                <w:lang w:val="x-none"/>
              </w:rPr>
              <w:t>min</w:t>
            </w:r>
          </w:p>
        </w:tc>
        <w:tc>
          <w:tcPr>
            <w:tcW w:w="916" w:type="dxa"/>
            <w:tcBorders>
              <w:top w:val="single" w:sz="6" w:space="0" w:color="000000"/>
              <w:left w:val="single" w:sz="6" w:space="0" w:color="000000"/>
              <w:bottom w:val="single" w:sz="6" w:space="0" w:color="000000"/>
              <w:right w:val="single" w:sz="6" w:space="0" w:color="000000"/>
            </w:tcBorders>
            <w:shd w:val="clear" w:color="auto" w:fill="CBCBCB"/>
            <w:vAlign w:val="center"/>
          </w:tcPr>
          <w:p w14:paraId="3B30A270" w14:textId="77777777" w:rsidR="000A3B2B" w:rsidRDefault="000A3B2B">
            <w:pPr>
              <w:autoSpaceDE w:val="0"/>
              <w:autoSpaceDN w:val="0"/>
              <w:adjustRightInd w:val="0"/>
              <w:spacing w:after="30" w:line="240" w:lineRule="auto"/>
              <w:jc w:val="center"/>
              <w:rPr>
                <w:rFonts w:ascii="Arial" w:hAnsi="Arial" w:cs="Arial"/>
                <w:b/>
                <w:bCs/>
                <w:color w:val="000000"/>
                <w:sz w:val="18"/>
                <w:szCs w:val="18"/>
                <w:lang w:val="x-none"/>
              </w:rPr>
            </w:pPr>
            <w:r>
              <w:rPr>
                <w:rFonts w:ascii="Arial" w:hAnsi="Arial" w:cs="Arial"/>
                <w:b/>
                <w:bCs/>
                <w:color w:val="000000"/>
                <w:sz w:val="18"/>
                <w:szCs w:val="18"/>
                <w:lang w:val="x-none"/>
              </w:rPr>
              <w:t>H</w:t>
            </w:r>
          </w:p>
        </w:tc>
        <w:tc>
          <w:tcPr>
            <w:tcW w:w="1740" w:type="dxa"/>
            <w:tcBorders>
              <w:top w:val="single" w:sz="6" w:space="0" w:color="000000"/>
              <w:left w:val="single" w:sz="6" w:space="0" w:color="000000"/>
              <w:bottom w:val="single" w:sz="6" w:space="0" w:color="000000"/>
              <w:right w:val="single" w:sz="6" w:space="0" w:color="000000"/>
            </w:tcBorders>
            <w:shd w:val="clear" w:color="auto" w:fill="CBCBCB"/>
            <w:vAlign w:val="center"/>
          </w:tcPr>
          <w:p w14:paraId="53D47B40" w14:textId="77777777" w:rsidR="000A3B2B" w:rsidRDefault="000A3B2B">
            <w:pPr>
              <w:autoSpaceDE w:val="0"/>
              <w:autoSpaceDN w:val="0"/>
              <w:adjustRightInd w:val="0"/>
              <w:spacing w:after="30" w:line="240" w:lineRule="auto"/>
              <w:jc w:val="center"/>
              <w:rPr>
                <w:rFonts w:ascii="Arial" w:hAnsi="Arial" w:cs="Arial"/>
                <w:b/>
                <w:bCs/>
                <w:color w:val="000000"/>
                <w:sz w:val="18"/>
                <w:szCs w:val="18"/>
                <w:lang w:val="x-none"/>
              </w:rPr>
            </w:pPr>
            <w:r>
              <w:rPr>
                <w:rFonts w:ascii="Arial" w:hAnsi="Arial" w:cs="Arial"/>
                <w:b/>
                <w:bCs/>
                <w:color w:val="000000"/>
                <w:sz w:val="18"/>
                <w:szCs w:val="18"/>
                <w:lang w:val="x-none"/>
              </w:rPr>
              <w:t>Średnica rury osłonowej D</w:t>
            </w:r>
          </w:p>
        </w:tc>
        <w:tc>
          <w:tcPr>
            <w:tcW w:w="930" w:type="dxa"/>
            <w:tcBorders>
              <w:top w:val="single" w:sz="6" w:space="0" w:color="000000"/>
              <w:left w:val="single" w:sz="6" w:space="0" w:color="000000"/>
              <w:bottom w:val="single" w:sz="6" w:space="0" w:color="000000"/>
              <w:right w:val="single" w:sz="6" w:space="0" w:color="000000"/>
            </w:tcBorders>
            <w:shd w:val="clear" w:color="auto" w:fill="CBCBCB"/>
            <w:vAlign w:val="center"/>
          </w:tcPr>
          <w:p w14:paraId="19893AEB" w14:textId="77777777" w:rsidR="000A3B2B" w:rsidRDefault="000A3B2B">
            <w:pPr>
              <w:autoSpaceDE w:val="0"/>
              <w:autoSpaceDN w:val="0"/>
              <w:adjustRightInd w:val="0"/>
              <w:spacing w:after="30" w:line="240" w:lineRule="auto"/>
              <w:jc w:val="center"/>
              <w:rPr>
                <w:rFonts w:ascii="Arial" w:hAnsi="Arial" w:cs="Arial"/>
                <w:b/>
                <w:bCs/>
                <w:color w:val="000000"/>
                <w:position w:val="-2"/>
                <w:sz w:val="8"/>
                <w:szCs w:val="8"/>
                <w:lang w:val="x-none"/>
              </w:rPr>
            </w:pPr>
            <w:r>
              <w:rPr>
                <w:rFonts w:ascii="Arial" w:hAnsi="Arial" w:cs="Arial"/>
                <w:b/>
                <w:bCs/>
                <w:color w:val="000000"/>
                <w:sz w:val="18"/>
                <w:szCs w:val="18"/>
                <w:lang w:val="x-none"/>
              </w:rPr>
              <w:t>W</w:t>
            </w:r>
            <w:r>
              <w:rPr>
                <w:rFonts w:ascii="Arial" w:hAnsi="Arial" w:cs="Arial"/>
                <w:b/>
                <w:bCs/>
                <w:color w:val="000000"/>
                <w:position w:val="-2"/>
                <w:sz w:val="8"/>
                <w:szCs w:val="8"/>
                <w:lang w:val="x-none"/>
              </w:rPr>
              <w:t>min</w:t>
            </w:r>
          </w:p>
        </w:tc>
        <w:tc>
          <w:tcPr>
            <w:tcW w:w="914" w:type="dxa"/>
            <w:tcBorders>
              <w:top w:val="single" w:sz="6" w:space="0" w:color="000000"/>
              <w:left w:val="single" w:sz="6" w:space="0" w:color="000000"/>
              <w:bottom w:val="single" w:sz="6" w:space="0" w:color="000000"/>
              <w:right w:val="single" w:sz="6" w:space="0" w:color="000000"/>
            </w:tcBorders>
            <w:shd w:val="clear" w:color="auto" w:fill="CBCBCB"/>
            <w:vAlign w:val="center"/>
          </w:tcPr>
          <w:p w14:paraId="40A5F5BB" w14:textId="77777777" w:rsidR="000A3B2B" w:rsidRDefault="000A3B2B">
            <w:pPr>
              <w:autoSpaceDE w:val="0"/>
              <w:autoSpaceDN w:val="0"/>
              <w:adjustRightInd w:val="0"/>
              <w:spacing w:after="30" w:line="240" w:lineRule="auto"/>
              <w:jc w:val="center"/>
              <w:rPr>
                <w:rFonts w:ascii="Arial" w:hAnsi="Arial" w:cs="Arial"/>
                <w:b/>
                <w:bCs/>
                <w:color w:val="000000"/>
                <w:sz w:val="18"/>
                <w:szCs w:val="18"/>
                <w:lang w:val="x-none"/>
              </w:rPr>
            </w:pPr>
            <w:r>
              <w:rPr>
                <w:rFonts w:ascii="Arial" w:hAnsi="Arial" w:cs="Arial"/>
                <w:b/>
                <w:bCs/>
                <w:color w:val="000000"/>
                <w:sz w:val="18"/>
                <w:szCs w:val="18"/>
                <w:lang w:val="x-none"/>
              </w:rPr>
              <w:t>H</w:t>
            </w:r>
          </w:p>
        </w:tc>
      </w:tr>
      <w:tr w:rsidR="000A3B2B" w14:paraId="47BD9A2E" w14:textId="77777777">
        <w:trPr>
          <w:trHeight w:val="60"/>
          <w:tblCellSpacing w:w="0" w:type="dxa"/>
          <w:jc w:val="center"/>
        </w:trPr>
        <w:tc>
          <w:tcPr>
            <w:tcW w:w="1718" w:type="dxa"/>
            <w:tcBorders>
              <w:top w:val="single" w:sz="6" w:space="0" w:color="000000"/>
              <w:left w:val="single" w:sz="6" w:space="0" w:color="000000"/>
              <w:bottom w:val="single" w:sz="6" w:space="0" w:color="000000"/>
              <w:right w:val="single" w:sz="6" w:space="0" w:color="000000"/>
            </w:tcBorders>
            <w:shd w:val="clear" w:color="auto" w:fill="CBCBCB"/>
            <w:vAlign w:val="center"/>
          </w:tcPr>
          <w:p w14:paraId="1A99FCA4" w14:textId="77777777" w:rsidR="000A3B2B" w:rsidRDefault="000A3B2B">
            <w:pPr>
              <w:autoSpaceDE w:val="0"/>
              <w:autoSpaceDN w:val="0"/>
              <w:adjustRightInd w:val="0"/>
              <w:spacing w:after="30" w:line="240" w:lineRule="auto"/>
              <w:jc w:val="center"/>
              <w:rPr>
                <w:rFonts w:ascii="Arial" w:hAnsi="Arial" w:cs="Arial"/>
                <w:b/>
                <w:bCs/>
                <w:color w:val="000000"/>
                <w:sz w:val="18"/>
                <w:szCs w:val="18"/>
                <w:lang w:val="x-none"/>
              </w:rPr>
            </w:pPr>
            <w:r>
              <w:rPr>
                <w:rFonts w:ascii="Arial" w:hAnsi="Arial" w:cs="Arial"/>
                <w:b/>
                <w:bCs/>
                <w:color w:val="000000"/>
                <w:sz w:val="18"/>
                <w:szCs w:val="18"/>
                <w:lang w:val="x-none"/>
              </w:rPr>
              <w:t>mm</w:t>
            </w:r>
          </w:p>
        </w:tc>
        <w:tc>
          <w:tcPr>
            <w:tcW w:w="914" w:type="dxa"/>
            <w:tcBorders>
              <w:top w:val="single" w:sz="6" w:space="0" w:color="000000"/>
              <w:left w:val="single" w:sz="6" w:space="0" w:color="000000"/>
              <w:bottom w:val="single" w:sz="6" w:space="0" w:color="000000"/>
              <w:right w:val="single" w:sz="6" w:space="0" w:color="000000"/>
            </w:tcBorders>
            <w:shd w:val="clear" w:color="auto" w:fill="CBCBCB"/>
            <w:vAlign w:val="center"/>
          </w:tcPr>
          <w:p w14:paraId="207DF094" w14:textId="77777777" w:rsidR="000A3B2B" w:rsidRDefault="000A3B2B">
            <w:pPr>
              <w:autoSpaceDE w:val="0"/>
              <w:autoSpaceDN w:val="0"/>
              <w:adjustRightInd w:val="0"/>
              <w:spacing w:after="30" w:line="240" w:lineRule="auto"/>
              <w:jc w:val="center"/>
              <w:rPr>
                <w:rFonts w:ascii="Arial" w:hAnsi="Arial" w:cs="Arial"/>
                <w:b/>
                <w:bCs/>
                <w:color w:val="000000"/>
                <w:sz w:val="18"/>
                <w:szCs w:val="18"/>
                <w:lang w:val="x-none"/>
              </w:rPr>
            </w:pPr>
            <w:r>
              <w:rPr>
                <w:rFonts w:ascii="Arial" w:hAnsi="Arial" w:cs="Arial"/>
                <w:b/>
                <w:bCs/>
                <w:color w:val="000000"/>
                <w:sz w:val="18"/>
                <w:szCs w:val="18"/>
                <w:lang w:val="x-none"/>
              </w:rPr>
              <w:t>m</w:t>
            </w:r>
          </w:p>
        </w:tc>
        <w:tc>
          <w:tcPr>
            <w:tcW w:w="916" w:type="dxa"/>
            <w:tcBorders>
              <w:top w:val="single" w:sz="6" w:space="0" w:color="000000"/>
              <w:left w:val="single" w:sz="6" w:space="0" w:color="000000"/>
              <w:bottom w:val="single" w:sz="6" w:space="0" w:color="000000"/>
              <w:right w:val="single" w:sz="6" w:space="0" w:color="000000"/>
            </w:tcBorders>
            <w:shd w:val="clear" w:color="auto" w:fill="CBCBCB"/>
            <w:vAlign w:val="center"/>
          </w:tcPr>
          <w:p w14:paraId="1A831ECE" w14:textId="77777777" w:rsidR="000A3B2B" w:rsidRDefault="000A3B2B">
            <w:pPr>
              <w:autoSpaceDE w:val="0"/>
              <w:autoSpaceDN w:val="0"/>
              <w:adjustRightInd w:val="0"/>
              <w:spacing w:after="30" w:line="240" w:lineRule="auto"/>
              <w:jc w:val="center"/>
              <w:rPr>
                <w:rFonts w:ascii="Arial" w:hAnsi="Arial" w:cs="Arial"/>
                <w:b/>
                <w:bCs/>
                <w:color w:val="000000"/>
                <w:sz w:val="18"/>
                <w:szCs w:val="18"/>
                <w:lang w:val="x-none"/>
              </w:rPr>
            </w:pPr>
            <w:r>
              <w:rPr>
                <w:rFonts w:ascii="Arial" w:hAnsi="Arial" w:cs="Arial"/>
                <w:b/>
                <w:bCs/>
                <w:color w:val="000000"/>
                <w:sz w:val="18"/>
                <w:szCs w:val="18"/>
                <w:lang w:val="x-none"/>
              </w:rPr>
              <w:t>m</w:t>
            </w:r>
          </w:p>
        </w:tc>
        <w:tc>
          <w:tcPr>
            <w:tcW w:w="1740" w:type="dxa"/>
            <w:tcBorders>
              <w:top w:val="single" w:sz="6" w:space="0" w:color="000000"/>
              <w:left w:val="single" w:sz="6" w:space="0" w:color="000000"/>
              <w:bottom w:val="single" w:sz="6" w:space="0" w:color="000000"/>
              <w:right w:val="single" w:sz="6" w:space="0" w:color="000000"/>
            </w:tcBorders>
            <w:shd w:val="clear" w:color="auto" w:fill="CBCBCB"/>
            <w:vAlign w:val="center"/>
          </w:tcPr>
          <w:p w14:paraId="334191CA" w14:textId="77777777" w:rsidR="000A3B2B" w:rsidRDefault="000A3B2B">
            <w:pPr>
              <w:autoSpaceDE w:val="0"/>
              <w:autoSpaceDN w:val="0"/>
              <w:adjustRightInd w:val="0"/>
              <w:spacing w:after="30" w:line="240" w:lineRule="auto"/>
              <w:jc w:val="center"/>
              <w:rPr>
                <w:rFonts w:ascii="Arial" w:hAnsi="Arial" w:cs="Arial"/>
                <w:b/>
                <w:bCs/>
                <w:color w:val="000000"/>
                <w:sz w:val="18"/>
                <w:szCs w:val="18"/>
                <w:lang w:val="x-none"/>
              </w:rPr>
            </w:pPr>
            <w:r>
              <w:rPr>
                <w:rFonts w:ascii="Arial" w:hAnsi="Arial" w:cs="Arial"/>
                <w:b/>
                <w:bCs/>
                <w:color w:val="000000"/>
                <w:sz w:val="18"/>
                <w:szCs w:val="18"/>
                <w:lang w:val="x-none"/>
              </w:rPr>
              <w:t>mm</w:t>
            </w:r>
          </w:p>
        </w:tc>
        <w:tc>
          <w:tcPr>
            <w:tcW w:w="930" w:type="dxa"/>
            <w:tcBorders>
              <w:top w:val="single" w:sz="6" w:space="0" w:color="000000"/>
              <w:left w:val="single" w:sz="6" w:space="0" w:color="000000"/>
              <w:bottom w:val="single" w:sz="6" w:space="0" w:color="000000"/>
              <w:right w:val="single" w:sz="6" w:space="0" w:color="000000"/>
            </w:tcBorders>
            <w:shd w:val="clear" w:color="auto" w:fill="CBCBCB"/>
            <w:vAlign w:val="center"/>
          </w:tcPr>
          <w:p w14:paraId="7582BAC3" w14:textId="77777777" w:rsidR="000A3B2B" w:rsidRDefault="000A3B2B">
            <w:pPr>
              <w:autoSpaceDE w:val="0"/>
              <w:autoSpaceDN w:val="0"/>
              <w:adjustRightInd w:val="0"/>
              <w:spacing w:after="30" w:line="240" w:lineRule="auto"/>
              <w:jc w:val="center"/>
              <w:rPr>
                <w:rFonts w:ascii="Arial" w:hAnsi="Arial" w:cs="Arial"/>
                <w:b/>
                <w:bCs/>
                <w:color w:val="000000"/>
                <w:sz w:val="18"/>
                <w:szCs w:val="18"/>
                <w:lang w:val="x-none"/>
              </w:rPr>
            </w:pPr>
            <w:r>
              <w:rPr>
                <w:rFonts w:ascii="Arial" w:hAnsi="Arial" w:cs="Arial"/>
                <w:b/>
                <w:bCs/>
                <w:color w:val="000000"/>
                <w:sz w:val="18"/>
                <w:szCs w:val="18"/>
                <w:lang w:val="x-none"/>
              </w:rPr>
              <w:t>m</w:t>
            </w:r>
          </w:p>
        </w:tc>
        <w:tc>
          <w:tcPr>
            <w:tcW w:w="914" w:type="dxa"/>
            <w:tcBorders>
              <w:top w:val="single" w:sz="6" w:space="0" w:color="000000"/>
              <w:left w:val="single" w:sz="6" w:space="0" w:color="000000"/>
              <w:bottom w:val="single" w:sz="6" w:space="0" w:color="000000"/>
              <w:right w:val="single" w:sz="6" w:space="0" w:color="000000"/>
            </w:tcBorders>
            <w:shd w:val="clear" w:color="auto" w:fill="CBCBCB"/>
            <w:vAlign w:val="center"/>
          </w:tcPr>
          <w:p w14:paraId="3343B683" w14:textId="77777777" w:rsidR="000A3B2B" w:rsidRDefault="000A3B2B">
            <w:pPr>
              <w:autoSpaceDE w:val="0"/>
              <w:autoSpaceDN w:val="0"/>
              <w:adjustRightInd w:val="0"/>
              <w:spacing w:after="30" w:line="240" w:lineRule="auto"/>
              <w:jc w:val="center"/>
              <w:rPr>
                <w:rFonts w:ascii="Arial" w:hAnsi="Arial" w:cs="Arial"/>
                <w:b/>
                <w:bCs/>
                <w:color w:val="000000"/>
                <w:sz w:val="18"/>
                <w:szCs w:val="18"/>
                <w:lang w:val="x-none"/>
              </w:rPr>
            </w:pPr>
            <w:r>
              <w:rPr>
                <w:rFonts w:ascii="Arial" w:hAnsi="Arial" w:cs="Arial"/>
                <w:b/>
                <w:bCs/>
                <w:color w:val="000000"/>
                <w:sz w:val="18"/>
                <w:szCs w:val="18"/>
                <w:lang w:val="x-none"/>
              </w:rPr>
              <w:t>m</w:t>
            </w:r>
          </w:p>
        </w:tc>
      </w:tr>
      <w:tr w:rsidR="000A3B2B" w14:paraId="027376AA" w14:textId="77777777">
        <w:trPr>
          <w:trHeight w:val="60"/>
          <w:tblCellSpacing w:w="0" w:type="dxa"/>
          <w:jc w:val="center"/>
        </w:trPr>
        <w:tc>
          <w:tcPr>
            <w:tcW w:w="1718" w:type="dxa"/>
            <w:tcBorders>
              <w:top w:val="single" w:sz="6" w:space="0" w:color="000000"/>
              <w:left w:val="single" w:sz="6" w:space="0" w:color="000000"/>
              <w:bottom w:val="single" w:sz="6" w:space="0" w:color="000000"/>
              <w:right w:val="single" w:sz="6" w:space="0" w:color="000000"/>
            </w:tcBorders>
          </w:tcPr>
          <w:p w14:paraId="4FD0A157"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75,90</w:t>
            </w:r>
          </w:p>
        </w:tc>
        <w:tc>
          <w:tcPr>
            <w:tcW w:w="914" w:type="dxa"/>
            <w:tcBorders>
              <w:top w:val="single" w:sz="6" w:space="0" w:color="000000"/>
              <w:left w:val="single" w:sz="6" w:space="0" w:color="000000"/>
              <w:bottom w:val="single" w:sz="6" w:space="0" w:color="000000"/>
              <w:right w:val="single" w:sz="6" w:space="0" w:color="000000"/>
            </w:tcBorders>
          </w:tcPr>
          <w:p w14:paraId="11CA5D27"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0,7</w:t>
            </w:r>
          </w:p>
        </w:tc>
        <w:tc>
          <w:tcPr>
            <w:tcW w:w="916" w:type="dxa"/>
            <w:tcBorders>
              <w:top w:val="single" w:sz="6" w:space="0" w:color="000000"/>
              <w:left w:val="single" w:sz="6" w:space="0" w:color="000000"/>
              <w:bottom w:val="single" w:sz="6" w:space="0" w:color="000000"/>
              <w:right w:val="single" w:sz="6" w:space="0" w:color="000000"/>
            </w:tcBorders>
          </w:tcPr>
          <w:p w14:paraId="1B644CC7"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0,65</w:t>
            </w:r>
          </w:p>
        </w:tc>
        <w:tc>
          <w:tcPr>
            <w:tcW w:w="1740" w:type="dxa"/>
            <w:tcBorders>
              <w:top w:val="single" w:sz="6" w:space="0" w:color="000000"/>
              <w:left w:val="single" w:sz="6" w:space="0" w:color="000000"/>
              <w:bottom w:val="single" w:sz="6" w:space="0" w:color="000000"/>
              <w:right w:val="single" w:sz="6" w:space="0" w:color="000000"/>
            </w:tcBorders>
          </w:tcPr>
          <w:p w14:paraId="71E23D31"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450</w:t>
            </w:r>
          </w:p>
        </w:tc>
        <w:tc>
          <w:tcPr>
            <w:tcW w:w="930" w:type="dxa"/>
            <w:tcBorders>
              <w:top w:val="single" w:sz="6" w:space="0" w:color="000000"/>
              <w:left w:val="single" w:sz="6" w:space="0" w:color="000000"/>
              <w:bottom w:val="single" w:sz="6" w:space="0" w:color="000000"/>
              <w:right w:val="single" w:sz="6" w:space="0" w:color="000000"/>
            </w:tcBorders>
          </w:tcPr>
          <w:p w14:paraId="0F5264E9"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1,5</w:t>
            </w:r>
          </w:p>
        </w:tc>
        <w:tc>
          <w:tcPr>
            <w:tcW w:w="914" w:type="dxa"/>
            <w:tcBorders>
              <w:top w:val="single" w:sz="6" w:space="0" w:color="000000"/>
              <w:left w:val="single" w:sz="6" w:space="0" w:color="000000"/>
              <w:bottom w:val="single" w:sz="6" w:space="0" w:color="000000"/>
              <w:right w:val="single" w:sz="6" w:space="0" w:color="000000"/>
            </w:tcBorders>
          </w:tcPr>
          <w:p w14:paraId="66F5E588"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1,00</w:t>
            </w:r>
          </w:p>
        </w:tc>
      </w:tr>
      <w:tr w:rsidR="000A3B2B" w14:paraId="16B4AA2B" w14:textId="77777777">
        <w:trPr>
          <w:trHeight w:val="60"/>
          <w:tblCellSpacing w:w="0" w:type="dxa"/>
          <w:jc w:val="center"/>
        </w:trPr>
        <w:tc>
          <w:tcPr>
            <w:tcW w:w="1718" w:type="dxa"/>
            <w:tcBorders>
              <w:top w:val="single" w:sz="6" w:space="0" w:color="000000"/>
              <w:left w:val="single" w:sz="6" w:space="0" w:color="000000"/>
              <w:bottom w:val="single" w:sz="6" w:space="0" w:color="000000"/>
              <w:right w:val="single" w:sz="6" w:space="0" w:color="000000"/>
            </w:tcBorders>
          </w:tcPr>
          <w:p w14:paraId="229C0C96"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110</w:t>
            </w:r>
          </w:p>
        </w:tc>
        <w:tc>
          <w:tcPr>
            <w:tcW w:w="914" w:type="dxa"/>
            <w:tcBorders>
              <w:top w:val="single" w:sz="6" w:space="0" w:color="000000"/>
              <w:left w:val="single" w:sz="6" w:space="0" w:color="000000"/>
              <w:bottom w:val="single" w:sz="6" w:space="0" w:color="000000"/>
              <w:right w:val="single" w:sz="6" w:space="0" w:color="000000"/>
            </w:tcBorders>
          </w:tcPr>
          <w:p w14:paraId="579B8C24"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0,7</w:t>
            </w:r>
          </w:p>
        </w:tc>
        <w:tc>
          <w:tcPr>
            <w:tcW w:w="916" w:type="dxa"/>
            <w:tcBorders>
              <w:top w:val="single" w:sz="6" w:space="0" w:color="000000"/>
              <w:left w:val="single" w:sz="6" w:space="0" w:color="000000"/>
              <w:bottom w:val="single" w:sz="6" w:space="0" w:color="000000"/>
              <w:right w:val="single" w:sz="6" w:space="0" w:color="000000"/>
            </w:tcBorders>
          </w:tcPr>
          <w:p w14:paraId="055C3406"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0,65</w:t>
            </w:r>
          </w:p>
        </w:tc>
        <w:tc>
          <w:tcPr>
            <w:tcW w:w="1740" w:type="dxa"/>
            <w:tcBorders>
              <w:top w:val="single" w:sz="6" w:space="0" w:color="000000"/>
              <w:left w:val="single" w:sz="6" w:space="0" w:color="000000"/>
              <w:bottom w:val="single" w:sz="6" w:space="0" w:color="000000"/>
              <w:right w:val="single" w:sz="6" w:space="0" w:color="000000"/>
            </w:tcBorders>
          </w:tcPr>
          <w:p w14:paraId="3D446FB8"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500</w:t>
            </w:r>
          </w:p>
        </w:tc>
        <w:tc>
          <w:tcPr>
            <w:tcW w:w="930" w:type="dxa"/>
            <w:tcBorders>
              <w:top w:val="single" w:sz="6" w:space="0" w:color="000000"/>
              <w:left w:val="single" w:sz="6" w:space="0" w:color="000000"/>
              <w:bottom w:val="single" w:sz="6" w:space="0" w:color="000000"/>
              <w:right w:val="single" w:sz="6" w:space="0" w:color="000000"/>
            </w:tcBorders>
          </w:tcPr>
          <w:p w14:paraId="057EBFC3"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1,6</w:t>
            </w:r>
          </w:p>
        </w:tc>
        <w:tc>
          <w:tcPr>
            <w:tcW w:w="914" w:type="dxa"/>
            <w:tcBorders>
              <w:top w:val="single" w:sz="6" w:space="0" w:color="000000"/>
              <w:left w:val="single" w:sz="6" w:space="0" w:color="000000"/>
              <w:bottom w:val="single" w:sz="6" w:space="0" w:color="000000"/>
              <w:right w:val="single" w:sz="6" w:space="0" w:color="000000"/>
            </w:tcBorders>
          </w:tcPr>
          <w:p w14:paraId="6A8F4E1D"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1,10</w:t>
            </w:r>
          </w:p>
        </w:tc>
      </w:tr>
      <w:tr w:rsidR="000A3B2B" w14:paraId="3972A19A" w14:textId="77777777">
        <w:trPr>
          <w:trHeight w:val="60"/>
          <w:tblCellSpacing w:w="0" w:type="dxa"/>
          <w:jc w:val="center"/>
        </w:trPr>
        <w:tc>
          <w:tcPr>
            <w:tcW w:w="1718" w:type="dxa"/>
            <w:tcBorders>
              <w:top w:val="single" w:sz="6" w:space="0" w:color="000000"/>
              <w:left w:val="single" w:sz="6" w:space="0" w:color="000000"/>
              <w:bottom w:val="single" w:sz="6" w:space="0" w:color="000000"/>
              <w:right w:val="single" w:sz="6" w:space="0" w:color="000000"/>
            </w:tcBorders>
          </w:tcPr>
          <w:p w14:paraId="2BF10239"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125</w:t>
            </w:r>
          </w:p>
        </w:tc>
        <w:tc>
          <w:tcPr>
            <w:tcW w:w="914" w:type="dxa"/>
            <w:tcBorders>
              <w:top w:val="single" w:sz="6" w:space="0" w:color="000000"/>
              <w:left w:val="single" w:sz="6" w:space="0" w:color="000000"/>
              <w:bottom w:val="single" w:sz="6" w:space="0" w:color="000000"/>
              <w:right w:val="single" w:sz="6" w:space="0" w:color="000000"/>
            </w:tcBorders>
          </w:tcPr>
          <w:p w14:paraId="57EF0CF0"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0,7</w:t>
            </w:r>
          </w:p>
        </w:tc>
        <w:tc>
          <w:tcPr>
            <w:tcW w:w="916" w:type="dxa"/>
            <w:tcBorders>
              <w:top w:val="single" w:sz="6" w:space="0" w:color="000000"/>
              <w:left w:val="single" w:sz="6" w:space="0" w:color="000000"/>
              <w:bottom w:val="single" w:sz="6" w:space="0" w:color="000000"/>
              <w:right w:val="single" w:sz="6" w:space="0" w:color="000000"/>
            </w:tcBorders>
          </w:tcPr>
          <w:p w14:paraId="08D030ED"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0,65</w:t>
            </w:r>
          </w:p>
        </w:tc>
        <w:tc>
          <w:tcPr>
            <w:tcW w:w="1740" w:type="dxa"/>
            <w:tcBorders>
              <w:top w:val="single" w:sz="6" w:space="0" w:color="000000"/>
              <w:left w:val="single" w:sz="6" w:space="0" w:color="000000"/>
              <w:bottom w:val="single" w:sz="6" w:space="0" w:color="000000"/>
              <w:right w:val="single" w:sz="6" w:space="0" w:color="000000"/>
            </w:tcBorders>
          </w:tcPr>
          <w:p w14:paraId="35F1B07E"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520</w:t>
            </w:r>
          </w:p>
        </w:tc>
        <w:tc>
          <w:tcPr>
            <w:tcW w:w="930" w:type="dxa"/>
            <w:tcBorders>
              <w:top w:val="single" w:sz="6" w:space="0" w:color="000000"/>
              <w:left w:val="single" w:sz="6" w:space="0" w:color="000000"/>
              <w:bottom w:val="single" w:sz="6" w:space="0" w:color="000000"/>
              <w:right w:val="single" w:sz="6" w:space="0" w:color="000000"/>
            </w:tcBorders>
          </w:tcPr>
          <w:p w14:paraId="140C94B0"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1,7</w:t>
            </w:r>
          </w:p>
        </w:tc>
        <w:tc>
          <w:tcPr>
            <w:tcW w:w="914" w:type="dxa"/>
            <w:tcBorders>
              <w:top w:val="single" w:sz="6" w:space="0" w:color="000000"/>
              <w:left w:val="single" w:sz="6" w:space="0" w:color="000000"/>
              <w:bottom w:val="single" w:sz="6" w:space="0" w:color="000000"/>
              <w:right w:val="single" w:sz="6" w:space="0" w:color="000000"/>
            </w:tcBorders>
          </w:tcPr>
          <w:p w14:paraId="41B0DF48"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1,10</w:t>
            </w:r>
          </w:p>
        </w:tc>
      </w:tr>
      <w:tr w:rsidR="000A3B2B" w14:paraId="3298C63B" w14:textId="77777777">
        <w:trPr>
          <w:trHeight w:val="60"/>
          <w:tblCellSpacing w:w="0" w:type="dxa"/>
          <w:jc w:val="center"/>
        </w:trPr>
        <w:tc>
          <w:tcPr>
            <w:tcW w:w="1718" w:type="dxa"/>
            <w:tcBorders>
              <w:top w:val="single" w:sz="6" w:space="0" w:color="000000"/>
              <w:left w:val="single" w:sz="6" w:space="0" w:color="000000"/>
              <w:bottom w:val="single" w:sz="6" w:space="0" w:color="000000"/>
              <w:right w:val="single" w:sz="6" w:space="0" w:color="000000"/>
            </w:tcBorders>
          </w:tcPr>
          <w:p w14:paraId="7DAE5F9E"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140</w:t>
            </w:r>
          </w:p>
        </w:tc>
        <w:tc>
          <w:tcPr>
            <w:tcW w:w="914" w:type="dxa"/>
            <w:tcBorders>
              <w:top w:val="single" w:sz="6" w:space="0" w:color="000000"/>
              <w:left w:val="single" w:sz="6" w:space="0" w:color="000000"/>
              <w:bottom w:val="single" w:sz="6" w:space="0" w:color="000000"/>
              <w:right w:val="single" w:sz="6" w:space="0" w:color="000000"/>
            </w:tcBorders>
          </w:tcPr>
          <w:p w14:paraId="259725F6"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0,8</w:t>
            </w:r>
          </w:p>
        </w:tc>
        <w:tc>
          <w:tcPr>
            <w:tcW w:w="916" w:type="dxa"/>
            <w:tcBorders>
              <w:top w:val="single" w:sz="6" w:space="0" w:color="000000"/>
              <w:left w:val="single" w:sz="6" w:space="0" w:color="000000"/>
              <w:bottom w:val="single" w:sz="6" w:space="0" w:color="000000"/>
              <w:right w:val="single" w:sz="6" w:space="0" w:color="000000"/>
            </w:tcBorders>
          </w:tcPr>
          <w:p w14:paraId="3298280F"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0,65</w:t>
            </w:r>
          </w:p>
        </w:tc>
        <w:tc>
          <w:tcPr>
            <w:tcW w:w="1740" w:type="dxa"/>
            <w:tcBorders>
              <w:top w:val="single" w:sz="6" w:space="0" w:color="000000"/>
              <w:left w:val="single" w:sz="6" w:space="0" w:color="000000"/>
              <w:bottom w:val="single" w:sz="6" w:space="0" w:color="000000"/>
              <w:right w:val="single" w:sz="6" w:space="0" w:color="000000"/>
            </w:tcBorders>
          </w:tcPr>
          <w:p w14:paraId="12458B30"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560</w:t>
            </w:r>
          </w:p>
        </w:tc>
        <w:tc>
          <w:tcPr>
            <w:tcW w:w="930" w:type="dxa"/>
            <w:tcBorders>
              <w:top w:val="single" w:sz="6" w:space="0" w:color="000000"/>
              <w:left w:val="single" w:sz="6" w:space="0" w:color="000000"/>
              <w:bottom w:val="single" w:sz="6" w:space="0" w:color="000000"/>
              <w:right w:val="single" w:sz="6" w:space="0" w:color="000000"/>
            </w:tcBorders>
          </w:tcPr>
          <w:p w14:paraId="10F96BB5"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1,8</w:t>
            </w:r>
          </w:p>
        </w:tc>
        <w:tc>
          <w:tcPr>
            <w:tcW w:w="914" w:type="dxa"/>
            <w:tcBorders>
              <w:top w:val="single" w:sz="6" w:space="0" w:color="000000"/>
              <w:left w:val="single" w:sz="6" w:space="0" w:color="000000"/>
              <w:bottom w:val="single" w:sz="6" w:space="0" w:color="000000"/>
              <w:right w:val="single" w:sz="6" w:space="0" w:color="000000"/>
            </w:tcBorders>
          </w:tcPr>
          <w:p w14:paraId="4BA5CC3B"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1,20</w:t>
            </w:r>
          </w:p>
        </w:tc>
      </w:tr>
      <w:tr w:rsidR="000A3B2B" w14:paraId="5F568944" w14:textId="77777777">
        <w:trPr>
          <w:trHeight w:val="60"/>
          <w:tblCellSpacing w:w="0" w:type="dxa"/>
          <w:jc w:val="center"/>
        </w:trPr>
        <w:tc>
          <w:tcPr>
            <w:tcW w:w="1718" w:type="dxa"/>
            <w:tcBorders>
              <w:top w:val="single" w:sz="6" w:space="0" w:color="000000"/>
              <w:left w:val="single" w:sz="6" w:space="0" w:color="000000"/>
              <w:bottom w:val="single" w:sz="6" w:space="0" w:color="000000"/>
              <w:right w:val="single" w:sz="6" w:space="0" w:color="000000"/>
            </w:tcBorders>
          </w:tcPr>
          <w:p w14:paraId="29F99443"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160</w:t>
            </w:r>
          </w:p>
        </w:tc>
        <w:tc>
          <w:tcPr>
            <w:tcW w:w="914" w:type="dxa"/>
            <w:tcBorders>
              <w:top w:val="single" w:sz="6" w:space="0" w:color="000000"/>
              <w:left w:val="single" w:sz="6" w:space="0" w:color="000000"/>
              <w:bottom w:val="single" w:sz="6" w:space="0" w:color="000000"/>
              <w:right w:val="single" w:sz="6" w:space="0" w:color="000000"/>
            </w:tcBorders>
          </w:tcPr>
          <w:p w14:paraId="66B9851C"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0,8</w:t>
            </w:r>
          </w:p>
        </w:tc>
        <w:tc>
          <w:tcPr>
            <w:tcW w:w="916" w:type="dxa"/>
            <w:tcBorders>
              <w:top w:val="single" w:sz="6" w:space="0" w:color="000000"/>
              <w:left w:val="single" w:sz="6" w:space="0" w:color="000000"/>
              <w:bottom w:val="single" w:sz="6" w:space="0" w:color="000000"/>
              <w:right w:val="single" w:sz="6" w:space="0" w:color="000000"/>
            </w:tcBorders>
          </w:tcPr>
          <w:p w14:paraId="76347AE8"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0,70</w:t>
            </w:r>
          </w:p>
        </w:tc>
        <w:tc>
          <w:tcPr>
            <w:tcW w:w="1740" w:type="dxa"/>
            <w:tcBorders>
              <w:top w:val="single" w:sz="6" w:space="0" w:color="000000"/>
              <w:left w:val="single" w:sz="6" w:space="0" w:color="000000"/>
              <w:bottom w:val="single" w:sz="6" w:space="0" w:color="000000"/>
              <w:right w:val="single" w:sz="6" w:space="0" w:color="000000"/>
            </w:tcBorders>
          </w:tcPr>
          <w:p w14:paraId="565BFA29"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630</w:t>
            </w:r>
          </w:p>
        </w:tc>
        <w:tc>
          <w:tcPr>
            <w:tcW w:w="930" w:type="dxa"/>
            <w:tcBorders>
              <w:top w:val="single" w:sz="6" w:space="0" w:color="000000"/>
              <w:left w:val="single" w:sz="6" w:space="0" w:color="000000"/>
              <w:bottom w:val="single" w:sz="6" w:space="0" w:color="000000"/>
              <w:right w:val="single" w:sz="6" w:space="0" w:color="000000"/>
            </w:tcBorders>
          </w:tcPr>
          <w:p w14:paraId="2198D5AE"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2,0</w:t>
            </w:r>
          </w:p>
        </w:tc>
        <w:tc>
          <w:tcPr>
            <w:tcW w:w="914" w:type="dxa"/>
            <w:tcBorders>
              <w:top w:val="single" w:sz="6" w:space="0" w:color="000000"/>
              <w:left w:val="single" w:sz="6" w:space="0" w:color="000000"/>
              <w:bottom w:val="single" w:sz="6" w:space="0" w:color="000000"/>
              <w:right w:val="single" w:sz="6" w:space="0" w:color="000000"/>
            </w:tcBorders>
          </w:tcPr>
          <w:p w14:paraId="7F4A456E"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1,30</w:t>
            </w:r>
          </w:p>
        </w:tc>
      </w:tr>
      <w:tr w:rsidR="000A3B2B" w14:paraId="6C7F5800" w14:textId="77777777">
        <w:trPr>
          <w:trHeight w:val="60"/>
          <w:tblCellSpacing w:w="0" w:type="dxa"/>
          <w:jc w:val="center"/>
        </w:trPr>
        <w:tc>
          <w:tcPr>
            <w:tcW w:w="1718" w:type="dxa"/>
            <w:tcBorders>
              <w:top w:val="single" w:sz="6" w:space="0" w:color="000000"/>
              <w:left w:val="single" w:sz="6" w:space="0" w:color="000000"/>
              <w:bottom w:val="single" w:sz="6" w:space="0" w:color="000000"/>
              <w:right w:val="single" w:sz="6" w:space="0" w:color="000000"/>
            </w:tcBorders>
          </w:tcPr>
          <w:p w14:paraId="15DCDCBC"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200</w:t>
            </w:r>
          </w:p>
        </w:tc>
        <w:tc>
          <w:tcPr>
            <w:tcW w:w="914" w:type="dxa"/>
            <w:tcBorders>
              <w:top w:val="single" w:sz="6" w:space="0" w:color="000000"/>
              <w:left w:val="single" w:sz="6" w:space="0" w:color="000000"/>
              <w:bottom w:val="single" w:sz="6" w:space="0" w:color="000000"/>
              <w:right w:val="single" w:sz="6" w:space="0" w:color="000000"/>
            </w:tcBorders>
          </w:tcPr>
          <w:p w14:paraId="550CC268"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0,9</w:t>
            </w:r>
          </w:p>
        </w:tc>
        <w:tc>
          <w:tcPr>
            <w:tcW w:w="916" w:type="dxa"/>
            <w:tcBorders>
              <w:top w:val="single" w:sz="6" w:space="0" w:color="000000"/>
              <w:left w:val="single" w:sz="6" w:space="0" w:color="000000"/>
              <w:bottom w:val="single" w:sz="6" w:space="0" w:color="000000"/>
              <w:right w:val="single" w:sz="6" w:space="0" w:color="000000"/>
            </w:tcBorders>
          </w:tcPr>
          <w:p w14:paraId="658AECC4"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0,75</w:t>
            </w:r>
          </w:p>
        </w:tc>
        <w:tc>
          <w:tcPr>
            <w:tcW w:w="1740" w:type="dxa"/>
            <w:tcBorders>
              <w:top w:val="single" w:sz="6" w:space="0" w:color="000000"/>
              <w:left w:val="single" w:sz="6" w:space="0" w:color="000000"/>
              <w:bottom w:val="single" w:sz="6" w:space="0" w:color="000000"/>
              <w:right w:val="single" w:sz="6" w:space="0" w:color="000000"/>
            </w:tcBorders>
          </w:tcPr>
          <w:p w14:paraId="1DAA0501"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710</w:t>
            </w:r>
          </w:p>
        </w:tc>
        <w:tc>
          <w:tcPr>
            <w:tcW w:w="930" w:type="dxa"/>
            <w:tcBorders>
              <w:top w:val="single" w:sz="6" w:space="0" w:color="000000"/>
              <w:left w:val="single" w:sz="6" w:space="0" w:color="000000"/>
              <w:bottom w:val="single" w:sz="6" w:space="0" w:color="000000"/>
              <w:right w:val="single" w:sz="6" w:space="0" w:color="000000"/>
            </w:tcBorders>
          </w:tcPr>
          <w:p w14:paraId="1E8EBD20"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2,2</w:t>
            </w:r>
          </w:p>
        </w:tc>
        <w:tc>
          <w:tcPr>
            <w:tcW w:w="914" w:type="dxa"/>
            <w:tcBorders>
              <w:top w:val="single" w:sz="6" w:space="0" w:color="000000"/>
              <w:left w:val="single" w:sz="6" w:space="0" w:color="000000"/>
              <w:bottom w:val="single" w:sz="6" w:space="0" w:color="000000"/>
              <w:right w:val="single" w:sz="6" w:space="0" w:color="000000"/>
            </w:tcBorders>
          </w:tcPr>
          <w:p w14:paraId="64FA2C38"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1,40</w:t>
            </w:r>
          </w:p>
        </w:tc>
      </w:tr>
      <w:tr w:rsidR="000A3B2B" w14:paraId="5AD702E5" w14:textId="77777777">
        <w:trPr>
          <w:trHeight w:val="60"/>
          <w:tblCellSpacing w:w="0" w:type="dxa"/>
          <w:jc w:val="center"/>
        </w:trPr>
        <w:tc>
          <w:tcPr>
            <w:tcW w:w="1718" w:type="dxa"/>
            <w:tcBorders>
              <w:top w:val="single" w:sz="6" w:space="0" w:color="000000"/>
              <w:left w:val="single" w:sz="6" w:space="0" w:color="000000"/>
              <w:bottom w:val="single" w:sz="6" w:space="0" w:color="000000"/>
              <w:right w:val="single" w:sz="6" w:space="0" w:color="000000"/>
            </w:tcBorders>
          </w:tcPr>
          <w:p w14:paraId="6C5FFB46"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225</w:t>
            </w:r>
          </w:p>
        </w:tc>
        <w:tc>
          <w:tcPr>
            <w:tcW w:w="914" w:type="dxa"/>
            <w:tcBorders>
              <w:top w:val="single" w:sz="6" w:space="0" w:color="000000"/>
              <w:left w:val="single" w:sz="6" w:space="0" w:color="000000"/>
              <w:bottom w:val="single" w:sz="6" w:space="0" w:color="000000"/>
              <w:right w:val="single" w:sz="6" w:space="0" w:color="000000"/>
            </w:tcBorders>
          </w:tcPr>
          <w:p w14:paraId="39378F43"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1,0</w:t>
            </w:r>
          </w:p>
        </w:tc>
        <w:tc>
          <w:tcPr>
            <w:tcW w:w="916" w:type="dxa"/>
            <w:tcBorders>
              <w:top w:val="single" w:sz="6" w:space="0" w:color="000000"/>
              <w:left w:val="single" w:sz="6" w:space="0" w:color="000000"/>
              <w:bottom w:val="single" w:sz="6" w:space="0" w:color="000000"/>
              <w:right w:val="single" w:sz="6" w:space="0" w:color="000000"/>
            </w:tcBorders>
          </w:tcPr>
          <w:p w14:paraId="237FC74C"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0,80</w:t>
            </w:r>
          </w:p>
        </w:tc>
        <w:tc>
          <w:tcPr>
            <w:tcW w:w="1740" w:type="dxa"/>
            <w:tcBorders>
              <w:top w:val="single" w:sz="6" w:space="0" w:color="000000"/>
              <w:left w:val="single" w:sz="6" w:space="0" w:color="000000"/>
              <w:bottom w:val="single" w:sz="6" w:space="0" w:color="000000"/>
              <w:right w:val="single" w:sz="6" w:space="0" w:color="000000"/>
            </w:tcBorders>
          </w:tcPr>
          <w:p w14:paraId="780D6CCC"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800</w:t>
            </w:r>
          </w:p>
        </w:tc>
        <w:tc>
          <w:tcPr>
            <w:tcW w:w="930" w:type="dxa"/>
            <w:tcBorders>
              <w:top w:val="single" w:sz="6" w:space="0" w:color="000000"/>
              <w:left w:val="single" w:sz="6" w:space="0" w:color="000000"/>
              <w:bottom w:val="single" w:sz="6" w:space="0" w:color="000000"/>
              <w:right w:val="single" w:sz="6" w:space="0" w:color="000000"/>
            </w:tcBorders>
          </w:tcPr>
          <w:p w14:paraId="3613C52C"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2,4</w:t>
            </w:r>
          </w:p>
        </w:tc>
        <w:tc>
          <w:tcPr>
            <w:tcW w:w="914" w:type="dxa"/>
            <w:tcBorders>
              <w:top w:val="single" w:sz="6" w:space="0" w:color="000000"/>
              <w:left w:val="single" w:sz="6" w:space="0" w:color="000000"/>
              <w:bottom w:val="single" w:sz="6" w:space="0" w:color="000000"/>
              <w:right w:val="single" w:sz="6" w:space="0" w:color="000000"/>
            </w:tcBorders>
          </w:tcPr>
          <w:p w14:paraId="2F7FF497"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1,50</w:t>
            </w:r>
          </w:p>
        </w:tc>
      </w:tr>
      <w:tr w:rsidR="000A3B2B" w14:paraId="43570589" w14:textId="77777777">
        <w:trPr>
          <w:trHeight w:val="60"/>
          <w:tblCellSpacing w:w="0" w:type="dxa"/>
          <w:jc w:val="center"/>
        </w:trPr>
        <w:tc>
          <w:tcPr>
            <w:tcW w:w="1718" w:type="dxa"/>
            <w:tcBorders>
              <w:top w:val="single" w:sz="6" w:space="0" w:color="000000"/>
              <w:left w:val="single" w:sz="6" w:space="0" w:color="000000"/>
              <w:bottom w:val="single" w:sz="6" w:space="0" w:color="000000"/>
              <w:right w:val="single" w:sz="6" w:space="0" w:color="000000"/>
            </w:tcBorders>
          </w:tcPr>
          <w:p w14:paraId="0596F452"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250</w:t>
            </w:r>
          </w:p>
        </w:tc>
        <w:tc>
          <w:tcPr>
            <w:tcW w:w="914" w:type="dxa"/>
            <w:tcBorders>
              <w:top w:val="single" w:sz="6" w:space="0" w:color="000000"/>
              <w:left w:val="single" w:sz="6" w:space="0" w:color="000000"/>
              <w:bottom w:val="single" w:sz="6" w:space="0" w:color="000000"/>
              <w:right w:val="single" w:sz="6" w:space="0" w:color="000000"/>
            </w:tcBorders>
          </w:tcPr>
          <w:p w14:paraId="0B279B33"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1,1</w:t>
            </w:r>
          </w:p>
        </w:tc>
        <w:tc>
          <w:tcPr>
            <w:tcW w:w="916" w:type="dxa"/>
            <w:tcBorders>
              <w:top w:val="single" w:sz="6" w:space="0" w:color="000000"/>
              <w:left w:val="single" w:sz="6" w:space="0" w:color="000000"/>
              <w:bottom w:val="single" w:sz="6" w:space="0" w:color="000000"/>
              <w:right w:val="single" w:sz="6" w:space="0" w:color="000000"/>
            </w:tcBorders>
          </w:tcPr>
          <w:p w14:paraId="0979A9DB"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0,90</w:t>
            </w:r>
          </w:p>
        </w:tc>
        <w:tc>
          <w:tcPr>
            <w:tcW w:w="1740" w:type="dxa"/>
            <w:tcBorders>
              <w:top w:val="single" w:sz="6" w:space="0" w:color="000000"/>
              <w:left w:val="single" w:sz="6" w:space="0" w:color="000000"/>
              <w:bottom w:val="single" w:sz="6" w:space="0" w:color="000000"/>
              <w:right w:val="single" w:sz="6" w:space="0" w:color="000000"/>
            </w:tcBorders>
          </w:tcPr>
          <w:p w14:paraId="1B75DE20"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900</w:t>
            </w:r>
          </w:p>
        </w:tc>
        <w:tc>
          <w:tcPr>
            <w:tcW w:w="930" w:type="dxa"/>
            <w:tcBorders>
              <w:top w:val="single" w:sz="6" w:space="0" w:color="000000"/>
              <w:left w:val="single" w:sz="6" w:space="0" w:color="000000"/>
              <w:bottom w:val="single" w:sz="6" w:space="0" w:color="000000"/>
              <w:right w:val="single" w:sz="6" w:space="0" w:color="000000"/>
            </w:tcBorders>
          </w:tcPr>
          <w:p w14:paraId="13D72182"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2,6</w:t>
            </w:r>
          </w:p>
        </w:tc>
        <w:tc>
          <w:tcPr>
            <w:tcW w:w="914" w:type="dxa"/>
            <w:tcBorders>
              <w:top w:val="single" w:sz="6" w:space="0" w:color="000000"/>
              <w:left w:val="single" w:sz="6" w:space="0" w:color="000000"/>
              <w:bottom w:val="single" w:sz="6" w:space="0" w:color="000000"/>
              <w:right w:val="single" w:sz="6" w:space="0" w:color="000000"/>
            </w:tcBorders>
          </w:tcPr>
          <w:p w14:paraId="3F2D2E53"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1,65</w:t>
            </w:r>
          </w:p>
        </w:tc>
      </w:tr>
      <w:tr w:rsidR="000A3B2B" w14:paraId="7BC836D9" w14:textId="77777777">
        <w:trPr>
          <w:trHeight w:val="60"/>
          <w:tblCellSpacing w:w="0" w:type="dxa"/>
          <w:jc w:val="center"/>
        </w:trPr>
        <w:tc>
          <w:tcPr>
            <w:tcW w:w="1718" w:type="dxa"/>
            <w:tcBorders>
              <w:top w:val="single" w:sz="6" w:space="0" w:color="000000"/>
              <w:left w:val="single" w:sz="6" w:space="0" w:color="000000"/>
              <w:bottom w:val="single" w:sz="6" w:space="0" w:color="000000"/>
              <w:right w:val="single" w:sz="6" w:space="0" w:color="000000"/>
            </w:tcBorders>
          </w:tcPr>
          <w:p w14:paraId="7C7C3B5F"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315</w:t>
            </w:r>
          </w:p>
        </w:tc>
        <w:tc>
          <w:tcPr>
            <w:tcW w:w="914" w:type="dxa"/>
            <w:tcBorders>
              <w:top w:val="single" w:sz="6" w:space="0" w:color="000000"/>
              <w:left w:val="single" w:sz="6" w:space="0" w:color="000000"/>
              <w:bottom w:val="single" w:sz="6" w:space="0" w:color="000000"/>
              <w:right w:val="single" w:sz="6" w:space="0" w:color="000000"/>
            </w:tcBorders>
          </w:tcPr>
          <w:p w14:paraId="44FEAD36"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1,2</w:t>
            </w:r>
          </w:p>
        </w:tc>
        <w:tc>
          <w:tcPr>
            <w:tcW w:w="916" w:type="dxa"/>
            <w:tcBorders>
              <w:top w:val="single" w:sz="6" w:space="0" w:color="000000"/>
              <w:left w:val="single" w:sz="6" w:space="0" w:color="000000"/>
              <w:bottom w:val="single" w:sz="6" w:space="0" w:color="000000"/>
              <w:right w:val="single" w:sz="6" w:space="0" w:color="000000"/>
            </w:tcBorders>
          </w:tcPr>
          <w:p w14:paraId="7947DAA3"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1,00</w:t>
            </w:r>
          </w:p>
        </w:tc>
        <w:tc>
          <w:tcPr>
            <w:tcW w:w="1740" w:type="dxa"/>
            <w:tcBorders>
              <w:top w:val="single" w:sz="6" w:space="0" w:color="000000"/>
              <w:left w:val="single" w:sz="6" w:space="0" w:color="000000"/>
              <w:bottom w:val="single" w:sz="6" w:space="0" w:color="000000"/>
              <w:right w:val="single" w:sz="6" w:space="0" w:color="000000"/>
            </w:tcBorders>
          </w:tcPr>
          <w:p w14:paraId="549BA03E"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1000</w:t>
            </w:r>
          </w:p>
        </w:tc>
        <w:tc>
          <w:tcPr>
            <w:tcW w:w="930" w:type="dxa"/>
            <w:tcBorders>
              <w:top w:val="single" w:sz="6" w:space="0" w:color="000000"/>
              <w:left w:val="single" w:sz="6" w:space="0" w:color="000000"/>
              <w:bottom w:val="single" w:sz="6" w:space="0" w:color="000000"/>
              <w:right w:val="single" w:sz="6" w:space="0" w:color="000000"/>
            </w:tcBorders>
          </w:tcPr>
          <w:p w14:paraId="715F3C44"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2,8</w:t>
            </w:r>
          </w:p>
        </w:tc>
        <w:tc>
          <w:tcPr>
            <w:tcW w:w="914" w:type="dxa"/>
            <w:tcBorders>
              <w:top w:val="single" w:sz="6" w:space="0" w:color="000000"/>
              <w:left w:val="single" w:sz="6" w:space="0" w:color="000000"/>
              <w:bottom w:val="single" w:sz="6" w:space="0" w:color="000000"/>
              <w:right w:val="single" w:sz="6" w:space="0" w:color="000000"/>
            </w:tcBorders>
          </w:tcPr>
          <w:p w14:paraId="6D98036C"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1,80</w:t>
            </w:r>
          </w:p>
        </w:tc>
      </w:tr>
      <w:tr w:rsidR="000A3B2B" w14:paraId="3DD907A6" w14:textId="77777777">
        <w:trPr>
          <w:trHeight w:val="60"/>
          <w:tblCellSpacing w:w="0" w:type="dxa"/>
          <w:jc w:val="center"/>
        </w:trPr>
        <w:tc>
          <w:tcPr>
            <w:tcW w:w="1718" w:type="dxa"/>
            <w:tcBorders>
              <w:top w:val="single" w:sz="6" w:space="0" w:color="000000"/>
              <w:left w:val="single" w:sz="6" w:space="0" w:color="000000"/>
              <w:bottom w:val="single" w:sz="6" w:space="0" w:color="000000"/>
              <w:right w:val="single" w:sz="6" w:space="0" w:color="000000"/>
            </w:tcBorders>
          </w:tcPr>
          <w:p w14:paraId="4AED2355"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355</w:t>
            </w:r>
          </w:p>
        </w:tc>
        <w:tc>
          <w:tcPr>
            <w:tcW w:w="914" w:type="dxa"/>
            <w:tcBorders>
              <w:top w:val="single" w:sz="6" w:space="0" w:color="000000"/>
              <w:left w:val="single" w:sz="6" w:space="0" w:color="000000"/>
              <w:bottom w:val="single" w:sz="6" w:space="0" w:color="000000"/>
              <w:right w:val="single" w:sz="6" w:space="0" w:color="000000"/>
            </w:tcBorders>
          </w:tcPr>
          <w:p w14:paraId="06716181"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1,3</w:t>
            </w:r>
          </w:p>
        </w:tc>
        <w:tc>
          <w:tcPr>
            <w:tcW w:w="916" w:type="dxa"/>
            <w:tcBorders>
              <w:top w:val="single" w:sz="6" w:space="0" w:color="000000"/>
              <w:left w:val="single" w:sz="6" w:space="0" w:color="000000"/>
              <w:bottom w:val="single" w:sz="6" w:space="0" w:color="000000"/>
              <w:right w:val="single" w:sz="6" w:space="0" w:color="000000"/>
            </w:tcBorders>
          </w:tcPr>
          <w:p w14:paraId="46B63B60"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1,00</w:t>
            </w:r>
          </w:p>
        </w:tc>
        <w:tc>
          <w:tcPr>
            <w:tcW w:w="1740" w:type="dxa"/>
            <w:tcBorders>
              <w:top w:val="single" w:sz="6" w:space="0" w:color="000000"/>
              <w:left w:val="single" w:sz="6" w:space="0" w:color="000000"/>
              <w:bottom w:val="single" w:sz="6" w:space="0" w:color="000000"/>
              <w:right w:val="single" w:sz="6" w:space="0" w:color="000000"/>
            </w:tcBorders>
          </w:tcPr>
          <w:p w14:paraId="58109D7A"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1100</w:t>
            </w:r>
          </w:p>
        </w:tc>
        <w:tc>
          <w:tcPr>
            <w:tcW w:w="930" w:type="dxa"/>
            <w:tcBorders>
              <w:top w:val="single" w:sz="6" w:space="0" w:color="000000"/>
              <w:left w:val="single" w:sz="6" w:space="0" w:color="000000"/>
              <w:bottom w:val="single" w:sz="6" w:space="0" w:color="000000"/>
              <w:right w:val="single" w:sz="6" w:space="0" w:color="000000"/>
            </w:tcBorders>
          </w:tcPr>
          <w:p w14:paraId="107635BA"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3,1</w:t>
            </w:r>
          </w:p>
        </w:tc>
        <w:tc>
          <w:tcPr>
            <w:tcW w:w="914" w:type="dxa"/>
            <w:tcBorders>
              <w:top w:val="single" w:sz="6" w:space="0" w:color="000000"/>
              <w:left w:val="single" w:sz="6" w:space="0" w:color="000000"/>
              <w:bottom w:val="single" w:sz="6" w:space="0" w:color="000000"/>
              <w:right w:val="single" w:sz="6" w:space="0" w:color="000000"/>
            </w:tcBorders>
          </w:tcPr>
          <w:p w14:paraId="21F7E355"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1,95</w:t>
            </w:r>
          </w:p>
        </w:tc>
      </w:tr>
      <w:tr w:rsidR="000A3B2B" w14:paraId="7DBD9AE0" w14:textId="77777777">
        <w:trPr>
          <w:trHeight w:val="60"/>
          <w:tblCellSpacing w:w="0" w:type="dxa"/>
          <w:jc w:val="center"/>
        </w:trPr>
        <w:tc>
          <w:tcPr>
            <w:tcW w:w="1718" w:type="dxa"/>
            <w:tcBorders>
              <w:top w:val="single" w:sz="6" w:space="0" w:color="000000"/>
              <w:left w:val="single" w:sz="6" w:space="0" w:color="000000"/>
              <w:bottom w:val="single" w:sz="6" w:space="0" w:color="000000"/>
              <w:right w:val="single" w:sz="6" w:space="0" w:color="000000"/>
            </w:tcBorders>
          </w:tcPr>
          <w:p w14:paraId="4A0747FE"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400</w:t>
            </w:r>
          </w:p>
        </w:tc>
        <w:tc>
          <w:tcPr>
            <w:tcW w:w="914" w:type="dxa"/>
            <w:tcBorders>
              <w:top w:val="single" w:sz="6" w:space="0" w:color="000000"/>
              <w:left w:val="single" w:sz="6" w:space="0" w:color="000000"/>
              <w:bottom w:val="single" w:sz="6" w:space="0" w:color="000000"/>
              <w:right w:val="single" w:sz="6" w:space="0" w:color="000000"/>
            </w:tcBorders>
          </w:tcPr>
          <w:p w14:paraId="1461A934"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1,4</w:t>
            </w:r>
          </w:p>
        </w:tc>
        <w:tc>
          <w:tcPr>
            <w:tcW w:w="916" w:type="dxa"/>
            <w:tcBorders>
              <w:top w:val="single" w:sz="6" w:space="0" w:color="000000"/>
              <w:left w:val="single" w:sz="6" w:space="0" w:color="000000"/>
              <w:bottom w:val="single" w:sz="6" w:space="0" w:color="000000"/>
              <w:right w:val="single" w:sz="6" w:space="0" w:color="000000"/>
            </w:tcBorders>
          </w:tcPr>
          <w:p w14:paraId="01A4DFC6"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1,00</w:t>
            </w:r>
          </w:p>
        </w:tc>
        <w:tc>
          <w:tcPr>
            <w:tcW w:w="1740" w:type="dxa"/>
            <w:tcBorders>
              <w:top w:val="single" w:sz="6" w:space="0" w:color="000000"/>
              <w:left w:val="single" w:sz="6" w:space="0" w:color="000000"/>
              <w:bottom w:val="single" w:sz="6" w:space="0" w:color="000000"/>
              <w:right w:val="single" w:sz="6" w:space="0" w:color="000000"/>
            </w:tcBorders>
          </w:tcPr>
          <w:p w14:paraId="2D296508"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1200</w:t>
            </w:r>
          </w:p>
        </w:tc>
        <w:tc>
          <w:tcPr>
            <w:tcW w:w="930" w:type="dxa"/>
            <w:tcBorders>
              <w:top w:val="single" w:sz="6" w:space="0" w:color="000000"/>
              <w:left w:val="single" w:sz="6" w:space="0" w:color="000000"/>
              <w:bottom w:val="single" w:sz="6" w:space="0" w:color="000000"/>
              <w:right w:val="single" w:sz="6" w:space="0" w:color="000000"/>
            </w:tcBorders>
          </w:tcPr>
          <w:p w14:paraId="28159CEE"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3,4</w:t>
            </w:r>
          </w:p>
        </w:tc>
        <w:tc>
          <w:tcPr>
            <w:tcW w:w="914" w:type="dxa"/>
            <w:tcBorders>
              <w:top w:val="single" w:sz="6" w:space="0" w:color="000000"/>
              <w:left w:val="single" w:sz="6" w:space="0" w:color="000000"/>
              <w:bottom w:val="single" w:sz="6" w:space="0" w:color="000000"/>
              <w:right w:val="single" w:sz="6" w:space="0" w:color="000000"/>
            </w:tcBorders>
          </w:tcPr>
          <w:p w14:paraId="60321E34"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2,10</w:t>
            </w:r>
          </w:p>
        </w:tc>
      </w:tr>
    </w:tbl>
    <w:p w14:paraId="6DEB6DC5"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p>
    <w:p w14:paraId="7BDF1C11" w14:textId="77777777" w:rsidR="000A3B2B" w:rsidRDefault="000A3B2B" w:rsidP="000E4A55">
      <w:pPr>
        <w:autoSpaceDE w:val="0"/>
        <w:autoSpaceDN w:val="0"/>
        <w:adjustRightInd w:val="0"/>
        <w:spacing w:before="60"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Dno wykopu powinno być równe i wykonane ze spadkiem ustalonym w dokumentacji technicznej. Spód wykopu wykonywanego ręcznie należy pozostawić na poziomie wyższym od rzędnej projektowej o ok. 5 cm, a w gruntach nawodnionych o ok. 20 cm.</w:t>
      </w:r>
    </w:p>
    <w:p w14:paraId="3944C1F8"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Przy wykopie wykonywanym mechanicznie spód wykopu pozostawia się na poziomie ok. 20 cm wyższym od rzędnej projektowej, bez względu na rodzaj gruntu.</w:t>
      </w:r>
    </w:p>
    <w:p w14:paraId="1DD2226F"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Pogłębienia wykopu do rzędnej projektowanej należy dokonać bezpośrednio przed ułożeniem podsypki piaskowej lub elementów dennych rurociągów.</w:t>
      </w:r>
    </w:p>
    <w:p w14:paraId="217FBFE9" w14:textId="77777777" w:rsidR="000A3B2B" w:rsidRDefault="000A3B2B" w:rsidP="000E4A5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5.4.</w:t>
      </w:r>
      <w:r>
        <w:rPr>
          <w:rFonts w:ascii="Arial" w:hAnsi="Arial" w:cs="Arial"/>
          <w:b/>
          <w:bCs/>
          <w:color w:val="000000"/>
          <w:sz w:val="18"/>
          <w:szCs w:val="18"/>
          <w:lang w:val="x-none"/>
        </w:rPr>
        <w:tab/>
        <w:t>Odwodnienie wykopów</w:t>
      </w:r>
    </w:p>
    <w:p w14:paraId="3CF22157"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Technologia wykonania wykopu musi umożliwiać jego prawidłowe odwodnienie w całym okresie trwania robót ziemnych.</w:t>
      </w:r>
    </w:p>
    <w:p w14:paraId="2FF5DC53"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 czasie robót ziemnych należy zachować odpowiedni spadek podłużny rowków odwadniających, umożliwiających szybki odpływ wód z wykopu.</w:t>
      </w:r>
    </w:p>
    <w:p w14:paraId="06122E34" w14:textId="77777777" w:rsidR="000A3B2B" w:rsidRDefault="000A3B2B" w:rsidP="000E4A5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5.4.1.</w:t>
      </w:r>
      <w:r>
        <w:rPr>
          <w:rFonts w:ascii="Arial" w:hAnsi="Arial" w:cs="Arial"/>
          <w:b/>
          <w:bCs/>
          <w:color w:val="000000"/>
          <w:sz w:val="18"/>
          <w:szCs w:val="18"/>
          <w:lang w:val="x-none"/>
        </w:rPr>
        <w:tab/>
        <w:t>Pompowanie wody z dna wykopu</w:t>
      </w:r>
    </w:p>
    <w:p w14:paraId="02833066"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Jest to najprostszy sposób odwodnienia polegający na odpompowaniu wody napływającej do wykopu. W gruntach, w których istnieje ryzyko wynoszenia drobnych cząstek przez odpompowywaną wodę, można temu zapobiec poprzez zmniejszenie szybkości przepływu wody. Należy ściśle dostosować się do wytycznych w dokumentacji projektowej i szczegółowej specyfikacji technicznej.</w:t>
      </w:r>
    </w:p>
    <w:tbl>
      <w:tblPr>
        <w:tblW w:w="0" w:type="auto"/>
        <w:tblCellSpacing w:w="0" w:type="dxa"/>
        <w:tblInd w:w="-8" w:type="dxa"/>
        <w:tblLayout w:type="fixed"/>
        <w:tblCellMar>
          <w:left w:w="0" w:type="dxa"/>
          <w:right w:w="0" w:type="dxa"/>
        </w:tblCellMar>
        <w:tblLook w:val="0000" w:firstRow="0" w:lastRow="0" w:firstColumn="0" w:lastColumn="0" w:noHBand="0" w:noVBand="0"/>
      </w:tblPr>
      <w:tblGrid>
        <w:gridCol w:w="9532"/>
      </w:tblGrid>
      <w:tr w:rsidR="000A3B2B" w14:paraId="4010247A" w14:textId="77777777">
        <w:trPr>
          <w:trHeight w:val="60"/>
          <w:tblCellSpacing w:w="0" w:type="dxa"/>
        </w:trPr>
        <w:tc>
          <w:tcPr>
            <w:tcW w:w="9532" w:type="dxa"/>
            <w:tcBorders>
              <w:top w:val="single" w:sz="6" w:space="0" w:color="000000"/>
              <w:left w:val="single" w:sz="6" w:space="0" w:color="000000"/>
              <w:bottom w:val="single" w:sz="6" w:space="0" w:color="000000"/>
              <w:right w:val="single" w:sz="6" w:space="0" w:color="000000"/>
            </w:tcBorders>
          </w:tcPr>
          <w:p w14:paraId="7DE472AC" w14:textId="77777777" w:rsidR="000A3B2B" w:rsidRDefault="000A3B2B">
            <w:pPr>
              <w:autoSpaceDE w:val="0"/>
              <w:autoSpaceDN w:val="0"/>
              <w:adjustRightInd w:val="0"/>
              <w:spacing w:after="30" w:line="240" w:lineRule="auto"/>
              <w:jc w:val="both"/>
              <w:rPr>
                <w:rFonts w:ascii="Arial" w:hAnsi="Arial" w:cs="Arial"/>
                <w:i/>
                <w:iCs/>
                <w:color w:val="000000"/>
                <w:sz w:val="18"/>
                <w:szCs w:val="18"/>
                <w:lang w:val="x-none"/>
              </w:rPr>
            </w:pPr>
            <w:r>
              <w:rPr>
                <w:rFonts w:ascii="Arial" w:hAnsi="Arial" w:cs="Arial"/>
                <w:i/>
                <w:iCs/>
                <w:color w:val="000000"/>
                <w:sz w:val="18"/>
                <w:szCs w:val="18"/>
                <w:lang w:val="x-none"/>
              </w:rPr>
              <w:t>Uwaga: w tym punkcie w SST należy podać szczegółowe wytyczne dotyczące pompowania wody z dna wykopu.</w:t>
            </w:r>
          </w:p>
        </w:tc>
      </w:tr>
    </w:tbl>
    <w:p w14:paraId="46542DC4" w14:textId="77777777" w:rsidR="000A3B2B" w:rsidRDefault="000A3B2B" w:rsidP="000E4A55">
      <w:pPr>
        <w:autoSpaceDE w:val="0"/>
        <w:autoSpaceDN w:val="0"/>
        <w:adjustRightInd w:val="0"/>
        <w:spacing w:after="30" w:line="240" w:lineRule="auto"/>
        <w:jc w:val="both"/>
        <w:rPr>
          <w:rFonts w:ascii="Arial" w:hAnsi="Arial" w:cs="Arial"/>
          <w:i/>
          <w:iCs/>
          <w:color w:val="000000"/>
          <w:sz w:val="18"/>
          <w:szCs w:val="18"/>
          <w:lang w:val="x-none"/>
        </w:rPr>
      </w:pPr>
    </w:p>
    <w:p w14:paraId="266CA30E" w14:textId="77777777" w:rsidR="000A3B2B" w:rsidRDefault="000A3B2B" w:rsidP="000E4A5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5.4.2.</w:t>
      </w:r>
      <w:r>
        <w:rPr>
          <w:rFonts w:ascii="Arial" w:hAnsi="Arial" w:cs="Arial"/>
          <w:b/>
          <w:bCs/>
          <w:color w:val="000000"/>
          <w:sz w:val="18"/>
          <w:szCs w:val="18"/>
          <w:lang w:val="x-none"/>
        </w:rPr>
        <w:tab/>
        <w:t xml:space="preserve">Drenaż </w:t>
      </w:r>
    </w:p>
    <w:p w14:paraId="30B80450"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Wykonanie i stosowanie drenażu</w:t>
      </w:r>
    </w:p>
    <w:p w14:paraId="1E8A3BB2"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Materiał drenów oraz </w:t>
      </w:r>
      <w:proofErr w:type="spellStart"/>
      <w:r>
        <w:rPr>
          <w:rFonts w:ascii="Arial" w:hAnsi="Arial" w:cs="Arial"/>
          <w:color w:val="000000"/>
          <w:sz w:val="18"/>
          <w:szCs w:val="18"/>
          <w:lang w:val="x-none"/>
        </w:rPr>
        <w:t>obsypki</w:t>
      </w:r>
      <w:proofErr w:type="spellEnd"/>
      <w:r>
        <w:rPr>
          <w:rFonts w:ascii="Arial" w:hAnsi="Arial" w:cs="Arial"/>
          <w:color w:val="000000"/>
          <w:sz w:val="18"/>
          <w:szCs w:val="18"/>
          <w:lang w:val="x-none"/>
        </w:rPr>
        <w:t xml:space="preserve"> filtracyjnej powinien być dostosowany do głębokości ułożenia drenów, stopnia agresywności środowiska i powinien być zgodny z projektem.</w:t>
      </w:r>
    </w:p>
    <w:p w14:paraId="3820CBD8"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Stałe obniżenie zwierciadła wody na czas wykonywania powinno wynosić co najmniej 0,5 m poniżej dna wykopu (podłoża naturalnego). Odchylenie obniżenia zwierciadła wody gruntowej nie powinno być mniejsze niż 5 cm.</w:t>
      </w:r>
    </w:p>
    <w:p w14:paraId="5D38EF70" w14:textId="77777777" w:rsidR="000A3B2B" w:rsidRDefault="000A3B2B" w:rsidP="000E4A5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5.4.3.</w:t>
      </w:r>
      <w:r>
        <w:rPr>
          <w:rFonts w:ascii="Arial" w:hAnsi="Arial" w:cs="Arial"/>
          <w:b/>
          <w:bCs/>
          <w:color w:val="000000"/>
          <w:sz w:val="18"/>
          <w:szCs w:val="18"/>
          <w:lang w:val="x-none"/>
        </w:rPr>
        <w:tab/>
        <w:t>Ścianki szczelne</w:t>
      </w:r>
    </w:p>
    <w:p w14:paraId="6C4690F3"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Ścianki szczelne stanowiące przegrody z pionowo wbijanych, szczelnie do siebie dopasowanych materiałów określonych w projekcie, należy stosować do:</w:t>
      </w:r>
    </w:p>
    <w:p w14:paraId="6A339E61"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a)</w:t>
      </w:r>
      <w:r>
        <w:rPr>
          <w:rFonts w:ascii="Arial" w:hAnsi="Arial" w:cs="Arial"/>
          <w:color w:val="000000"/>
          <w:sz w:val="18"/>
          <w:szCs w:val="18"/>
          <w:lang w:val="x-none"/>
        </w:rPr>
        <w:tab/>
        <w:t>całkowitego, stałego odcięcia dopływu wód gruntowych do projektowanego wykopu z pozostawieniem ścianki w wykopie w celu zastąpienia drenażu poziomego i pionowego,</w:t>
      </w:r>
    </w:p>
    <w:p w14:paraId="594FE2DA"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b)</w:t>
      </w:r>
      <w:r>
        <w:rPr>
          <w:rFonts w:ascii="Arial" w:hAnsi="Arial" w:cs="Arial"/>
          <w:color w:val="000000"/>
          <w:sz w:val="18"/>
          <w:szCs w:val="18"/>
          <w:lang w:val="x-none"/>
        </w:rPr>
        <w:tab/>
        <w:t>zmniejszenia dopływu wód gruntowych do wykopu w celu umożliwienia wykonania stabilizacji podłoża, ułożenia drenażu poziomego, ułożenia przewodu, zastępując drenaż pionowy,</w:t>
      </w:r>
    </w:p>
    <w:p w14:paraId="68BEA972"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c)</w:t>
      </w:r>
      <w:r>
        <w:rPr>
          <w:rFonts w:ascii="Arial" w:hAnsi="Arial" w:cs="Arial"/>
          <w:color w:val="000000"/>
          <w:sz w:val="18"/>
          <w:szCs w:val="18"/>
          <w:lang w:val="x-none"/>
        </w:rPr>
        <w:tab/>
        <w:t>rozparcia ścian wykopu w gruntach nawodnionych o głębokości powyżej 6 m i szerokości wykopu w dnie powyżej 2 m,</w:t>
      </w:r>
    </w:p>
    <w:p w14:paraId="75777BF6"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lastRenderedPageBreak/>
        <w:t>d)</w:t>
      </w:r>
      <w:r>
        <w:rPr>
          <w:rFonts w:ascii="Arial" w:hAnsi="Arial" w:cs="Arial"/>
          <w:color w:val="000000"/>
          <w:sz w:val="18"/>
          <w:szCs w:val="18"/>
          <w:lang w:val="x-none"/>
        </w:rPr>
        <w:tab/>
        <w:t>zabezpieczenia budowli w zasięgu klina odłamu ściany wykopu, z pozostawieniem ścianki w wykopie; zastosowanie ścianek szczelnych w przypadkach opisanych w a) i b) powinno być uzasadnione analizą techniczno-ekonomiczną, a wykonanie ich zgodne z projektem.</w:t>
      </w:r>
    </w:p>
    <w:p w14:paraId="03DB8EBF" w14:textId="77777777" w:rsidR="000A3B2B" w:rsidRDefault="000A3B2B" w:rsidP="000E4A55">
      <w:pPr>
        <w:autoSpaceDE w:val="0"/>
        <w:autoSpaceDN w:val="0"/>
        <w:adjustRightInd w:val="0"/>
        <w:spacing w:after="30" w:line="240" w:lineRule="auto"/>
        <w:jc w:val="both"/>
        <w:rPr>
          <w:rFonts w:ascii="Arial" w:hAnsi="Arial" w:cs="Arial"/>
          <w:b/>
          <w:bCs/>
          <w:color w:val="000000"/>
          <w:sz w:val="18"/>
          <w:szCs w:val="18"/>
          <w:lang w:val="x-none"/>
        </w:rPr>
      </w:pPr>
      <w:r>
        <w:rPr>
          <w:rFonts w:ascii="Arial" w:hAnsi="Arial" w:cs="Arial"/>
          <w:b/>
          <w:bCs/>
          <w:color w:val="000000"/>
          <w:sz w:val="18"/>
          <w:szCs w:val="18"/>
          <w:lang w:val="x-none"/>
        </w:rPr>
        <w:t>5.4.4.</w:t>
      </w:r>
      <w:r>
        <w:rPr>
          <w:rFonts w:ascii="Arial" w:hAnsi="Arial" w:cs="Arial"/>
          <w:b/>
          <w:bCs/>
          <w:color w:val="000000"/>
          <w:sz w:val="18"/>
          <w:szCs w:val="18"/>
          <w:lang w:val="x-none"/>
        </w:rPr>
        <w:tab/>
        <w:t>Igłofiltry pionowe</w:t>
      </w:r>
    </w:p>
    <w:p w14:paraId="18FFEAF7"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Filtry igłowe są małymi rurami perforowanymi w dolnej części, które są wpłukiwane w grunt za pomocą silnego strumienia wody (woda jest wpompowywana przez rurę w grunt). Zainstalowany w dnie rury zawór pozwala wypływać wodzie z rury podczas wpłukiwania a uniemożliwia przedostawanie się wody przez dno rury podczas odwadniania. Na ogół otoczenie igłofiltru jest wypełnione gruboziarnistym piaskiem tak, ze pracuje on jak uwarstwiony filtr. Igłofiltry są zwykle instalowane równolegle obok planowanej linii wykopu w typowych odstępach od 0,6 m do 3,0 m w zależności od rodzaju gruntu i warunków gruntowo-wodnych. Mogą być zastosowane po jednej lub po obu stronach wykopu.</w:t>
      </w:r>
    </w:p>
    <w:p w14:paraId="2CE5B456"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Po zainstalowaniu górne końce igłofiltrów podłącza się do pompy próżniowej. Woda gruntowa wpływa do wnętrza igłofiltru poprzez otwory perforacyjne.</w:t>
      </w:r>
    </w:p>
    <w:p w14:paraId="03442056" w14:textId="77777777" w:rsidR="000A3B2B" w:rsidRDefault="000A3B2B" w:rsidP="000E4A5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5.4.5.</w:t>
      </w:r>
      <w:r>
        <w:rPr>
          <w:rFonts w:ascii="Arial" w:hAnsi="Arial" w:cs="Arial"/>
          <w:b/>
          <w:bCs/>
          <w:color w:val="000000"/>
          <w:sz w:val="18"/>
          <w:szCs w:val="18"/>
          <w:lang w:val="x-none"/>
        </w:rPr>
        <w:tab/>
        <w:t>Igłofiltry poziome</w:t>
      </w:r>
    </w:p>
    <w:p w14:paraId="67993598"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Perforowane rury tworzywowe mogą być wprowadzone w grunt za pomocą maszyn do wykonywania wykopów lub metodami </w:t>
      </w:r>
      <w:proofErr w:type="spellStart"/>
      <w:r>
        <w:rPr>
          <w:rFonts w:ascii="Arial" w:hAnsi="Arial" w:cs="Arial"/>
          <w:color w:val="000000"/>
          <w:sz w:val="18"/>
          <w:szCs w:val="18"/>
          <w:lang w:val="x-none"/>
        </w:rPr>
        <w:t>bezwykopowymi</w:t>
      </w:r>
      <w:proofErr w:type="spellEnd"/>
      <w:r>
        <w:rPr>
          <w:rFonts w:ascii="Arial" w:hAnsi="Arial" w:cs="Arial"/>
          <w:color w:val="000000"/>
          <w:sz w:val="18"/>
          <w:szCs w:val="18"/>
          <w:lang w:val="x-none"/>
        </w:rPr>
        <w:t>, takimi jak wiercenie kierunkowe. Rury są instalowane poziomo w linii równoległej do planowanego wykopu po jednej lub po obu jego stronach i poniżej planowanego dna wykopu. Końce rur są podłączone do pomp próżniowych w ten sam sposób jak w przypadku igłofiltrów pionowych.</w:t>
      </w:r>
    </w:p>
    <w:p w14:paraId="7BA9E474"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Wykonanie odwodnienia za pomocą igłofiltrów powinno być zgodne z dokumentacją projektową.</w:t>
      </w:r>
    </w:p>
    <w:p w14:paraId="3FAE3DFC"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p>
    <w:p w14:paraId="1A8CD287" w14:textId="77777777" w:rsidR="000A3B2B" w:rsidRDefault="000A3B2B" w:rsidP="000E4A5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5.5.</w:t>
      </w:r>
      <w:r>
        <w:rPr>
          <w:rFonts w:ascii="Arial" w:hAnsi="Arial" w:cs="Arial"/>
          <w:b/>
          <w:bCs/>
          <w:color w:val="000000"/>
          <w:sz w:val="18"/>
          <w:szCs w:val="18"/>
          <w:lang w:val="x-none"/>
        </w:rPr>
        <w:tab/>
        <w:t>Podłoża</w:t>
      </w:r>
    </w:p>
    <w:p w14:paraId="277540B0"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Rodzaj podłoża zależy od rodzaju gruntu w wykopie i materiału układanego przewodu. Stosuje się podłoża naturalne, tj. nienaruszony grunt sypki i podłoża wzmocnione takie jak: piaskowe, żwirowo-piaskowe, tłuczniowo-piaskowe, betonowe, mieszane – zgodnie z dokumentacją projektową.</w:t>
      </w:r>
    </w:p>
    <w:p w14:paraId="583F69E4"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p>
    <w:p w14:paraId="13CE3463" w14:textId="77777777" w:rsidR="000A3B2B" w:rsidRDefault="000A3B2B" w:rsidP="000E4A5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5.6.</w:t>
      </w:r>
      <w:r>
        <w:rPr>
          <w:rFonts w:ascii="Arial" w:hAnsi="Arial" w:cs="Arial"/>
          <w:b/>
          <w:bCs/>
          <w:color w:val="000000"/>
          <w:sz w:val="18"/>
          <w:szCs w:val="18"/>
          <w:lang w:val="x-none"/>
        </w:rPr>
        <w:tab/>
        <w:t>Zasypka wykopów</w:t>
      </w:r>
    </w:p>
    <w:p w14:paraId="68BC644C" w14:textId="77777777" w:rsidR="000A3B2B" w:rsidRDefault="000A3B2B" w:rsidP="000E4A55">
      <w:pPr>
        <w:autoSpaceDE w:val="0"/>
        <w:autoSpaceDN w:val="0"/>
        <w:adjustRightInd w:val="0"/>
        <w:spacing w:after="30" w:line="240" w:lineRule="auto"/>
        <w:jc w:val="both"/>
        <w:rPr>
          <w:rFonts w:ascii="Arial" w:hAnsi="Arial" w:cs="Arial"/>
          <w:b/>
          <w:bCs/>
          <w:color w:val="000000"/>
          <w:sz w:val="18"/>
          <w:szCs w:val="18"/>
          <w:lang w:val="x-none"/>
        </w:rPr>
      </w:pPr>
      <w:r>
        <w:rPr>
          <w:rFonts w:ascii="Arial" w:hAnsi="Arial" w:cs="Arial"/>
          <w:b/>
          <w:bCs/>
          <w:color w:val="000000"/>
          <w:sz w:val="18"/>
          <w:szCs w:val="18"/>
          <w:lang w:val="x-none"/>
        </w:rPr>
        <w:t>Warstwa ochronna zasypki</w:t>
      </w:r>
    </w:p>
    <w:p w14:paraId="1E60A981"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Użyty materiał i sposób zasypania przewodu nie powinny spowodować uszkodzenia ułożonego przewodu i obiektów na przewodzie oraz izolacji </w:t>
      </w:r>
      <w:proofErr w:type="spellStart"/>
      <w:r>
        <w:rPr>
          <w:rFonts w:ascii="Arial" w:hAnsi="Arial" w:cs="Arial"/>
          <w:color w:val="000000"/>
          <w:sz w:val="18"/>
          <w:szCs w:val="18"/>
          <w:lang w:val="x-none"/>
        </w:rPr>
        <w:t>wodoochronnej</w:t>
      </w:r>
      <w:proofErr w:type="spellEnd"/>
      <w:r>
        <w:rPr>
          <w:rFonts w:ascii="Arial" w:hAnsi="Arial" w:cs="Arial"/>
          <w:color w:val="000000"/>
          <w:sz w:val="18"/>
          <w:szCs w:val="18"/>
          <w:lang w:val="x-none"/>
        </w:rPr>
        <w:t>, przeciwwilgociowej i cieplnej. Grubość warstwy ochronnej zasypki strefy niebezpiecznej ponad wierzch przewodu lub rury powinna wynosić co najmniej 0,5 m. Materiałem zasypki w obrębie strefy niebezpiecznej powinien być grunt nieskalisty, bez grud i kamieni, mineralny, sypki, drobno lub średnioziarnisty wg PN-B-02481:1998. Materiał zasypki w obrębie strefy niebezpiecznej powinien być zagęszczony ubijakiem po obu stronach przewodu lub hydraulicznie w przypadku zasypki materiałem sypkim.</w:t>
      </w:r>
    </w:p>
    <w:p w14:paraId="7D5370EF" w14:textId="77777777" w:rsidR="000A3B2B" w:rsidRDefault="000A3B2B" w:rsidP="000E4A55">
      <w:pPr>
        <w:autoSpaceDE w:val="0"/>
        <w:autoSpaceDN w:val="0"/>
        <w:adjustRightInd w:val="0"/>
        <w:spacing w:after="30" w:line="240" w:lineRule="auto"/>
        <w:jc w:val="both"/>
        <w:rPr>
          <w:rFonts w:ascii="Arial" w:hAnsi="Arial" w:cs="Arial"/>
          <w:b/>
          <w:bCs/>
          <w:color w:val="000000"/>
          <w:sz w:val="18"/>
          <w:szCs w:val="18"/>
          <w:lang w:val="x-none"/>
        </w:rPr>
      </w:pPr>
      <w:r>
        <w:rPr>
          <w:rFonts w:ascii="Arial" w:hAnsi="Arial" w:cs="Arial"/>
          <w:b/>
          <w:bCs/>
          <w:color w:val="000000"/>
          <w:sz w:val="18"/>
          <w:szCs w:val="18"/>
          <w:lang w:val="x-none"/>
        </w:rPr>
        <w:t>Zasypka przewodu</w:t>
      </w:r>
    </w:p>
    <w:p w14:paraId="05206E13"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Do powierzchni terenu lub wymaganej rzędnej powinna być wykonana zasypka przewodu przy zachowaniu zagęszczenia gruntu według projektu. W przypadku nieokreślenia wskaźnika zagęszczenia powinien on wynosić co najmniej I</w:t>
      </w:r>
      <w:r>
        <w:rPr>
          <w:rFonts w:ascii="Arial" w:hAnsi="Arial" w:cs="Arial"/>
          <w:color w:val="000000"/>
          <w:position w:val="-2"/>
          <w:sz w:val="8"/>
          <w:szCs w:val="8"/>
          <w:lang w:val="x-none"/>
        </w:rPr>
        <w:t>s</w:t>
      </w:r>
      <w:r>
        <w:rPr>
          <w:rFonts w:ascii="Arial" w:hAnsi="Arial" w:cs="Arial"/>
          <w:color w:val="000000"/>
          <w:sz w:val="18"/>
          <w:szCs w:val="18"/>
          <w:lang w:val="x-none"/>
        </w:rPr>
        <w:t>=1.</w:t>
      </w:r>
    </w:p>
    <w:p w14:paraId="482B7C15"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 przypadku prowadzenia robót ziemnych w istniejącej drodze o nawierzchni ulepszonej i trudności osiągnięcia wskaźnika zagęszczenia gruntu co najmniej I</w:t>
      </w:r>
      <w:r>
        <w:rPr>
          <w:rFonts w:ascii="Arial" w:hAnsi="Arial" w:cs="Arial"/>
          <w:color w:val="000000"/>
          <w:position w:val="-2"/>
          <w:sz w:val="8"/>
          <w:szCs w:val="8"/>
          <w:lang w:val="x-none"/>
        </w:rPr>
        <w:t>s</w:t>
      </w:r>
      <w:r>
        <w:rPr>
          <w:rFonts w:ascii="Arial" w:hAnsi="Arial" w:cs="Arial"/>
          <w:color w:val="000000"/>
          <w:sz w:val="18"/>
          <w:szCs w:val="18"/>
          <w:lang w:val="x-none"/>
        </w:rPr>
        <w:t>=1, należy zastąpić górną warstwę zasypki wzmocnioną podbudową drogi.</w:t>
      </w:r>
    </w:p>
    <w:p w14:paraId="47441FC6" w14:textId="77777777" w:rsidR="000A3B2B" w:rsidRDefault="000A3B2B" w:rsidP="000E4A55">
      <w:pPr>
        <w:autoSpaceDE w:val="0"/>
        <w:autoSpaceDN w:val="0"/>
        <w:adjustRightInd w:val="0"/>
        <w:spacing w:after="30" w:line="240" w:lineRule="auto"/>
        <w:jc w:val="both"/>
        <w:rPr>
          <w:rFonts w:ascii="Arial" w:hAnsi="Arial" w:cs="Arial"/>
          <w:b/>
          <w:bCs/>
          <w:color w:val="000000"/>
          <w:sz w:val="18"/>
          <w:szCs w:val="18"/>
          <w:lang w:val="x-none"/>
        </w:rPr>
      </w:pPr>
      <w:r>
        <w:rPr>
          <w:rFonts w:ascii="Arial" w:hAnsi="Arial" w:cs="Arial"/>
          <w:b/>
          <w:bCs/>
          <w:color w:val="000000"/>
          <w:sz w:val="18"/>
          <w:szCs w:val="18"/>
          <w:lang w:val="x-none"/>
        </w:rPr>
        <w:t>Zagęszczenie gruntu użytego do zasypki</w:t>
      </w:r>
    </w:p>
    <w:p w14:paraId="1B83C939"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Zagęszczanie gruntu powinno być wykonane warstwami. Każda warstwa powinna być zagęszczona do wskaźnika zagęszczenia określonego w projekcie. Grubość warstw nie powinna być większa niż:</w:t>
      </w:r>
    </w:p>
    <w:p w14:paraId="29CB3E77"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a)</w:t>
      </w:r>
      <w:r>
        <w:rPr>
          <w:rFonts w:ascii="Arial" w:hAnsi="Arial" w:cs="Arial"/>
          <w:color w:val="000000"/>
          <w:sz w:val="18"/>
          <w:szCs w:val="18"/>
          <w:lang w:val="x-none"/>
        </w:rPr>
        <w:tab/>
        <w:t>0,15 m przy zagęszczaniu ręcznym,</w:t>
      </w:r>
    </w:p>
    <w:p w14:paraId="75281BE4"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b)</w:t>
      </w:r>
      <w:r>
        <w:rPr>
          <w:rFonts w:ascii="Arial" w:hAnsi="Arial" w:cs="Arial"/>
          <w:color w:val="000000"/>
          <w:sz w:val="18"/>
          <w:szCs w:val="18"/>
          <w:lang w:val="x-none"/>
        </w:rPr>
        <w:tab/>
        <w:t>0,30 m przy zagęszczaniu mechanicznym.</w:t>
      </w:r>
    </w:p>
    <w:p w14:paraId="1EC2F0AB"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Uzyskanie prawidłowego zagęszczenia gruntu wymaga zachowania optymalnej wilgotności gruntu, określonej w PN-B-02481:1998.</w:t>
      </w:r>
    </w:p>
    <w:p w14:paraId="379786E5"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Wilgotność zagęszczanego gruntu powinna być równa optymalnej lub powinna wynosić co najmniej 80% jej wartości. Odchylenie wskaźnika zagęszczenia gruntu nie powinno być większe niż 2%.</w:t>
      </w:r>
    </w:p>
    <w:p w14:paraId="4B1ED090"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 xml:space="preserve">Wszystkie roboty powinny być wykonywane zgodnie z odpowiednimi normami oraz </w:t>
      </w:r>
      <w:proofErr w:type="spellStart"/>
      <w:r>
        <w:rPr>
          <w:rFonts w:ascii="Arial" w:hAnsi="Arial" w:cs="Arial"/>
          <w:color w:val="000000"/>
          <w:sz w:val="18"/>
          <w:szCs w:val="18"/>
          <w:lang w:val="x-none"/>
        </w:rPr>
        <w:t>WTWiO</w:t>
      </w:r>
      <w:proofErr w:type="spellEnd"/>
      <w:r>
        <w:rPr>
          <w:rFonts w:ascii="Arial" w:hAnsi="Arial" w:cs="Arial"/>
          <w:color w:val="000000"/>
          <w:sz w:val="18"/>
          <w:szCs w:val="18"/>
          <w:lang w:val="x-none"/>
        </w:rPr>
        <w:t xml:space="preserve"> dotyczącymi robót ziemnych, sieci wodociągowych, kanalizacyjnych i ciepłowniczych.</w:t>
      </w:r>
    </w:p>
    <w:p w14:paraId="78340830"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p>
    <w:p w14:paraId="7F2B1E82" w14:textId="77777777" w:rsidR="000A3B2B" w:rsidRDefault="000A3B2B" w:rsidP="000E4A55">
      <w:pPr>
        <w:autoSpaceDE w:val="0"/>
        <w:autoSpaceDN w:val="0"/>
        <w:adjustRightInd w:val="0"/>
        <w:spacing w:before="225" w:after="12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6.</w:t>
      </w:r>
      <w:r>
        <w:rPr>
          <w:rFonts w:ascii="Arial" w:hAnsi="Arial" w:cs="Arial"/>
          <w:b/>
          <w:bCs/>
          <w:color w:val="000000"/>
          <w:sz w:val="18"/>
          <w:szCs w:val="18"/>
          <w:lang w:val="x-none"/>
        </w:rPr>
        <w:tab/>
        <w:t>KONTROLA JAKOŚCI ROBÓT</w:t>
      </w:r>
    </w:p>
    <w:p w14:paraId="343E51D8" w14:textId="77777777" w:rsidR="000A3B2B" w:rsidRDefault="000A3B2B" w:rsidP="000E4A5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6.1.</w:t>
      </w:r>
      <w:r>
        <w:rPr>
          <w:rFonts w:ascii="Arial" w:hAnsi="Arial" w:cs="Arial"/>
          <w:b/>
          <w:bCs/>
          <w:color w:val="000000"/>
          <w:sz w:val="18"/>
          <w:szCs w:val="18"/>
          <w:lang w:val="x-none"/>
        </w:rPr>
        <w:tab/>
        <w:t>Ogólne zasady kontroli jakości robót podane zostały w ST „Wymagania ogólne” Kod CPV 45000000-7, pkt 6</w:t>
      </w:r>
    </w:p>
    <w:p w14:paraId="55D6A59B"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p>
    <w:p w14:paraId="269C18DB" w14:textId="77777777" w:rsidR="000A3B2B" w:rsidRDefault="000A3B2B" w:rsidP="000E4A5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6.2.</w:t>
      </w:r>
      <w:r>
        <w:rPr>
          <w:rFonts w:ascii="Arial" w:hAnsi="Arial" w:cs="Arial"/>
          <w:b/>
          <w:bCs/>
          <w:color w:val="000000"/>
          <w:sz w:val="18"/>
          <w:szCs w:val="18"/>
          <w:lang w:val="x-none"/>
        </w:rPr>
        <w:tab/>
        <w:t>Badania i pomiary w czasie wykonywania robót</w:t>
      </w:r>
    </w:p>
    <w:p w14:paraId="4D725277" w14:textId="77777777" w:rsidR="000A3B2B" w:rsidRDefault="000A3B2B" w:rsidP="000E4A5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lastRenderedPageBreak/>
        <w:t>6.2.1.</w:t>
      </w:r>
      <w:r>
        <w:rPr>
          <w:rFonts w:ascii="Arial" w:hAnsi="Arial" w:cs="Arial"/>
          <w:b/>
          <w:bCs/>
          <w:color w:val="000000"/>
          <w:sz w:val="18"/>
          <w:szCs w:val="18"/>
          <w:lang w:val="x-none"/>
        </w:rPr>
        <w:tab/>
        <w:t>Sprawdzenie odwodnienia</w:t>
      </w:r>
    </w:p>
    <w:p w14:paraId="35D26EF5"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Sprawdzenie odwodnienia wykopu ziemnego polega na kontroli zgodności z wymaganiami specyfikacji określonymi w pkt. 5 oraz z dokumentacją projektową.</w:t>
      </w:r>
    </w:p>
    <w:p w14:paraId="64F76AAB"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Szczególną uwagę należy zwrócić na:</w:t>
      </w:r>
    </w:p>
    <w:p w14:paraId="02C40EC5"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właściwe ujęcie i odprowadzenie wód opadowych,</w:t>
      </w:r>
    </w:p>
    <w:p w14:paraId="36775D94"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właściwe ujęcie i odprowadzenie wysięków wodnych.</w:t>
      </w:r>
    </w:p>
    <w:p w14:paraId="1C4DD195" w14:textId="77777777" w:rsidR="000A3B2B" w:rsidRDefault="000A3B2B" w:rsidP="000E4A5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6.2.2.</w:t>
      </w:r>
      <w:r>
        <w:rPr>
          <w:rFonts w:ascii="Arial" w:hAnsi="Arial" w:cs="Arial"/>
          <w:b/>
          <w:bCs/>
          <w:color w:val="000000"/>
          <w:sz w:val="18"/>
          <w:szCs w:val="18"/>
          <w:lang w:val="x-none"/>
        </w:rPr>
        <w:tab/>
        <w:t>Częstotliwość oraz zakres badań i pomiarów</w:t>
      </w:r>
    </w:p>
    <w:p w14:paraId="706E114D"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Częstotliwość oraz zakres badań i pomiarów do odbioru wykopu ziemnego podaje tablica 4.</w:t>
      </w:r>
    </w:p>
    <w:p w14:paraId="499A9E73" w14:textId="77777777" w:rsidR="000A3B2B" w:rsidRDefault="000A3B2B" w:rsidP="000E4A55">
      <w:pPr>
        <w:autoSpaceDE w:val="0"/>
        <w:autoSpaceDN w:val="0"/>
        <w:adjustRightInd w:val="0"/>
        <w:spacing w:before="60" w:after="30" w:line="240" w:lineRule="auto"/>
        <w:jc w:val="right"/>
        <w:rPr>
          <w:rFonts w:ascii="Arial" w:hAnsi="Arial" w:cs="Arial"/>
          <w:b/>
          <w:bCs/>
          <w:color w:val="000000"/>
          <w:sz w:val="18"/>
          <w:szCs w:val="18"/>
          <w:lang w:val="x-none"/>
        </w:rPr>
      </w:pPr>
      <w:r>
        <w:rPr>
          <w:rFonts w:ascii="Arial" w:hAnsi="Arial" w:cs="Arial"/>
          <w:b/>
          <w:bCs/>
          <w:color w:val="000000"/>
          <w:sz w:val="18"/>
          <w:szCs w:val="18"/>
          <w:lang w:val="x-none"/>
        </w:rPr>
        <w:t>Tablica nr 4</w:t>
      </w:r>
    </w:p>
    <w:tbl>
      <w:tblPr>
        <w:tblW w:w="0" w:type="auto"/>
        <w:tblCellSpacing w:w="0" w:type="dxa"/>
        <w:tblInd w:w="-8" w:type="dxa"/>
        <w:tblLayout w:type="fixed"/>
        <w:tblCellMar>
          <w:left w:w="0" w:type="dxa"/>
          <w:right w:w="0" w:type="dxa"/>
        </w:tblCellMar>
        <w:tblLook w:val="0000" w:firstRow="0" w:lastRow="0" w:firstColumn="0" w:lastColumn="0" w:noHBand="0" w:noVBand="0"/>
      </w:tblPr>
      <w:tblGrid>
        <w:gridCol w:w="382"/>
        <w:gridCol w:w="4306"/>
        <w:gridCol w:w="4694"/>
      </w:tblGrid>
      <w:tr w:rsidR="000A3B2B" w14:paraId="236DA5DF" w14:textId="77777777">
        <w:trPr>
          <w:trHeight w:val="60"/>
          <w:tblCellSpacing w:w="0" w:type="dxa"/>
        </w:trPr>
        <w:tc>
          <w:tcPr>
            <w:tcW w:w="382" w:type="dxa"/>
            <w:tcBorders>
              <w:top w:val="single" w:sz="6" w:space="0" w:color="000000"/>
              <w:left w:val="single" w:sz="6" w:space="0" w:color="000000"/>
              <w:bottom w:val="single" w:sz="6" w:space="0" w:color="000000"/>
              <w:right w:val="single" w:sz="6" w:space="0" w:color="000000"/>
            </w:tcBorders>
            <w:shd w:val="clear" w:color="auto" w:fill="CBCBCB"/>
            <w:vAlign w:val="center"/>
          </w:tcPr>
          <w:p w14:paraId="4BBD75C6" w14:textId="77777777" w:rsidR="000A3B2B" w:rsidRDefault="000A3B2B">
            <w:pPr>
              <w:autoSpaceDE w:val="0"/>
              <w:autoSpaceDN w:val="0"/>
              <w:adjustRightInd w:val="0"/>
              <w:spacing w:after="30" w:line="240" w:lineRule="auto"/>
              <w:jc w:val="center"/>
              <w:rPr>
                <w:rFonts w:ascii="Arial" w:hAnsi="Arial" w:cs="Arial"/>
                <w:b/>
                <w:bCs/>
                <w:color w:val="000000"/>
                <w:sz w:val="18"/>
                <w:szCs w:val="18"/>
                <w:lang w:val="x-none"/>
              </w:rPr>
            </w:pPr>
            <w:r>
              <w:rPr>
                <w:rFonts w:ascii="Arial" w:hAnsi="Arial" w:cs="Arial"/>
                <w:b/>
                <w:bCs/>
                <w:color w:val="000000"/>
                <w:sz w:val="18"/>
                <w:szCs w:val="18"/>
                <w:lang w:val="x-none"/>
              </w:rPr>
              <w:t>Lp.</w:t>
            </w:r>
          </w:p>
        </w:tc>
        <w:tc>
          <w:tcPr>
            <w:tcW w:w="4306" w:type="dxa"/>
            <w:tcBorders>
              <w:top w:val="single" w:sz="6" w:space="0" w:color="000000"/>
              <w:left w:val="single" w:sz="6" w:space="0" w:color="000000"/>
              <w:bottom w:val="single" w:sz="6" w:space="0" w:color="000000"/>
              <w:right w:val="single" w:sz="6" w:space="0" w:color="000000"/>
            </w:tcBorders>
            <w:shd w:val="clear" w:color="auto" w:fill="CBCBCB"/>
            <w:vAlign w:val="center"/>
          </w:tcPr>
          <w:p w14:paraId="3E5BF828" w14:textId="77777777" w:rsidR="000A3B2B" w:rsidRDefault="000A3B2B">
            <w:pPr>
              <w:autoSpaceDE w:val="0"/>
              <w:autoSpaceDN w:val="0"/>
              <w:adjustRightInd w:val="0"/>
              <w:spacing w:after="30" w:line="240" w:lineRule="auto"/>
              <w:jc w:val="center"/>
              <w:rPr>
                <w:rFonts w:ascii="Arial" w:hAnsi="Arial" w:cs="Arial"/>
                <w:b/>
                <w:bCs/>
                <w:color w:val="000000"/>
                <w:sz w:val="18"/>
                <w:szCs w:val="18"/>
                <w:lang w:val="x-none"/>
              </w:rPr>
            </w:pPr>
            <w:r>
              <w:rPr>
                <w:rFonts w:ascii="Arial" w:hAnsi="Arial" w:cs="Arial"/>
                <w:b/>
                <w:bCs/>
                <w:color w:val="000000"/>
                <w:sz w:val="18"/>
                <w:szCs w:val="18"/>
                <w:lang w:val="x-none"/>
              </w:rPr>
              <w:t>Badana cecha</w:t>
            </w:r>
          </w:p>
        </w:tc>
        <w:tc>
          <w:tcPr>
            <w:tcW w:w="4694" w:type="dxa"/>
            <w:tcBorders>
              <w:top w:val="single" w:sz="6" w:space="0" w:color="000000"/>
              <w:left w:val="single" w:sz="6" w:space="0" w:color="000000"/>
              <w:bottom w:val="single" w:sz="6" w:space="0" w:color="000000"/>
              <w:right w:val="single" w:sz="6" w:space="0" w:color="000000"/>
            </w:tcBorders>
            <w:shd w:val="clear" w:color="auto" w:fill="CBCBCB"/>
            <w:vAlign w:val="center"/>
          </w:tcPr>
          <w:p w14:paraId="694BFE74" w14:textId="77777777" w:rsidR="000A3B2B" w:rsidRDefault="000A3B2B">
            <w:pPr>
              <w:autoSpaceDE w:val="0"/>
              <w:autoSpaceDN w:val="0"/>
              <w:adjustRightInd w:val="0"/>
              <w:spacing w:after="30" w:line="240" w:lineRule="auto"/>
              <w:jc w:val="center"/>
              <w:rPr>
                <w:rFonts w:ascii="Arial" w:hAnsi="Arial" w:cs="Arial"/>
                <w:b/>
                <w:bCs/>
                <w:color w:val="000000"/>
                <w:sz w:val="18"/>
                <w:szCs w:val="18"/>
                <w:lang w:val="x-none"/>
              </w:rPr>
            </w:pPr>
            <w:r>
              <w:rPr>
                <w:rFonts w:ascii="Arial" w:hAnsi="Arial" w:cs="Arial"/>
                <w:b/>
                <w:bCs/>
                <w:color w:val="000000"/>
                <w:sz w:val="18"/>
                <w:szCs w:val="18"/>
                <w:lang w:val="x-none"/>
              </w:rPr>
              <w:t>Minimalna częstotliwość badań i pomiarów</w:t>
            </w:r>
          </w:p>
        </w:tc>
      </w:tr>
      <w:tr w:rsidR="000A3B2B" w14:paraId="47DA635D" w14:textId="77777777">
        <w:trPr>
          <w:trHeight w:val="60"/>
          <w:tblCellSpacing w:w="0" w:type="dxa"/>
        </w:trPr>
        <w:tc>
          <w:tcPr>
            <w:tcW w:w="382" w:type="dxa"/>
            <w:tcBorders>
              <w:top w:val="single" w:sz="6" w:space="0" w:color="000000"/>
              <w:left w:val="single" w:sz="6" w:space="0" w:color="000000"/>
              <w:bottom w:val="single" w:sz="6" w:space="0" w:color="000000"/>
              <w:right w:val="single" w:sz="6" w:space="0" w:color="000000"/>
            </w:tcBorders>
          </w:tcPr>
          <w:p w14:paraId="40812DE9"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1.</w:t>
            </w:r>
          </w:p>
        </w:tc>
        <w:tc>
          <w:tcPr>
            <w:tcW w:w="4306" w:type="dxa"/>
            <w:tcBorders>
              <w:top w:val="single" w:sz="6" w:space="0" w:color="000000"/>
              <w:left w:val="single" w:sz="6" w:space="0" w:color="000000"/>
              <w:bottom w:val="single" w:sz="6" w:space="0" w:color="000000"/>
              <w:right w:val="single" w:sz="6" w:space="0" w:color="000000"/>
            </w:tcBorders>
          </w:tcPr>
          <w:p w14:paraId="36CB0B94"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Pomiar szerokości wykopu ziemnego</w:t>
            </w:r>
          </w:p>
        </w:tc>
        <w:tc>
          <w:tcPr>
            <w:tcW w:w="4694" w:type="dxa"/>
            <w:vMerge w:val="restart"/>
            <w:tcBorders>
              <w:top w:val="single" w:sz="6" w:space="0" w:color="000000"/>
              <w:left w:val="single" w:sz="6" w:space="0" w:color="000000"/>
              <w:bottom w:val="single" w:sz="6" w:space="0" w:color="000000"/>
              <w:right w:val="single" w:sz="6" w:space="0" w:color="000000"/>
            </w:tcBorders>
          </w:tcPr>
          <w:p w14:paraId="2687EEA1"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Pomiar taśmą, szablonem, łatą o długości 3 m  i poziomicą lub niwelatorem, w odstępach co 20 m</w:t>
            </w:r>
          </w:p>
        </w:tc>
      </w:tr>
      <w:tr w:rsidR="000A3B2B" w14:paraId="46AA4484" w14:textId="77777777">
        <w:trPr>
          <w:trHeight w:val="60"/>
          <w:tblCellSpacing w:w="0" w:type="dxa"/>
        </w:trPr>
        <w:tc>
          <w:tcPr>
            <w:tcW w:w="382" w:type="dxa"/>
            <w:tcBorders>
              <w:top w:val="single" w:sz="6" w:space="0" w:color="000000"/>
              <w:left w:val="single" w:sz="6" w:space="0" w:color="000000"/>
              <w:bottom w:val="single" w:sz="6" w:space="0" w:color="000000"/>
              <w:right w:val="single" w:sz="6" w:space="0" w:color="000000"/>
            </w:tcBorders>
          </w:tcPr>
          <w:p w14:paraId="2022CE90"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2.</w:t>
            </w:r>
          </w:p>
        </w:tc>
        <w:tc>
          <w:tcPr>
            <w:tcW w:w="4306" w:type="dxa"/>
            <w:tcBorders>
              <w:top w:val="single" w:sz="6" w:space="0" w:color="000000"/>
              <w:left w:val="single" w:sz="6" w:space="0" w:color="000000"/>
              <w:bottom w:val="single" w:sz="6" w:space="0" w:color="000000"/>
              <w:right w:val="single" w:sz="6" w:space="0" w:color="000000"/>
            </w:tcBorders>
          </w:tcPr>
          <w:p w14:paraId="725B33BD"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Pomiar szerokości dna wykopu</w:t>
            </w:r>
          </w:p>
        </w:tc>
        <w:tc>
          <w:tcPr>
            <w:tcW w:w="4694" w:type="dxa"/>
            <w:vMerge/>
            <w:tcBorders>
              <w:top w:val="single" w:sz="6" w:space="0" w:color="000000"/>
              <w:left w:val="single" w:sz="6" w:space="0" w:color="000000"/>
              <w:bottom w:val="single" w:sz="6" w:space="0" w:color="000000"/>
              <w:right w:val="single" w:sz="6" w:space="0" w:color="000000"/>
            </w:tcBorders>
          </w:tcPr>
          <w:p w14:paraId="2FDCDA2A" w14:textId="77777777" w:rsidR="000A3B2B" w:rsidRDefault="000A3B2B">
            <w:pPr>
              <w:autoSpaceDE w:val="0"/>
              <w:autoSpaceDN w:val="0"/>
              <w:adjustRightInd w:val="0"/>
              <w:spacing w:after="0" w:line="240" w:lineRule="auto"/>
              <w:rPr>
                <w:rFonts w:ascii="Arial" w:hAnsi="Arial" w:cs="Arial"/>
                <w:b/>
                <w:bCs/>
                <w:color w:val="000000"/>
                <w:sz w:val="18"/>
                <w:szCs w:val="18"/>
                <w:lang w:val="x-none"/>
              </w:rPr>
            </w:pPr>
          </w:p>
        </w:tc>
      </w:tr>
      <w:tr w:rsidR="000A3B2B" w14:paraId="363FD599" w14:textId="77777777">
        <w:trPr>
          <w:trHeight w:val="60"/>
          <w:tblCellSpacing w:w="0" w:type="dxa"/>
        </w:trPr>
        <w:tc>
          <w:tcPr>
            <w:tcW w:w="382" w:type="dxa"/>
            <w:tcBorders>
              <w:top w:val="single" w:sz="6" w:space="0" w:color="000000"/>
              <w:left w:val="single" w:sz="6" w:space="0" w:color="000000"/>
              <w:bottom w:val="single" w:sz="6" w:space="0" w:color="000000"/>
              <w:right w:val="single" w:sz="6" w:space="0" w:color="000000"/>
            </w:tcBorders>
          </w:tcPr>
          <w:p w14:paraId="0D134BD5"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3.</w:t>
            </w:r>
          </w:p>
        </w:tc>
        <w:tc>
          <w:tcPr>
            <w:tcW w:w="4306" w:type="dxa"/>
            <w:tcBorders>
              <w:top w:val="single" w:sz="6" w:space="0" w:color="000000"/>
              <w:left w:val="single" w:sz="6" w:space="0" w:color="000000"/>
              <w:bottom w:val="single" w:sz="6" w:space="0" w:color="000000"/>
              <w:right w:val="single" w:sz="6" w:space="0" w:color="000000"/>
            </w:tcBorders>
          </w:tcPr>
          <w:p w14:paraId="3850CF9E"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Pomiar rzędnych powierzchni wykopu ziemnego</w:t>
            </w:r>
          </w:p>
        </w:tc>
        <w:tc>
          <w:tcPr>
            <w:tcW w:w="4694" w:type="dxa"/>
            <w:vMerge/>
            <w:tcBorders>
              <w:top w:val="single" w:sz="6" w:space="0" w:color="000000"/>
              <w:left w:val="single" w:sz="6" w:space="0" w:color="000000"/>
              <w:bottom w:val="single" w:sz="6" w:space="0" w:color="000000"/>
              <w:right w:val="single" w:sz="6" w:space="0" w:color="000000"/>
            </w:tcBorders>
          </w:tcPr>
          <w:p w14:paraId="0F39C4CE" w14:textId="77777777" w:rsidR="000A3B2B" w:rsidRDefault="000A3B2B">
            <w:pPr>
              <w:autoSpaceDE w:val="0"/>
              <w:autoSpaceDN w:val="0"/>
              <w:adjustRightInd w:val="0"/>
              <w:spacing w:after="0" w:line="240" w:lineRule="auto"/>
              <w:rPr>
                <w:rFonts w:ascii="Arial" w:hAnsi="Arial" w:cs="Arial"/>
                <w:b/>
                <w:bCs/>
                <w:color w:val="000000"/>
                <w:sz w:val="18"/>
                <w:szCs w:val="18"/>
                <w:lang w:val="x-none"/>
              </w:rPr>
            </w:pPr>
          </w:p>
        </w:tc>
      </w:tr>
      <w:tr w:rsidR="000A3B2B" w14:paraId="4D5B0549" w14:textId="77777777">
        <w:trPr>
          <w:trHeight w:val="60"/>
          <w:tblCellSpacing w:w="0" w:type="dxa"/>
        </w:trPr>
        <w:tc>
          <w:tcPr>
            <w:tcW w:w="382" w:type="dxa"/>
            <w:tcBorders>
              <w:top w:val="single" w:sz="6" w:space="0" w:color="000000"/>
              <w:left w:val="single" w:sz="6" w:space="0" w:color="000000"/>
              <w:bottom w:val="single" w:sz="6" w:space="0" w:color="000000"/>
              <w:right w:val="single" w:sz="6" w:space="0" w:color="000000"/>
            </w:tcBorders>
          </w:tcPr>
          <w:p w14:paraId="49F2225A"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4.</w:t>
            </w:r>
          </w:p>
        </w:tc>
        <w:tc>
          <w:tcPr>
            <w:tcW w:w="4306" w:type="dxa"/>
            <w:tcBorders>
              <w:top w:val="single" w:sz="6" w:space="0" w:color="000000"/>
              <w:left w:val="single" w:sz="6" w:space="0" w:color="000000"/>
              <w:bottom w:val="single" w:sz="6" w:space="0" w:color="000000"/>
              <w:right w:val="single" w:sz="6" w:space="0" w:color="000000"/>
            </w:tcBorders>
          </w:tcPr>
          <w:p w14:paraId="691CB361"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Pomiar pochylenia skarp</w:t>
            </w:r>
          </w:p>
        </w:tc>
        <w:tc>
          <w:tcPr>
            <w:tcW w:w="4694" w:type="dxa"/>
            <w:vMerge/>
            <w:tcBorders>
              <w:top w:val="single" w:sz="6" w:space="0" w:color="000000"/>
              <w:left w:val="single" w:sz="6" w:space="0" w:color="000000"/>
              <w:bottom w:val="single" w:sz="6" w:space="0" w:color="000000"/>
              <w:right w:val="single" w:sz="6" w:space="0" w:color="000000"/>
            </w:tcBorders>
          </w:tcPr>
          <w:p w14:paraId="0D1A8488" w14:textId="77777777" w:rsidR="000A3B2B" w:rsidRDefault="000A3B2B">
            <w:pPr>
              <w:autoSpaceDE w:val="0"/>
              <w:autoSpaceDN w:val="0"/>
              <w:adjustRightInd w:val="0"/>
              <w:spacing w:after="0" w:line="240" w:lineRule="auto"/>
              <w:rPr>
                <w:rFonts w:ascii="Arial" w:hAnsi="Arial" w:cs="Arial"/>
                <w:b/>
                <w:bCs/>
                <w:color w:val="000000"/>
                <w:sz w:val="18"/>
                <w:szCs w:val="18"/>
                <w:lang w:val="x-none"/>
              </w:rPr>
            </w:pPr>
          </w:p>
        </w:tc>
      </w:tr>
      <w:tr w:rsidR="000A3B2B" w14:paraId="67511B7E" w14:textId="77777777">
        <w:trPr>
          <w:trHeight w:val="60"/>
          <w:tblCellSpacing w:w="0" w:type="dxa"/>
        </w:trPr>
        <w:tc>
          <w:tcPr>
            <w:tcW w:w="382" w:type="dxa"/>
            <w:tcBorders>
              <w:top w:val="single" w:sz="6" w:space="0" w:color="000000"/>
              <w:left w:val="single" w:sz="6" w:space="0" w:color="000000"/>
              <w:bottom w:val="single" w:sz="6" w:space="0" w:color="000000"/>
              <w:right w:val="single" w:sz="6" w:space="0" w:color="000000"/>
            </w:tcBorders>
          </w:tcPr>
          <w:p w14:paraId="37E69DFB"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5.</w:t>
            </w:r>
          </w:p>
        </w:tc>
        <w:tc>
          <w:tcPr>
            <w:tcW w:w="4306" w:type="dxa"/>
            <w:tcBorders>
              <w:top w:val="single" w:sz="6" w:space="0" w:color="000000"/>
              <w:left w:val="single" w:sz="6" w:space="0" w:color="000000"/>
              <w:bottom w:val="single" w:sz="6" w:space="0" w:color="000000"/>
              <w:right w:val="single" w:sz="6" w:space="0" w:color="000000"/>
            </w:tcBorders>
          </w:tcPr>
          <w:p w14:paraId="25478592"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Pomiar równości powierzchni wykopu</w:t>
            </w:r>
          </w:p>
        </w:tc>
        <w:tc>
          <w:tcPr>
            <w:tcW w:w="4694" w:type="dxa"/>
            <w:vMerge/>
            <w:tcBorders>
              <w:top w:val="single" w:sz="6" w:space="0" w:color="000000"/>
              <w:left w:val="single" w:sz="6" w:space="0" w:color="000000"/>
              <w:bottom w:val="single" w:sz="6" w:space="0" w:color="000000"/>
              <w:right w:val="single" w:sz="6" w:space="0" w:color="000000"/>
            </w:tcBorders>
          </w:tcPr>
          <w:p w14:paraId="43DBEE48" w14:textId="77777777" w:rsidR="000A3B2B" w:rsidRDefault="000A3B2B">
            <w:pPr>
              <w:autoSpaceDE w:val="0"/>
              <w:autoSpaceDN w:val="0"/>
              <w:adjustRightInd w:val="0"/>
              <w:spacing w:after="0" w:line="240" w:lineRule="auto"/>
              <w:rPr>
                <w:rFonts w:ascii="Arial" w:hAnsi="Arial" w:cs="Arial"/>
                <w:b/>
                <w:bCs/>
                <w:color w:val="000000"/>
                <w:sz w:val="18"/>
                <w:szCs w:val="18"/>
                <w:lang w:val="x-none"/>
              </w:rPr>
            </w:pPr>
          </w:p>
        </w:tc>
      </w:tr>
      <w:tr w:rsidR="000A3B2B" w14:paraId="46F0F443" w14:textId="77777777">
        <w:trPr>
          <w:trHeight w:val="60"/>
          <w:tblCellSpacing w:w="0" w:type="dxa"/>
        </w:trPr>
        <w:tc>
          <w:tcPr>
            <w:tcW w:w="382" w:type="dxa"/>
            <w:tcBorders>
              <w:top w:val="single" w:sz="6" w:space="0" w:color="000000"/>
              <w:left w:val="single" w:sz="6" w:space="0" w:color="000000"/>
              <w:bottom w:val="single" w:sz="6" w:space="0" w:color="000000"/>
              <w:right w:val="single" w:sz="6" w:space="0" w:color="000000"/>
            </w:tcBorders>
          </w:tcPr>
          <w:p w14:paraId="2D989AB9"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6.</w:t>
            </w:r>
          </w:p>
        </w:tc>
        <w:tc>
          <w:tcPr>
            <w:tcW w:w="4306" w:type="dxa"/>
            <w:tcBorders>
              <w:top w:val="single" w:sz="6" w:space="0" w:color="000000"/>
              <w:left w:val="single" w:sz="6" w:space="0" w:color="000000"/>
              <w:bottom w:val="single" w:sz="6" w:space="0" w:color="000000"/>
              <w:right w:val="single" w:sz="6" w:space="0" w:color="000000"/>
            </w:tcBorders>
          </w:tcPr>
          <w:p w14:paraId="52747EE7"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Pomiar równości skarp</w:t>
            </w:r>
          </w:p>
        </w:tc>
        <w:tc>
          <w:tcPr>
            <w:tcW w:w="4694" w:type="dxa"/>
            <w:vMerge/>
            <w:tcBorders>
              <w:top w:val="single" w:sz="6" w:space="0" w:color="000000"/>
              <w:left w:val="single" w:sz="6" w:space="0" w:color="000000"/>
              <w:bottom w:val="single" w:sz="6" w:space="0" w:color="000000"/>
              <w:right w:val="single" w:sz="6" w:space="0" w:color="000000"/>
            </w:tcBorders>
          </w:tcPr>
          <w:p w14:paraId="5A3539A2" w14:textId="77777777" w:rsidR="000A3B2B" w:rsidRDefault="000A3B2B">
            <w:pPr>
              <w:autoSpaceDE w:val="0"/>
              <w:autoSpaceDN w:val="0"/>
              <w:adjustRightInd w:val="0"/>
              <w:spacing w:after="0" w:line="240" w:lineRule="auto"/>
              <w:rPr>
                <w:rFonts w:ascii="Arial" w:hAnsi="Arial" w:cs="Arial"/>
                <w:b/>
                <w:bCs/>
                <w:color w:val="000000"/>
                <w:sz w:val="18"/>
                <w:szCs w:val="18"/>
                <w:lang w:val="x-none"/>
              </w:rPr>
            </w:pPr>
          </w:p>
        </w:tc>
      </w:tr>
      <w:tr w:rsidR="000A3B2B" w14:paraId="27E439C1" w14:textId="77777777">
        <w:trPr>
          <w:trHeight w:val="60"/>
          <w:tblCellSpacing w:w="0" w:type="dxa"/>
        </w:trPr>
        <w:tc>
          <w:tcPr>
            <w:tcW w:w="382" w:type="dxa"/>
            <w:tcBorders>
              <w:top w:val="single" w:sz="6" w:space="0" w:color="000000"/>
              <w:left w:val="single" w:sz="6" w:space="0" w:color="000000"/>
              <w:bottom w:val="single" w:sz="6" w:space="0" w:color="000000"/>
              <w:right w:val="single" w:sz="6" w:space="0" w:color="000000"/>
            </w:tcBorders>
          </w:tcPr>
          <w:p w14:paraId="24D78436"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7.</w:t>
            </w:r>
          </w:p>
        </w:tc>
        <w:tc>
          <w:tcPr>
            <w:tcW w:w="4306" w:type="dxa"/>
            <w:tcBorders>
              <w:top w:val="single" w:sz="6" w:space="0" w:color="000000"/>
              <w:left w:val="single" w:sz="6" w:space="0" w:color="000000"/>
              <w:bottom w:val="single" w:sz="6" w:space="0" w:color="000000"/>
              <w:right w:val="single" w:sz="6" w:space="0" w:color="000000"/>
            </w:tcBorders>
          </w:tcPr>
          <w:p w14:paraId="7AF7C53C"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Pomiar spadu podłużnego  powierzchni wykopu</w:t>
            </w:r>
          </w:p>
        </w:tc>
        <w:tc>
          <w:tcPr>
            <w:tcW w:w="4694" w:type="dxa"/>
            <w:tcBorders>
              <w:top w:val="single" w:sz="6" w:space="0" w:color="000000"/>
              <w:left w:val="single" w:sz="6" w:space="0" w:color="000000"/>
              <w:bottom w:val="single" w:sz="6" w:space="0" w:color="000000"/>
              <w:right w:val="single" w:sz="6" w:space="0" w:color="000000"/>
            </w:tcBorders>
          </w:tcPr>
          <w:p w14:paraId="0E5682CA"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Pomiar niwelatorem rzędnych w odstępach co 20 m oraz w punktach wątpliwych</w:t>
            </w:r>
          </w:p>
        </w:tc>
      </w:tr>
    </w:tbl>
    <w:p w14:paraId="798867B1"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p>
    <w:p w14:paraId="00FEF58E" w14:textId="77777777" w:rsidR="000A3B2B" w:rsidRDefault="000A3B2B" w:rsidP="000E4A5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6.3.</w:t>
      </w:r>
      <w:r>
        <w:rPr>
          <w:rFonts w:ascii="Arial" w:hAnsi="Arial" w:cs="Arial"/>
          <w:b/>
          <w:bCs/>
          <w:color w:val="000000"/>
          <w:sz w:val="18"/>
          <w:szCs w:val="18"/>
          <w:lang w:val="x-none"/>
        </w:rPr>
        <w:tab/>
        <w:t>Badania do odbioru</w:t>
      </w:r>
    </w:p>
    <w:p w14:paraId="501EECA0"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szerokość wykopu ziemnego nie może różnić się od szerokości projektowanej o więcej niż ± 10 cm,</w:t>
      </w:r>
    </w:p>
    <w:p w14:paraId="4D689E20"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rzędne wykopu ziemnego nie mogą różnić się od rzędnych projektowanych,</w:t>
      </w:r>
    </w:p>
    <w:p w14:paraId="41871B6D"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pochylenie skarp nie może różnić się od pochylenia projektowanego o więcej niż 10% wartości pochylenia wyrażonego tangensem kąta,</w:t>
      </w:r>
    </w:p>
    <w:p w14:paraId="7733EA5A"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nierówności skarp, mierzone łatą 3-metrową nie mogą przekraczać ± 10 cm.</w:t>
      </w:r>
    </w:p>
    <w:p w14:paraId="1DB28305"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p>
    <w:p w14:paraId="64592843" w14:textId="77777777" w:rsidR="000A3B2B" w:rsidRDefault="000A3B2B" w:rsidP="000E4A5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6.4.</w:t>
      </w:r>
      <w:r>
        <w:rPr>
          <w:rFonts w:ascii="Arial" w:hAnsi="Arial" w:cs="Arial"/>
          <w:b/>
          <w:bCs/>
          <w:color w:val="000000"/>
          <w:sz w:val="18"/>
          <w:szCs w:val="18"/>
          <w:lang w:val="x-none"/>
        </w:rPr>
        <w:tab/>
        <w:t>Badanie wskaźnika (stopnia) zagęszczenia gruntu zgodne z normą BN-77/8931-12</w:t>
      </w:r>
    </w:p>
    <w:p w14:paraId="4B6A7D30"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Badania wskaźnika zagęszczenia gruntu wykonuje się przy użyciu </w:t>
      </w:r>
      <w:proofErr w:type="spellStart"/>
      <w:r>
        <w:rPr>
          <w:rFonts w:ascii="Arial" w:hAnsi="Arial" w:cs="Arial"/>
          <w:color w:val="000000"/>
          <w:sz w:val="18"/>
          <w:szCs w:val="18"/>
          <w:lang w:val="x-none"/>
        </w:rPr>
        <w:t>objętościomierza</w:t>
      </w:r>
      <w:proofErr w:type="spellEnd"/>
      <w:r>
        <w:rPr>
          <w:rFonts w:ascii="Arial" w:hAnsi="Arial" w:cs="Arial"/>
          <w:color w:val="000000"/>
          <w:sz w:val="18"/>
          <w:szCs w:val="18"/>
          <w:lang w:val="x-none"/>
        </w:rPr>
        <w:t xml:space="preserve"> piaskowego lub wodnego dla gruntów o uziarnieniu d90≤20 mm, a przy użyciu cylindra (pierścienia) wciskanego, dla gruntów drobnoziarnistych d90≤2 mm (gdzie d90 oznacza średnicę zastępczą ziarna, poniżej której w gruncie zawarte jest wagowo 90% ziaren).</w:t>
      </w:r>
    </w:p>
    <w:p w14:paraId="4F517506"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Pobieranie próbek gruntu do badania należy przeprowadzić zgodnie z PN-EN 1997-2:2009. Są cztery metody pobierania próbek:</w:t>
      </w:r>
    </w:p>
    <w:p w14:paraId="0303582D"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pobieranie próbek metodą wciskania/wbijania, w której próbnik rurowy lub </w:t>
      </w:r>
      <w:proofErr w:type="spellStart"/>
      <w:r>
        <w:rPr>
          <w:rFonts w:ascii="Arial" w:hAnsi="Arial" w:cs="Arial"/>
          <w:color w:val="000000"/>
          <w:sz w:val="18"/>
          <w:szCs w:val="18"/>
          <w:lang w:val="x-none"/>
        </w:rPr>
        <w:t>szczelinowo-rurowy</w:t>
      </w:r>
      <w:proofErr w:type="spellEnd"/>
      <w:r>
        <w:rPr>
          <w:rFonts w:ascii="Arial" w:hAnsi="Arial" w:cs="Arial"/>
          <w:color w:val="000000"/>
          <w:sz w:val="18"/>
          <w:szCs w:val="18"/>
          <w:lang w:val="x-none"/>
        </w:rPr>
        <w:t xml:space="preserve"> zakończony ostrzem tnącym jest wprowadzany w podłoże statycznie (przez wciskanie), dynamicznie (wbijanie) lub wibracyjnie,</w:t>
      </w:r>
    </w:p>
    <w:p w14:paraId="325A6687"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obrotowo-rdzeniowe pobieranie próbek, w którym próbnik rurowy zakończony ostrzem tnącym, przez obrót zagłębia się w grunt i umożliwia pobranie rdzenia,</w:t>
      </w:r>
    </w:p>
    <w:p w14:paraId="511C1B04"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pobieranie próbek gruntu świdrem ręcznym lub mechanicznym,</w:t>
      </w:r>
    </w:p>
    <w:p w14:paraId="3E454E5B"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pobieranie próbek w postaci bloków wycinanych ręcznie z </w:t>
      </w:r>
      <w:proofErr w:type="spellStart"/>
      <w:r>
        <w:rPr>
          <w:rFonts w:ascii="Arial" w:hAnsi="Arial" w:cs="Arial"/>
          <w:color w:val="000000"/>
          <w:sz w:val="18"/>
          <w:szCs w:val="18"/>
          <w:lang w:val="x-none"/>
        </w:rPr>
        <w:t>szybika</w:t>
      </w:r>
      <w:proofErr w:type="spellEnd"/>
      <w:r>
        <w:rPr>
          <w:rFonts w:ascii="Arial" w:hAnsi="Arial" w:cs="Arial"/>
          <w:color w:val="000000"/>
          <w:sz w:val="18"/>
          <w:szCs w:val="18"/>
          <w:lang w:val="x-none"/>
        </w:rPr>
        <w:t xml:space="preserve"> badawczego, szybu lub sztolni albo z większych głębokości za pomocą specjalnie wykonanych do tego celu próbników z zastosowaniem metody wycinania.</w:t>
      </w:r>
    </w:p>
    <w:p w14:paraId="03DBD41A"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Wskaźnik zagęszczenia gruntu musi być zgodny z przyjętym w dokumentacji projektowej i SST.</w:t>
      </w:r>
    </w:p>
    <w:p w14:paraId="23649129"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Częstotliwość badania wskaźnika zagęszczenia gruntu należy podać w SST.</w:t>
      </w:r>
    </w:p>
    <w:p w14:paraId="64218FB5"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p>
    <w:p w14:paraId="76930D55" w14:textId="77777777" w:rsidR="000A3B2B" w:rsidRDefault="000A3B2B" w:rsidP="000E4A55">
      <w:pPr>
        <w:autoSpaceDE w:val="0"/>
        <w:autoSpaceDN w:val="0"/>
        <w:adjustRightInd w:val="0"/>
        <w:spacing w:before="225" w:after="12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7.</w:t>
      </w:r>
      <w:r>
        <w:rPr>
          <w:rFonts w:ascii="Arial" w:hAnsi="Arial" w:cs="Arial"/>
          <w:b/>
          <w:bCs/>
          <w:color w:val="000000"/>
          <w:sz w:val="18"/>
          <w:szCs w:val="18"/>
          <w:lang w:val="x-none"/>
        </w:rPr>
        <w:tab/>
        <w:t>WARUNKI DOTYCZĄCE PRZEDMIARU I OBMIARU ROBÓT</w:t>
      </w:r>
    </w:p>
    <w:p w14:paraId="02737C61" w14:textId="77777777" w:rsidR="000A3B2B" w:rsidRDefault="000A3B2B" w:rsidP="000E4A5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7.1.</w:t>
      </w:r>
      <w:r>
        <w:rPr>
          <w:rFonts w:ascii="Arial" w:hAnsi="Arial" w:cs="Arial"/>
          <w:b/>
          <w:bCs/>
          <w:color w:val="000000"/>
          <w:sz w:val="18"/>
          <w:szCs w:val="18"/>
          <w:lang w:val="x-none"/>
        </w:rPr>
        <w:tab/>
        <w:t>Ogólne zasady obmiaru robót podane zostały w ST „Wymagania ogólne” Kod CPV 45000000-7, pkt 7</w:t>
      </w:r>
    </w:p>
    <w:p w14:paraId="23774A84"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p>
    <w:p w14:paraId="3272630D" w14:textId="77777777" w:rsidR="000A3B2B" w:rsidRDefault="000A3B2B" w:rsidP="000E4A5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7.2.</w:t>
      </w:r>
      <w:r>
        <w:rPr>
          <w:rFonts w:ascii="Arial" w:hAnsi="Arial" w:cs="Arial"/>
          <w:b/>
          <w:bCs/>
          <w:color w:val="000000"/>
          <w:sz w:val="18"/>
          <w:szCs w:val="18"/>
          <w:lang w:val="x-none"/>
        </w:rPr>
        <w:tab/>
        <w:t>Jednostki i zasady obmiaru robót ziemnych liniowych</w:t>
      </w:r>
    </w:p>
    <w:p w14:paraId="694EC3EF" w14:textId="77777777" w:rsidR="000A3B2B" w:rsidRDefault="000A3B2B" w:rsidP="000E4A55">
      <w:pPr>
        <w:autoSpaceDE w:val="0"/>
        <w:autoSpaceDN w:val="0"/>
        <w:adjustRightInd w:val="0"/>
        <w:spacing w:after="30" w:line="240" w:lineRule="auto"/>
        <w:jc w:val="both"/>
        <w:rPr>
          <w:rFonts w:ascii="Arial" w:hAnsi="Arial" w:cs="Arial"/>
          <w:b/>
          <w:bCs/>
          <w:color w:val="000000"/>
          <w:spacing w:val="15"/>
          <w:sz w:val="18"/>
          <w:szCs w:val="18"/>
          <w:lang w:val="x-none"/>
        </w:rPr>
      </w:pPr>
      <w:r>
        <w:rPr>
          <w:rFonts w:ascii="Arial" w:hAnsi="Arial" w:cs="Arial"/>
          <w:b/>
          <w:bCs/>
          <w:color w:val="000000"/>
          <w:spacing w:val="15"/>
          <w:sz w:val="18"/>
          <w:szCs w:val="18"/>
          <w:lang w:val="x-none"/>
        </w:rPr>
        <w:t>WARIANT  I</w:t>
      </w:r>
    </w:p>
    <w:p w14:paraId="0DBF9C57"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Jednostkami obmiaru są:</w:t>
      </w:r>
    </w:p>
    <w:p w14:paraId="0ADD7A65"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wykopy i zasypka – m</w:t>
      </w:r>
      <w:r>
        <w:rPr>
          <w:rFonts w:ascii="Arial" w:hAnsi="Arial" w:cs="Arial"/>
          <w:color w:val="000000"/>
          <w:position w:val="4"/>
          <w:sz w:val="8"/>
          <w:szCs w:val="8"/>
          <w:lang w:val="x-none"/>
        </w:rPr>
        <w:t>3</w:t>
      </w:r>
      <w:r>
        <w:rPr>
          <w:rFonts w:ascii="Arial" w:hAnsi="Arial" w:cs="Arial"/>
          <w:color w:val="000000"/>
          <w:sz w:val="18"/>
          <w:szCs w:val="18"/>
          <w:lang w:val="x-none"/>
        </w:rPr>
        <w:t>,</w:t>
      </w:r>
    </w:p>
    <w:p w14:paraId="6DAD1E6D"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umocnienie ścian wykopów – m</w:t>
      </w:r>
      <w:r>
        <w:rPr>
          <w:rFonts w:ascii="Arial" w:hAnsi="Arial" w:cs="Arial"/>
          <w:color w:val="000000"/>
          <w:position w:val="4"/>
          <w:sz w:val="8"/>
          <w:szCs w:val="8"/>
          <w:lang w:val="x-none"/>
        </w:rPr>
        <w:t>2</w:t>
      </w:r>
      <w:r>
        <w:rPr>
          <w:rFonts w:ascii="Arial" w:hAnsi="Arial" w:cs="Arial"/>
          <w:color w:val="000000"/>
          <w:sz w:val="18"/>
          <w:szCs w:val="18"/>
          <w:lang w:val="x-none"/>
        </w:rPr>
        <w:t>,</w:t>
      </w:r>
    </w:p>
    <w:p w14:paraId="25751C1B"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wykonanie podłoża – m</w:t>
      </w:r>
      <w:r>
        <w:rPr>
          <w:rFonts w:ascii="Arial" w:hAnsi="Arial" w:cs="Arial"/>
          <w:color w:val="000000"/>
          <w:position w:val="4"/>
          <w:sz w:val="8"/>
          <w:szCs w:val="8"/>
          <w:lang w:val="x-none"/>
        </w:rPr>
        <w:t>3</w:t>
      </w:r>
      <w:r>
        <w:rPr>
          <w:rFonts w:ascii="Arial" w:hAnsi="Arial" w:cs="Arial"/>
          <w:color w:val="000000"/>
          <w:sz w:val="18"/>
          <w:szCs w:val="18"/>
          <w:lang w:val="x-none"/>
        </w:rPr>
        <w:t xml:space="preserve"> (lub m</w:t>
      </w:r>
      <w:r>
        <w:rPr>
          <w:rFonts w:ascii="Arial" w:hAnsi="Arial" w:cs="Arial"/>
          <w:color w:val="000000"/>
          <w:position w:val="4"/>
          <w:sz w:val="8"/>
          <w:szCs w:val="8"/>
          <w:lang w:val="x-none"/>
        </w:rPr>
        <w:t>2</w:t>
      </w:r>
      <w:r>
        <w:rPr>
          <w:rFonts w:ascii="Arial" w:hAnsi="Arial" w:cs="Arial"/>
          <w:color w:val="000000"/>
          <w:sz w:val="18"/>
          <w:szCs w:val="18"/>
          <w:lang w:val="x-none"/>
        </w:rPr>
        <w:t xml:space="preserve"> i grubość warstwy w m).</w:t>
      </w:r>
    </w:p>
    <w:p w14:paraId="18C40FDA"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Objętość gruntu mierzy się w stanie rodzimym w zależności od kategorii gruntu i głębokości wykopu oraz poziomu zwierciadła wody gruntowej.</w:t>
      </w:r>
    </w:p>
    <w:p w14:paraId="34A0E215"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lastRenderedPageBreak/>
        <w:t>Objętość wykopu określona w m</w:t>
      </w:r>
      <w:r>
        <w:rPr>
          <w:rFonts w:ascii="Arial" w:hAnsi="Arial" w:cs="Arial"/>
          <w:color w:val="000000"/>
          <w:position w:val="4"/>
          <w:sz w:val="8"/>
          <w:szCs w:val="8"/>
          <w:lang w:val="x-none"/>
        </w:rPr>
        <w:t>3</w:t>
      </w:r>
      <w:r>
        <w:rPr>
          <w:rFonts w:ascii="Arial" w:hAnsi="Arial" w:cs="Arial"/>
          <w:color w:val="000000"/>
          <w:sz w:val="18"/>
          <w:szCs w:val="18"/>
          <w:lang w:val="x-none"/>
        </w:rPr>
        <w:t xml:space="preserve"> jest iloczynem powierzchni przekroju poprzecznego wykopu i jego długości.</w:t>
      </w:r>
    </w:p>
    <w:p w14:paraId="1B0E08D6"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 przypadku wykopów ze skarpami pod rurociągi, przy znacznej długości oraz występujących zmiennych przekrojach poprzecznych (zmiana szerokości dna wykopu, zmiana pochylenia skarp), ilości robót oblicza się wtedy oddzielnie dla każdego odcinka między poszczególnymi zmiennymi przekrojami.</w:t>
      </w:r>
    </w:p>
    <w:p w14:paraId="0475BEFB" w14:textId="77777777" w:rsidR="000A3B2B" w:rsidRDefault="000A3B2B" w:rsidP="000E4A55">
      <w:pPr>
        <w:autoSpaceDE w:val="0"/>
        <w:autoSpaceDN w:val="0"/>
        <w:adjustRightInd w:val="0"/>
        <w:spacing w:after="30" w:line="240" w:lineRule="auto"/>
        <w:jc w:val="both"/>
        <w:rPr>
          <w:rFonts w:ascii="Arial" w:hAnsi="Arial" w:cs="Arial"/>
          <w:b/>
          <w:bCs/>
          <w:color w:val="000000"/>
          <w:sz w:val="18"/>
          <w:szCs w:val="18"/>
          <w:lang w:val="x-none"/>
        </w:rPr>
      </w:pPr>
      <w:r>
        <w:rPr>
          <w:rFonts w:ascii="Arial" w:hAnsi="Arial" w:cs="Arial"/>
          <w:b/>
          <w:bCs/>
          <w:color w:val="000000"/>
          <w:sz w:val="18"/>
          <w:szCs w:val="18"/>
          <w:lang w:val="x-none"/>
        </w:rPr>
        <w:t>Wykopy pod rurociągi</w:t>
      </w:r>
    </w:p>
    <w:p w14:paraId="342C505E"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Szerokość dna wykopów o ścianach pionowych dla rurociągów sieci zewnętrznych należy przyjmować niezależnie od głębokości wykopu i kategorii gruntu zgodnie z tablicą.</w:t>
      </w:r>
    </w:p>
    <w:p w14:paraId="2313EDEF" w14:textId="77777777" w:rsidR="000A3B2B" w:rsidRDefault="000A3B2B" w:rsidP="000E4A55">
      <w:pPr>
        <w:autoSpaceDE w:val="0"/>
        <w:autoSpaceDN w:val="0"/>
        <w:adjustRightInd w:val="0"/>
        <w:spacing w:before="120" w:after="30" w:line="240" w:lineRule="auto"/>
        <w:jc w:val="center"/>
        <w:rPr>
          <w:rFonts w:ascii="Arial" w:hAnsi="Arial" w:cs="Arial"/>
          <w:b/>
          <w:bCs/>
          <w:color w:val="000000"/>
          <w:sz w:val="18"/>
          <w:szCs w:val="18"/>
          <w:lang w:val="x-none"/>
        </w:rPr>
      </w:pPr>
      <w:r>
        <w:rPr>
          <w:rFonts w:ascii="Arial" w:hAnsi="Arial" w:cs="Arial"/>
          <w:b/>
          <w:bCs/>
          <w:color w:val="000000"/>
          <w:sz w:val="18"/>
          <w:szCs w:val="18"/>
          <w:lang w:val="x-none"/>
        </w:rPr>
        <w:t>Szerokości dna wykopów o ścianach pionowych nie umocnionych i umocnionych dla rurociągów</w:t>
      </w:r>
    </w:p>
    <w:tbl>
      <w:tblPr>
        <w:tblW w:w="0" w:type="auto"/>
        <w:jc w:val="center"/>
        <w:tblCellSpacing w:w="0" w:type="dxa"/>
        <w:tblLayout w:type="fixed"/>
        <w:tblCellMar>
          <w:left w:w="0" w:type="dxa"/>
          <w:right w:w="0" w:type="dxa"/>
        </w:tblCellMar>
        <w:tblLook w:val="0000" w:firstRow="0" w:lastRow="0" w:firstColumn="0" w:lastColumn="0" w:noHBand="0" w:noVBand="0"/>
      </w:tblPr>
      <w:tblGrid>
        <w:gridCol w:w="382"/>
        <w:gridCol w:w="1710"/>
        <w:gridCol w:w="1260"/>
        <w:gridCol w:w="1260"/>
        <w:gridCol w:w="1260"/>
        <w:gridCol w:w="1260"/>
      </w:tblGrid>
      <w:tr w:rsidR="000A3B2B" w14:paraId="485C5752" w14:textId="77777777">
        <w:trPr>
          <w:trHeight w:val="315"/>
          <w:tblCellSpacing w:w="0" w:type="dxa"/>
          <w:jc w:val="center"/>
        </w:trPr>
        <w:tc>
          <w:tcPr>
            <w:tcW w:w="382" w:type="dxa"/>
            <w:vMerge w:val="restart"/>
            <w:tcBorders>
              <w:top w:val="single" w:sz="6" w:space="0" w:color="000000"/>
              <w:left w:val="single" w:sz="6" w:space="0" w:color="000000"/>
              <w:bottom w:val="single" w:sz="6" w:space="0" w:color="000000"/>
              <w:right w:val="single" w:sz="6" w:space="0" w:color="000000"/>
            </w:tcBorders>
            <w:shd w:val="clear" w:color="auto" w:fill="CBCBCB"/>
            <w:vAlign w:val="center"/>
          </w:tcPr>
          <w:p w14:paraId="4E9B9DC0"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Lp.</w:t>
            </w:r>
          </w:p>
        </w:tc>
        <w:tc>
          <w:tcPr>
            <w:tcW w:w="1710" w:type="dxa"/>
            <w:vMerge w:val="restart"/>
            <w:tcBorders>
              <w:top w:val="single" w:sz="6" w:space="0" w:color="000000"/>
              <w:left w:val="single" w:sz="6" w:space="0" w:color="000000"/>
              <w:bottom w:val="single" w:sz="6" w:space="0" w:color="000000"/>
              <w:right w:val="single" w:sz="6" w:space="0" w:color="000000"/>
            </w:tcBorders>
            <w:shd w:val="clear" w:color="auto" w:fill="CBCBCB"/>
            <w:vAlign w:val="center"/>
          </w:tcPr>
          <w:p w14:paraId="42FFA3DE"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Średnice wewnętrzne rurociągów lub szerokości przekrojów kanałów jajowych w mm</w:t>
            </w:r>
          </w:p>
        </w:tc>
        <w:tc>
          <w:tcPr>
            <w:tcW w:w="5040" w:type="dxa"/>
            <w:gridSpan w:val="4"/>
            <w:tcBorders>
              <w:top w:val="single" w:sz="6" w:space="0" w:color="000000"/>
              <w:left w:val="single" w:sz="6" w:space="0" w:color="000000"/>
              <w:bottom w:val="single" w:sz="6" w:space="0" w:color="000000"/>
              <w:right w:val="single" w:sz="6" w:space="0" w:color="000000"/>
            </w:tcBorders>
            <w:shd w:val="clear" w:color="auto" w:fill="CBCBCB"/>
            <w:vAlign w:val="center"/>
          </w:tcPr>
          <w:p w14:paraId="643E62AC"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Rurociągi</w:t>
            </w:r>
          </w:p>
        </w:tc>
      </w:tr>
      <w:tr w:rsidR="000A3B2B" w14:paraId="3F940CA3" w14:textId="77777777">
        <w:trPr>
          <w:trHeight w:val="315"/>
          <w:tblCellSpacing w:w="0" w:type="dxa"/>
          <w:jc w:val="center"/>
        </w:trPr>
        <w:tc>
          <w:tcPr>
            <w:tcW w:w="382" w:type="dxa"/>
            <w:vMerge/>
            <w:tcBorders>
              <w:top w:val="single" w:sz="6" w:space="0" w:color="000000"/>
              <w:left w:val="single" w:sz="6" w:space="0" w:color="000000"/>
              <w:bottom w:val="single" w:sz="6" w:space="0" w:color="000000"/>
              <w:right w:val="single" w:sz="6" w:space="0" w:color="000000"/>
            </w:tcBorders>
            <w:shd w:val="clear" w:color="auto" w:fill="CBCBCB"/>
            <w:vAlign w:val="center"/>
          </w:tcPr>
          <w:p w14:paraId="198EC1C7" w14:textId="77777777" w:rsidR="000A3B2B" w:rsidRDefault="000A3B2B">
            <w:pPr>
              <w:autoSpaceDE w:val="0"/>
              <w:autoSpaceDN w:val="0"/>
              <w:adjustRightInd w:val="0"/>
              <w:spacing w:after="0" w:line="240" w:lineRule="auto"/>
              <w:rPr>
                <w:rFonts w:ascii="Arial" w:hAnsi="Arial" w:cs="Arial"/>
                <w:b/>
                <w:bCs/>
                <w:color w:val="000000"/>
                <w:sz w:val="18"/>
                <w:szCs w:val="18"/>
                <w:lang w:val="x-none"/>
              </w:rPr>
            </w:pPr>
          </w:p>
        </w:tc>
        <w:tc>
          <w:tcPr>
            <w:tcW w:w="1710" w:type="dxa"/>
            <w:vMerge/>
            <w:tcBorders>
              <w:top w:val="single" w:sz="6" w:space="0" w:color="000000"/>
              <w:left w:val="single" w:sz="6" w:space="0" w:color="000000"/>
              <w:bottom w:val="single" w:sz="6" w:space="0" w:color="000000"/>
              <w:right w:val="single" w:sz="6" w:space="0" w:color="000000"/>
            </w:tcBorders>
            <w:shd w:val="clear" w:color="auto" w:fill="CBCBCB"/>
            <w:vAlign w:val="center"/>
          </w:tcPr>
          <w:p w14:paraId="14ACB2BB" w14:textId="77777777" w:rsidR="000A3B2B" w:rsidRDefault="000A3B2B">
            <w:pPr>
              <w:autoSpaceDE w:val="0"/>
              <w:autoSpaceDN w:val="0"/>
              <w:adjustRightInd w:val="0"/>
              <w:spacing w:after="0" w:line="240" w:lineRule="auto"/>
              <w:rPr>
                <w:rFonts w:ascii="Arial" w:hAnsi="Arial" w:cs="Arial"/>
                <w:b/>
                <w:bCs/>
                <w:color w:val="000000"/>
                <w:sz w:val="18"/>
                <w:szCs w:val="18"/>
                <w:lang w:val="x-none"/>
              </w:rPr>
            </w:pPr>
          </w:p>
        </w:tc>
        <w:tc>
          <w:tcPr>
            <w:tcW w:w="2520" w:type="dxa"/>
            <w:gridSpan w:val="2"/>
            <w:tcBorders>
              <w:top w:val="single" w:sz="6" w:space="0" w:color="000000"/>
              <w:left w:val="single" w:sz="6" w:space="0" w:color="000000"/>
              <w:bottom w:val="single" w:sz="6" w:space="0" w:color="000000"/>
              <w:right w:val="single" w:sz="6" w:space="0" w:color="000000"/>
            </w:tcBorders>
            <w:shd w:val="clear" w:color="auto" w:fill="CBCBCB"/>
            <w:vAlign w:val="center"/>
          </w:tcPr>
          <w:p w14:paraId="405175B1"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żeliwne, stalowe, PCW, PE</w:t>
            </w:r>
          </w:p>
        </w:tc>
        <w:tc>
          <w:tcPr>
            <w:tcW w:w="2520" w:type="dxa"/>
            <w:gridSpan w:val="2"/>
            <w:tcBorders>
              <w:top w:val="single" w:sz="6" w:space="0" w:color="000000"/>
              <w:left w:val="single" w:sz="6" w:space="0" w:color="000000"/>
              <w:bottom w:val="single" w:sz="6" w:space="0" w:color="000000"/>
              <w:right w:val="single" w:sz="6" w:space="0" w:color="000000"/>
            </w:tcBorders>
            <w:shd w:val="clear" w:color="auto" w:fill="CBCBCB"/>
            <w:vAlign w:val="center"/>
          </w:tcPr>
          <w:p w14:paraId="101CE544"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kamionkowe i betonowe</w:t>
            </w:r>
          </w:p>
        </w:tc>
      </w:tr>
      <w:tr w:rsidR="000A3B2B" w14:paraId="4BA41AF2" w14:textId="77777777">
        <w:trPr>
          <w:trHeight w:val="315"/>
          <w:tblCellSpacing w:w="0" w:type="dxa"/>
          <w:jc w:val="center"/>
        </w:trPr>
        <w:tc>
          <w:tcPr>
            <w:tcW w:w="382" w:type="dxa"/>
            <w:vMerge/>
            <w:tcBorders>
              <w:top w:val="single" w:sz="6" w:space="0" w:color="000000"/>
              <w:left w:val="single" w:sz="6" w:space="0" w:color="000000"/>
              <w:bottom w:val="single" w:sz="6" w:space="0" w:color="000000"/>
              <w:right w:val="single" w:sz="6" w:space="0" w:color="000000"/>
            </w:tcBorders>
            <w:shd w:val="clear" w:color="auto" w:fill="CBCBCB"/>
            <w:vAlign w:val="center"/>
          </w:tcPr>
          <w:p w14:paraId="2DB5A621" w14:textId="77777777" w:rsidR="000A3B2B" w:rsidRDefault="000A3B2B">
            <w:pPr>
              <w:autoSpaceDE w:val="0"/>
              <w:autoSpaceDN w:val="0"/>
              <w:adjustRightInd w:val="0"/>
              <w:spacing w:after="0" w:line="240" w:lineRule="auto"/>
              <w:rPr>
                <w:rFonts w:ascii="Arial" w:hAnsi="Arial" w:cs="Arial"/>
                <w:b/>
                <w:bCs/>
                <w:color w:val="000000"/>
                <w:sz w:val="18"/>
                <w:szCs w:val="18"/>
                <w:lang w:val="x-none"/>
              </w:rPr>
            </w:pPr>
          </w:p>
        </w:tc>
        <w:tc>
          <w:tcPr>
            <w:tcW w:w="1710" w:type="dxa"/>
            <w:vMerge/>
            <w:tcBorders>
              <w:top w:val="single" w:sz="6" w:space="0" w:color="000000"/>
              <w:left w:val="single" w:sz="6" w:space="0" w:color="000000"/>
              <w:bottom w:val="single" w:sz="6" w:space="0" w:color="000000"/>
              <w:right w:val="single" w:sz="6" w:space="0" w:color="000000"/>
            </w:tcBorders>
            <w:shd w:val="clear" w:color="auto" w:fill="CBCBCB"/>
            <w:vAlign w:val="center"/>
          </w:tcPr>
          <w:p w14:paraId="2CB2FC75" w14:textId="77777777" w:rsidR="000A3B2B" w:rsidRDefault="000A3B2B">
            <w:pPr>
              <w:autoSpaceDE w:val="0"/>
              <w:autoSpaceDN w:val="0"/>
              <w:adjustRightInd w:val="0"/>
              <w:spacing w:after="0" w:line="240" w:lineRule="auto"/>
              <w:rPr>
                <w:rFonts w:ascii="Arial" w:hAnsi="Arial" w:cs="Arial"/>
                <w:b/>
                <w:bCs/>
                <w:color w:val="000000"/>
                <w:sz w:val="18"/>
                <w:szCs w:val="18"/>
                <w:lang w:val="x-none"/>
              </w:rPr>
            </w:pPr>
          </w:p>
        </w:tc>
        <w:tc>
          <w:tcPr>
            <w:tcW w:w="1260" w:type="dxa"/>
            <w:tcBorders>
              <w:top w:val="single" w:sz="6" w:space="0" w:color="000000"/>
              <w:left w:val="single" w:sz="6" w:space="0" w:color="000000"/>
              <w:bottom w:val="single" w:sz="6" w:space="0" w:color="000000"/>
              <w:right w:val="single" w:sz="6" w:space="0" w:color="000000"/>
            </w:tcBorders>
            <w:shd w:val="clear" w:color="auto" w:fill="CBCBCB"/>
            <w:vAlign w:val="center"/>
          </w:tcPr>
          <w:p w14:paraId="698BDE62"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 xml:space="preserve">nie umocnione </w:t>
            </w:r>
          </w:p>
        </w:tc>
        <w:tc>
          <w:tcPr>
            <w:tcW w:w="1260" w:type="dxa"/>
            <w:tcBorders>
              <w:top w:val="single" w:sz="6" w:space="0" w:color="000000"/>
              <w:left w:val="single" w:sz="6" w:space="0" w:color="000000"/>
              <w:bottom w:val="single" w:sz="6" w:space="0" w:color="000000"/>
              <w:right w:val="single" w:sz="6" w:space="0" w:color="000000"/>
            </w:tcBorders>
            <w:shd w:val="clear" w:color="auto" w:fill="CBCBCB"/>
            <w:vAlign w:val="center"/>
          </w:tcPr>
          <w:p w14:paraId="35DF3330"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umocnione</w:t>
            </w:r>
          </w:p>
        </w:tc>
        <w:tc>
          <w:tcPr>
            <w:tcW w:w="1260" w:type="dxa"/>
            <w:tcBorders>
              <w:top w:val="single" w:sz="6" w:space="0" w:color="000000"/>
              <w:left w:val="single" w:sz="6" w:space="0" w:color="000000"/>
              <w:bottom w:val="single" w:sz="6" w:space="0" w:color="000000"/>
              <w:right w:val="single" w:sz="6" w:space="0" w:color="000000"/>
            </w:tcBorders>
            <w:shd w:val="clear" w:color="auto" w:fill="CBCBCB"/>
            <w:vAlign w:val="center"/>
          </w:tcPr>
          <w:p w14:paraId="4EBB8D41"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 xml:space="preserve">nie umocnione </w:t>
            </w:r>
          </w:p>
        </w:tc>
        <w:tc>
          <w:tcPr>
            <w:tcW w:w="1260" w:type="dxa"/>
            <w:tcBorders>
              <w:top w:val="single" w:sz="6" w:space="0" w:color="000000"/>
              <w:left w:val="single" w:sz="6" w:space="0" w:color="000000"/>
              <w:bottom w:val="single" w:sz="6" w:space="0" w:color="000000"/>
              <w:right w:val="single" w:sz="6" w:space="0" w:color="000000"/>
            </w:tcBorders>
            <w:shd w:val="clear" w:color="auto" w:fill="CBCBCB"/>
            <w:vAlign w:val="center"/>
          </w:tcPr>
          <w:p w14:paraId="0C26E822"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umocnione</w:t>
            </w:r>
          </w:p>
        </w:tc>
      </w:tr>
      <w:tr w:rsidR="000A3B2B" w14:paraId="1F72B6D5" w14:textId="77777777">
        <w:trPr>
          <w:trHeight w:val="345"/>
          <w:tblCellSpacing w:w="0" w:type="dxa"/>
          <w:jc w:val="center"/>
        </w:trPr>
        <w:tc>
          <w:tcPr>
            <w:tcW w:w="382" w:type="dxa"/>
            <w:vMerge/>
            <w:tcBorders>
              <w:top w:val="single" w:sz="6" w:space="0" w:color="000000"/>
              <w:left w:val="single" w:sz="6" w:space="0" w:color="000000"/>
              <w:bottom w:val="single" w:sz="6" w:space="0" w:color="000000"/>
              <w:right w:val="single" w:sz="6" w:space="0" w:color="000000"/>
            </w:tcBorders>
            <w:shd w:val="clear" w:color="auto" w:fill="CBCBCB"/>
            <w:vAlign w:val="center"/>
          </w:tcPr>
          <w:p w14:paraId="71AA9166" w14:textId="77777777" w:rsidR="000A3B2B" w:rsidRDefault="000A3B2B">
            <w:pPr>
              <w:autoSpaceDE w:val="0"/>
              <w:autoSpaceDN w:val="0"/>
              <w:adjustRightInd w:val="0"/>
              <w:spacing w:after="0" w:line="240" w:lineRule="auto"/>
              <w:rPr>
                <w:rFonts w:ascii="Arial" w:hAnsi="Arial" w:cs="Arial"/>
                <w:b/>
                <w:bCs/>
                <w:color w:val="000000"/>
                <w:sz w:val="18"/>
                <w:szCs w:val="18"/>
                <w:lang w:val="x-none"/>
              </w:rPr>
            </w:pPr>
          </w:p>
        </w:tc>
        <w:tc>
          <w:tcPr>
            <w:tcW w:w="1710" w:type="dxa"/>
            <w:vMerge/>
            <w:tcBorders>
              <w:top w:val="single" w:sz="6" w:space="0" w:color="000000"/>
              <w:left w:val="single" w:sz="6" w:space="0" w:color="000000"/>
              <w:bottom w:val="single" w:sz="6" w:space="0" w:color="000000"/>
              <w:right w:val="single" w:sz="6" w:space="0" w:color="000000"/>
            </w:tcBorders>
            <w:shd w:val="clear" w:color="auto" w:fill="CBCBCB"/>
            <w:vAlign w:val="center"/>
          </w:tcPr>
          <w:p w14:paraId="3798EDF1" w14:textId="77777777" w:rsidR="000A3B2B" w:rsidRDefault="000A3B2B">
            <w:pPr>
              <w:autoSpaceDE w:val="0"/>
              <w:autoSpaceDN w:val="0"/>
              <w:adjustRightInd w:val="0"/>
              <w:spacing w:after="0" w:line="240" w:lineRule="auto"/>
              <w:rPr>
                <w:rFonts w:ascii="Arial" w:hAnsi="Arial" w:cs="Arial"/>
                <w:b/>
                <w:bCs/>
                <w:color w:val="000000"/>
                <w:sz w:val="18"/>
                <w:szCs w:val="18"/>
                <w:lang w:val="x-none"/>
              </w:rPr>
            </w:pPr>
          </w:p>
        </w:tc>
        <w:tc>
          <w:tcPr>
            <w:tcW w:w="5040" w:type="dxa"/>
            <w:gridSpan w:val="4"/>
            <w:tcBorders>
              <w:top w:val="single" w:sz="6" w:space="0" w:color="000000"/>
              <w:left w:val="single" w:sz="6" w:space="0" w:color="000000"/>
              <w:bottom w:val="single" w:sz="6" w:space="0" w:color="000000"/>
              <w:right w:val="single" w:sz="6" w:space="0" w:color="000000"/>
            </w:tcBorders>
            <w:shd w:val="clear" w:color="auto" w:fill="CBCBCB"/>
            <w:vAlign w:val="center"/>
          </w:tcPr>
          <w:p w14:paraId="00ED0202"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Szerokość wykopu b w m</w:t>
            </w:r>
          </w:p>
        </w:tc>
      </w:tr>
      <w:tr w:rsidR="000A3B2B" w14:paraId="3D056086" w14:textId="77777777">
        <w:trPr>
          <w:trHeight w:val="30"/>
          <w:tblCellSpacing w:w="0" w:type="dxa"/>
          <w:jc w:val="center"/>
        </w:trPr>
        <w:tc>
          <w:tcPr>
            <w:tcW w:w="382" w:type="dxa"/>
            <w:tcBorders>
              <w:top w:val="single" w:sz="6" w:space="0" w:color="000000"/>
              <w:left w:val="single" w:sz="6" w:space="0" w:color="000000"/>
              <w:bottom w:val="single" w:sz="6" w:space="0" w:color="000000"/>
              <w:right w:val="single" w:sz="6" w:space="0" w:color="000000"/>
            </w:tcBorders>
            <w:shd w:val="clear" w:color="auto" w:fill="8C8C8C"/>
            <w:vAlign w:val="center"/>
          </w:tcPr>
          <w:p w14:paraId="0EDCD463" w14:textId="77777777" w:rsidR="000A3B2B" w:rsidRDefault="000A3B2B">
            <w:pPr>
              <w:autoSpaceDE w:val="0"/>
              <w:autoSpaceDN w:val="0"/>
              <w:adjustRightInd w:val="0"/>
              <w:spacing w:after="0" w:line="240" w:lineRule="auto"/>
              <w:jc w:val="center"/>
              <w:rPr>
                <w:rFonts w:ascii="Arial" w:hAnsi="Arial" w:cs="Arial"/>
                <w:sz w:val="18"/>
                <w:szCs w:val="18"/>
                <w:lang w:val="x-none"/>
              </w:rPr>
            </w:pPr>
            <w:r>
              <w:rPr>
                <w:rFonts w:ascii="Arial" w:hAnsi="Arial" w:cs="Arial"/>
                <w:sz w:val="18"/>
                <w:szCs w:val="18"/>
                <w:lang w:val="x-none"/>
              </w:rPr>
              <w:t>a</w:t>
            </w:r>
          </w:p>
        </w:tc>
        <w:tc>
          <w:tcPr>
            <w:tcW w:w="1710" w:type="dxa"/>
            <w:tcBorders>
              <w:top w:val="single" w:sz="6" w:space="0" w:color="000000"/>
              <w:left w:val="single" w:sz="6" w:space="0" w:color="000000"/>
              <w:bottom w:val="single" w:sz="6" w:space="0" w:color="000000"/>
              <w:right w:val="single" w:sz="6" w:space="0" w:color="000000"/>
            </w:tcBorders>
            <w:shd w:val="clear" w:color="auto" w:fill="8C8C8C"/>
            <w:vAlign w:val="center"/>
          </w:tcPr>
          <w:p w14:paraId="48CC9220" w14:textId="77777777" w:rsidR="000A3B2B" w:rsidRDefault="000A3B2B">
            <w:pPr>
              <w:autoSpaceDE w:val="0"/>
              <w:autoSpaceDN w:val="0"/>
              <w:adjustRightInd w:val="0"/>
              <w:spacing w:after="0" w:line="240" w:lineRule="auto"/>
              <w:jc w:val="center"/>
              <w:rPr>
                <w:rFonts w:ascii="Arial" w:hAnsi="Arial" w:cs="Arial"/>
                <w:sz w:val="18"/>
                <w:szCs w:val="18"/>
                <w:lang w:val="x-none"/>
              </w:rPr>
            </w:pPr>
            <w:r>
              <w:rPr>
                <w:rFonts w:ascii="Arial" w:hAnsi="Arial" w:cs="Arial"/>
                <w:sz w:val="18"/>
                <w:szCs w:val="18"/>
                <w:lang w:val="x-none"/>
              </w:rPr>
              <w:t>b</w:t>
            </w:r>
          </w:p>
        </w:tc>
        <w:tc>
          <w:tcPr>
            <w:tcW w:w="1260" w:type="dxa"/>
            <w:tcBorders>
              <w:top w:val="single" w:sz="6" w:space="0" w:color="000000"/>
              <w:left w:val="single" w:sz="6" w:space="0" w:color="000000"/>
              <w:bottom w:val="single" w:sz="6" w:space="0" w:color="000000"/>
              <w:right w:val="single" w:sz="6" w:space="0" w:color="000000"/>
            </w:tcBorders>
            <w:shd w:val="clear" w:color="auto" w:fill="8C8C8C"/>
            <w:vAlign w:val="center"/>
          </w:tcPr>
          <w:p w14:paraId="6B0EA1A3" w14:textId="77777777" w:rsidR="000A3B2B" w:rsidRDefault="000A3B2B">
            <w:pPr>
              <w:autoSpaceDE w:val="0"/>
              <w:autoSpaceDN w:val="0"/>
              <w:adjustRightInd w:val="0"/>
              <w:spacing w:after="0" w:line="240" w:lineRule="auto"/>
              <w:jc w:val="center"/>
              <w:rPr>
                <w:rFonts w:ascii="Arial" w:hAnsi="Arial" w:cs="Arial"/>
                <w:sz w:val="18"/>
                <w:szCs w:val="18"/>
                <w:lang w:val="x-none"/>
              </w:rPr>
            </w:pPr>
            <w:r>
              <w:rPr>
                <w:rFonts w:ascii="Arial" w:hAnsi="Arial" w:cs="Arial"/>
                <w:sz w:val="18"/>
                <w:szCs w:val="18"/>
                <w:lang w:val="x-none"/>
              </w:rPr>
              <w:t>c</w:t>
            </w:r>
          </w:p>
        </w:tc>
        <w:tc>
          <w:tcPr>
            <w:tcW w:w="1260" w:type="dxa"/>
            <w:tcBorders>
              <w:top w:val="single" w:sz="6" w:space="0" w:color="000000"/>
              <w:left w:val="single" w:sz="6" w:space="0" w:color="000000"/>
              <w:bottom w:val="single" w:sz="6" w:space="0" w:color="000000"/>
              <w:right w:val="single" w:sz="6" w:space="0" w:color="000000"/>
            </w:tcBorders>
            <w:shd w:val="clear" w:color="auto" w:fill="8C8C8C"/>
            <w:vAlign w:val="center"/>
          </w:tcPr>
          <w:p w14:paraId="2B5BE1CD" w14:textId="77777777" w:rsidR="000A3B2B" w:rsidRDefault="000A3B2B">
            <w:pPr>
              <w:autoSpaceDE w:val="0"/>
              <w:autoSpaceDN w:val="0"/>
              <w:adjustRightInd w:val="0"/>
              <w:spacing w:after="0" w:line="240" w:lineRule="auto"/>
              <w:jc w:val="center"/>
              <w:rPr>
                <w:rFonts w:ascii="Arial" w:hAnsi="Arial" w:cs="Arial"/>
                <w:sz w:val="18"/>
                <w:szCs w:val="18"/>
                <w:lang w:val="x-none"/>
              </w:rPr>
            </w:pPr>
            <w:r>
              <w:rPr>
                <w:rFonts w:ascii="Arial" w:hAnsi="Arial" w:cs="Arial"/>
                <w:sz w:val="18"/>
                <w:szCs w:val="18"/>
                <w:lang w:val="x-none"/>
              </w:rPr>
              <w:t>d</w:t>
            </w:r>
          </w:p>
        </w:tc>
        <w:tc>
          <w:tcPr>
            <w:tcW w:w="1260" w:type="dxa"/>
            <w:tcBorders>
              <w:top w:val="single" w:sz="6" w:space="0" w:color="000000"/>
              <w:left w:val="single" w:sz="6" w:space="0" w:color="000000"/>
              <w:bottom w:val="single" w:sz="6" w:space="0" w:color="000000"/>
              <w:right w:val="single" w:sz="6" w:space="0" w:color="000000"/>
            </w:tcBorders>
            <w:shd w:val="clear" w:color="auto" w:fill="8C8C8C"/>
            <w:vAlign w:val="center"/>
          </w:tcPr>
          <w:p w14:paraId="7EF24B69" w14:textId="77777777" w:rsidR="000A3B2B" w:rsidRDefault="000A3B2B">
            <w:pPr>
              <w:autoSpaceDE w:val="0"/>
              <w:autoSpaceDN w:val="0"/>
              <w:adjustRightInd w:val="0"/>
              <w:spacing w:after="0" w:line="240" w:lineRule="auto"/>
              <w:jc w:val="center"/>
              <w:rPr>
                <w:rFonts w:ascii="Arial" w:hAnsi="Arial" w:cs="Arial"/>
                <w:sz w:val="18"/>
                <w:szCs w:val="18"/>
                <w:lang w:val="x-none"/>
              </w:rPr>
            </w:pPr>
            <w:r>
              <w:rPr>
                <w:rFonts w:ascii="Arial" w:hAnsi="Arial" w:cs="Arial"/>
                <w:sz w:val="18"/>
                <w:szCs w:val="18"/>
                <w:lang w:val="x-none"/>
              </w:rPr>
              <w:t>e</w:t>
            </w:r>
          </w:p>
        </w:tc>
        <w:tc>
          <w:tcPr>
            <w:tcW w:w="1260" w:type="dxa"/>
            <w:tcBorders>
              <w:top w:val="single" w:sz="6" w:space="0" w:color="000000"/>
              <w:left w:val="single" w:sz="6" w:space="0" w:color="000000"/>
              <w:bottom w:val="single" w:sz="6" w:space="0" w:color="000000"/>
              <w:right w:val="single" w:sz="6" w:space="0" w:color="000000"/>
            </w:tcBorders>
            <w:shd w:val="clear" w:color="auto" w:fill="8C8C8C"/>
            <w:vAlign w:val="center"/>
          </w:tcPr>
          <w:p w14:paraId="30440876" w14:textId="77777777" w:rsidR="000A3B2B" w:rsidRDefault="000A3B2B">
            <w:pPr>
              <w:autoSpaceDE w:val="0"/>
              <w:autoSpaceDN w:val="0"/>
              <w:adjustRightInd w:val="0"/>
              <w:spacing w:after="0" w:line="240" w:lineRule="auto"/>
              <w:jc w:val="center"/>
              <w:rPr>
                <w:rFonts w:ascii="Arial" w:hAnsi="Arial" w:cs="Arial"/>
                <w:sz w:val="18"/>
                <w:szCs w:val="18"/>
                <w:lang w:val="x-none"/>
              </w:rPr>
            </w:pPr>
            <w:r>
              <w:rPr>
                <w:rFonts w:ascii="Arial" w:hAnsi="Arial" w:cs="Arial"/>
                <w:sz w:val="18"/>
                <w:szCs w:val="18"/>
                <w:lang w:val="x-none"/>
              </w:rPr>
              <w:t>f</w:t>
            </w:r>
          </w:p>
        </w:tc>
      </w:tr>
      <w:tr w:rsidR="000A3B2B" w14:paraId="0B761F9C" w14:textId="77777777">
        <w:trPr>
          <w:trHeight w:val="60"/>
          <w:tblCellSpacing w:w="0" w:type="dxa"/>
          <w:jc w:val="center"/>
        </w:trPr>
        <w:tc>
          <w:tcPr>
            <w:tcW w:w="382" w:type="dxa"/>
            <w:tcBorders>
              <w:top w:val="single" w:sz="6" w:space="0" w:color="000000"/>
              <w:left w:val="single" w:sz="6" w:space="0" w:color="000000"/>
              <w:bottom w:val="single" w:sz="6" w:space="0" w:color="000000"/>
              <w:right w:val="single" w:sz="6" w:space="0" w:color="000000"/>
            </w:tcBorders>
          </w:tcPr>
          <w:p w14:paraId="1254BD5D"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01</w:t>
            </w:r>
          </w:p>
        </w:tc>
        <w:tc>
          <w:tcPr>
            <w:tcW w:w="1710" w:type="dxa"/>
            <w:tcBorders>
              <w:top w:val="single" w:sz="6" w:space="0" w:color="000000"/>
              <w:left w:val="single" w:sz="6" w:space="0" w:color="000000"/>
              <w:bottom w:val="single" w:sz="6" w:space="0" w:color="000000"/>
              <w:right w:val="single" w:sz="6" w:space="0" w:color="000000"/>
            </w:tcBorders>
          </w:tcPr>
          <w:p w14:paraId="57F1539A"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50-150</w:t>
            </w:r>
          </w:p>
        </w:tc>
        <w:tc>
          <w:tcPr>
            <w:tcW w:w="1260" w:type="dxa"/>
            <w:tcBorders>
              <w:top w:val="single" w:sz="6" w:space="0" w:color="000000"/>
              <w:left w:val="single" w:sz="6" w:space="0" w:color="000000"/>
              <w:bottom w:val="single" w:sz="6" w:space="0" w:color="000000"/>
              <w:right w:val="single" w:sz="6" w:space="0" w:color="000000"/>
            </w:tcBorders>
          </w:tcPr>
          <w:p w14:paraId="60212B56"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0,80</w:t>
            </w:r>
          </w:p>
        </w:tc>
        <w:tc>
          <w:tcPr>
            <w:tcW w:w="1260" w:type="dxa"/>
            <w:tcBorders>
              <w:top w:val="single" w:sz="6" w:space="0" w:color="000000"/>
              <w:left w:val="single" w:sz="6" w:space="0" w:color="000000"/>
              <w:bottom w:val="single" w:sz="6" w:space="0" w:color="000000"/>
              <w:right w:val="single" w:sz="6" w:space="0" w:color="000000"/>
            </w:tcBorders>
          </w:tcPr>
          <w:p w14:paraId="73886DC3"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0,90</w:t>
            </w:r>
          </w:p>
        </w:tc>
        <w:tc>
          <w:tcPr>
            <w:tcW w:w="1260" w:type="dxa"/>
            <w:tcBorders>
              <w:top w:val="single" w:sz="6" w:space="0" w:color="000000"/>
              <w:left w:val="single" w:sz="6" w:space="0" w:color="000000"/>
              <w:bottom w:val="single" w:sz="6" w:space="0" w:color="000000"/>
              <w:right w:val="single" w:sz="6" w:space="0" w:color="000000"/>
            </w:tcBorders>
          </w:tcPr>
          <w:p w14:paraId="53E7C4C7"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0,80</w:t>
            </w:r>
          </w:p>
        </w:tc>
        <w:tc>
          <w:tcPr>
            <w:tcW w:w="1260" w:type="dxa"/>
            <w:tcBorders>
              <w:top w:val="single" w:sz="6" w:space="0" w:color="000000"/>
              <w:left w:val="single" w:sz="6" w:space="0" w:color="000000"/>
              <w:bottom w:val="single" w:sz="6" w:space="0" w:color="000000"/>
              <w:right w:val="single" w:sz="6" w:space="0" w:color="000000"/>
            </w:tcBorders>
          </w:tcPr>
          <w:p w14:paraId="7D74F8B4"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0,90</w:t>
            </w:r>
          </w:p>
        </w:tc>
      </w:tr>
      <w:tr w:rsidR="000A3B2B" w14:paraId="28AA57CE" w14:textId="77777777">
        <w:trPr>
          <w:trHeight w:val="60"/>
          <w:tblCellSpacing w:w="0" w:type="dxa"/>
          <w:jc w:val="center"/>
        </w:trPr>
        <w:tc>
          <w:tcPr>
            <w:tcW w:w="382" w:type="dxa"/>
            <w:tcBorders>
              <w:top w:val="single" w:sz="6" w:space="0" w:color="000000"/>
              <w:left w:val="single" w:sz="6" w:space="0" w:color="000000"/>
              <w:bottom w:val="single" w:sz="6" w:space="0" w:color="000000"/>
              <w:right w:val="single" w:sz="6" w:space="0" w:color="000000"/>
            </w:tcBorders>
          </w:tcPr>
          <w:p w14:paraId="4DA74DDB"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02</w:t>
            </w:r>
          </w:p>
        </w:tc>
        <w:tc>
          <w:tcPr>
            <w:tcW w:w="1710" w:type="dxa"/>
            <w:tcBorders>
              <w:top w:val="single" w:sz="6" w:space="0" w:color="000000"/>
              <w:left w:val="single" w:sz="6" w:space="0" w:color="000000"/>
              <w:bottom w:val="single" w:sz="6" w:space="0" w:color="000000"/>
              <w:right w:val="single" w:sz="6" w:space="0" w:color="000000"/>
            </w:tcBorders>
          </w:tcPr>
          <w:p w14:paraId="2662AE84"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200</w:t>
            </w:r>
          </w:p>
        </w:tc>
        <w:tc>
          <w:tcPr>
            <w:tcW w:w="1260" w:type="dxa"/>
            <w:tcBorders>
              <w:top w:val="single" w:sz="6" w:space="0" w:color="000000"/>
              <w:left w:val="single" w:sz="6" w:space="0" w:color="000000"/>
              <w:bottom w:val="single" w:sz="6" w:space="0" w:color="000000"/>
              <w:right w:val="single" w:sz="6" w:space="0" w:color="000000"/>
            </w:tcBorders>
          </w:tcPr>
          <w:p w14:paraId="32CDBD45"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0,90</w:t>
            </w:r>
          </w:p>
        </w:tc>
        <w:tc>
          <w:tcPr>
            <w:tcW w:w="1260" w:type="dxa"/>
            <w:tcBorders>
              <w:top w:val="single" w:sz="6" w:space="0" w:color="000000"/>
              <w:left w:val="single" w:sz="6" w:space="0" w:color="000000"/>
              <w:bottom w:val="single" w:sz="6" w:space="0" w:color="000000"/>
              <w:right w:val="single" w:sz="6" w:space="0" w:color="000000"/>
            </w:tcBorders>
          </w:tcPr>
          <w:p w14:paraId="19E2C634"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1,00</w:t>
            </w:r>
          </w:p>
        </w:tc>
        <w:tc>
          <w:tcPr>
            <w:tcW w:w="1260" w:type="dxa"/>
            <w:tcBorders>
              <w:top w:val="single" w:sz="6" w:space="0" w:color="000000"/>
              <w:left w:val="single" w:sz="6" w:space="0" w:color="000000"/>
              <w:bottom w:val="single" w:sz="6" w:space="0" w:color="000000"/>
              <w:right w:val="single" w:sz="6" w:space="0" w:color="000000"/>
            </w:tcBorders>
          </w:tcPr>
          <w:p w14:paraId="2BDA6CF8"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0,90</w:t>
            </w:r>
          </w:p>
        </w:tc>
        <w:tc>
          <w:tcPr>
            <w:tcW w:w="1260" w:type="dxa"/>
            <w:tcBorders>
              <w:top w:val="single" w:sz="6" w:space="0" w:color="000000"/>
              <w:left w:val="single" w:sz="6" w:space="0" w:color="000000"/>
              <w:bottom w:val="single" w:sz="6" w:space="0" w:color="000000"/>
              <w:right w:val="single" w:sz="6" w:space="0" w:color="000000"/>
            </w:tcBorders>
          </w:tcPr>
          <w:p w14:paraId="759322C8"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1,00</w:t>
            </w:r>
          </w:p>
        </w:tc>
      </w:tr>
      <w:tr w:rsidR="000A3B2B" w14:paraId="3E9D127A" w14:textId="77777777">
        <w:trPr>
          <w:trHeight w:val="60"/>
          <w:tblCellSpacing w:w="0" w:type="dxa"/>
          <w:jc w:val="center"/>
        </w:trPr>
        <w:tc>
          <w:tcPr>
            <w:tcW w:w="382" w:type="dxa"/>
            <w:tcBorders>
              <w:top w:val="single" w:sz="6" w:space="0" w:color="000000"/>
              <w:left w:val="single" w:sz="6" w:space="0" w:color="000000"/>
              <w:bottom w:val="single" w:sz="6" w:space="0" w:color="000000"/>
              <w:right w:val="single" w:sz="6" w:space="0" w:color="000000"/>
            </w:tcBorders>
          </w:tcPr>
          <w:p w14:paraId="29F74B23"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03</w:t>
            </w:r>
          </w:p>
        </w:tc>
        <w:tc>
          <w:tcPr>
            <w:tcW w:w="1710" w:type="dxa"/>
            <w:tcBorders>
              <w:top w:val="single" w:sz="6" w:space="0" w:color="000000"/>
              <w:left w:val="single" w:sz="6" w:space="0" w:color="000000"/>
              <w:bottom w:val="single" w:sz="6" w:space="0" w:color="000000"/>
              <w:right w:val="single" w:sz="6" w:space="0" w:color="000000"/>
            </w:tcBorders>
          </w:tcPr>
          <w:p w14:paraId="0F0A3444"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250</w:t>
            </w:r>
          </w:p>
        </w:tc>
        <w:tc>
          <w:tcPr>
            <w:tcW w:w="1260" w:type="dxa"/>
            <w:tcBorders>
              <w:top w:val="single" w:sz="6" w:space="0" w:color="000000"/>
              <w:left w:val="single" w:sz="6" w:space="0" w:color="000000"/>
              <w:bottom w:val="single" w:sz="6" w:space="0" w:color="000000"/>
              <w:right w:val="single" w:sz="6" w:space="0" w:color="000000"/>
            </w:tcBorders>
          </w:tcPr>
          <w:p w14:paraId="1583D12C"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0,95</w:t>
            </w:r>
          </w:p>
        </w:tc>
        <w:tc>
          <w:tcPr>
            <w:tcW w:w="1260" w:type="dxa"/>
            <w:tcBorders>
              <w:top w:val="single" w:sz="6" w:space="0" w:color="000000"/>
              <w:left w:val="single" w:sz="6" w:space="0" w:color="000000"/>
              <w:bottom w:val="single" w:sz="6" w:space="0" w:color="000000"/>
              <w:right w:val="single" w:sz="6" w:space="0" w:color="000000"/>
            </w:tcBorders>
          </w:tcPr>
          <w:p w14:paraId="7CFC4EDC"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1,05</w:t>
            </w:r>
          </w:p>
        </w:tc>
        <w:tc>
          <w:tcPr>
            <w:tcW w:w="1260" w:type="dxa"/>
            <w:tcBorders>
              <w:top w:val="single" w:sz="6" w:space="0" w:color="000000"/>
              <w:left w:val="single" w:sz="6" w:space="0" w:color="000000"/>
              <w:bottom w:val="single" w:sz="6" w:space="0" w:color="000000"/>
              <w:right w:val="single" w:sz="6" w:space="0" w:color="000000"/>
            </w:tcBorders>
          </w:tcPr>
          <w:p w14:paraId="766A51DE"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0,95</w:t>
            </w:r>
          </w:p>
        </w:tc>
        <w:tc>
          <w:tcPr>
            <w:tcW w:w="1260" w:type="dxa"/>
            <w:tcBorders>
              <w:top w:val="single" w:sz="6" w:space="0" w:color="000000"/>
              <w:left w:val="single" w:sz="6" w:space="0" w:color="000000"/>
              <w:bottom w:val="single" w:sz="6" w:space="0" w:color="000000"/>
              <w:right w:val="single" w:sz="6" w:space="0" w:color="000000"/>
            </w:tcBorders>
          </w:tcPr>
          <w:p w14:paraId="67D3ACE7"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1,05</w:t>
            </w:r>
          </w:p>
        </w:tc>
      </w:tr>
      <w:tr w:rsidR="000A3B2B" w14:paraId="046A66B0" w14:textId="77777777">
        <w:trPr>
          <w:trHeight w:val="60"/>
          <w:tblCellSpacing w:w="0" w:type="dxa"/>
          <w:jc w:val="center"/>
        </w:trPr>
        <w:tc>
          <w:tcPr>
            <w:tcW w:w="382" w:type="dxa"/>
            <w:tcBorders>
              <w:top w:val="single" w:sz="6" w:space="0" w:color="000000"/>
              <w:left w:val="single" w:sz="6" w:space="0" w:color="000000"/>
              <w:bottom w:val="single" w:sz="6" w:space="0" w:color="000000"/>
              <w:right w:val="single" w:sz="6" w:space="0" w:color="000000"/>
            </w:tcBorders>
          </w:tcPr>
          <w:p w14:paraId="2ADAB620"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04</w:t>
            </w:r>
          </w:p>
        </w:tc>
        <w:tc>
          <w:tcPr>
            <w:tcW w:w="1710" w:type="dxa"/>
            <w:tcBorders>
              <w:top w:val="single" w:sz="6" w:space="0" w:color="000000"/>
              <w:left w:val="single" w:sz="6" w:space="0" w:color="000000"/>
              <w:bottom w:val="single" w:sz="6" w:space="0" w:color="000000"/>
              <w:right w:val="single" w:sz="6" w:space="0" w:color="000000"/>
            </w:tcBorders>
          </w:tcPr>
          <w:p w14:paraId="2389C15E"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300</w:t>
            </w:r>
          </w:p>
        </w:tc>
        <w:tc>
          <w:tcPr>
            <w:tcW w:w="1260" w:type="dxa"/>
            <w:tcBorders>
              <w:top w:val="single" w:sz="6" w:space="0" w:color="000000"/>
              <w:left w:val="single" w:sz="6" w:space="0" w:color="000000"/>
              <w:bottom w:val="single" w:sz="6" w:space="0" w:color="000000"/>
              <w:right w:val="single" w:sz="6" w:space="0" w:color="000000"/>
            </w:tcBorders>
          </w:tcPr>
          <w:p w14:paraId="76CC0185"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1,00</w:t>
            </w:r>
          </w:p>
        </w:tc>
        <w:tc>
          <w:tcPr>
            <w:tcW w:w="1260" w:type="dxa"/>
            <w:tcBorders>
              <w:top w:val="single" w:sz="6" w:space="0" w:color="000000"/>
              <w:left w:val="single" w:sz="6" w:space="0" w:color="000000"/>
              <w:bottom w:val="single" w:sz="6" w:space="0" w:color="000000"/>
              <w:right w:val="single" w:sz="6" w:space="0" w:color="000000"/>
            </w:tcBorders>
          </w:tcPr>
          <w:p w14:paraId="0B634B5F"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1,10</w:t>
            </w:r>
          </w:p>
        </w:tc>
        <w:tc>
          <w:tcPr>
            <w:tcW w:w="1260" w:type="dxa"/>
            <w:tcBorders>
              <w:top w:val="single" w:sz="6" w:space="0" w:color="000000"/>
              <w:left w:val="single" w:sz="6" w:space="0" w:color="000000"/>
              <w:bottom w:val="single" w:sz="6" w:space="0" w:color="000000"/>
              <w:right w:val="single" w:sz="6" w:space="0" w:color="000000"/>
            </w:tcBorders>
          </w:tcPr>
          <w:p w14:paraId="7B4F3F52"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1,00</w:t>
            </w:r>
          </w:p>
        </w:tc>
        <w:tc>
          <w:tcPr>
            <w:tcW w:w="1260" w:type="dxa"/>
            <w:tcBorders>
              <w:top w:val="single" w:sz="6" w:space="0" w:color="000000"/>
              <w:left w:val="single" w:sz="6" w:space="0" w:color="000000"/>
              <w:bottom w:val="single" w:sz="6" w:space="0" w:color="000000"/>
              <w:right w:val="single" w:sz="6" w:space="0" w:color="000000"/>
            </w:tcBorders>
          </w:tcPr>
          <w:p w14:paraId="2A3D1564"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1,10</w:t>
            </w:r>
          </w:p>
        </w:tc>
      </w:tr>
      <w:tr w:rsidR="000A3B2B" w14:paraId="033D740C" w14:textId="77777777">
        <w:trPr>
          <w:trHeight w:val="60"/>
          <w:tblCellSpacing w:w="0" w:type="dxa"/>
          <w:jc w:val="center"/>
        </w:trPr>
        <w:tc>
          <w:tcPr>
            <w:tcW w:w="382" w:type="dxa"/>
            <w:tcBorders>
              <w:top w:val="single" w:sz="6" w:space="0" w:color="000000"/>
              <w:left w:val="single" w:sz="6" w:space="0" w:color="000000"/>
              <w:bottom w:val="single" w:sz="6" w:space="0" w:color="000000"/>
              <w:right w:val="single" w:sz="6" w:space="0" w:color="000000"/>
            </w:tcBorders>
          </w:tcPr>
          <w:p w14:paraId="00F21AC0"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05</w:t>
            </w:r>
          </w:p>
        </w:tc>
        <w:tc>
          <w:tcPr>
            <w:tcW w:w="1710" w:type="dxa"/>
            <w:tcBorders>
              <w:top w:val="single" w:sz="6" w:space="0" w:color="000000"/>
              <w:left w:val="single" w:sz="6" w:space="0" w:color="000000"/>
              <w:bottom w:val="single" w:sz="6" w:space="0" w:color="000000"/>
              <w:right w:val="single" w:sz="6" w:space="0" w:color="000000"/>
            </w:tcBorders>
          </w:tcPr>
          <w:p w14:paraId="62F8DCB0"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350</w:t>
            </w:r>
          </w:p>
        </w:tc>
        <w:tc>
          <w:tcPr>
            <w:tcW w:w="1260" w:type="dxa"/>
            <w:tcBorders>
              <w:top w:val="single" w:sz="6" w:space="0" w:color="000000"/>
              <w:left w:val="single" w:sz="6" w:space="0" w:color="000000"/>
              <w:bottom w:val="single" w:sz="6" w:space="0" w:color="000000"/>
              <w:right w:val="single" w:sz="6" w:space="0" w:color="000000"/>
            </w:tcBorders>
          </w:tcPr>
          <w:p w14:paraId="00373AD6"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1,10</w:t>
            </w:r>
          </w:p>
        </w:tc>
        <w:tc>
          <w:tcPr>
            <w:tcW w:w="1260" w:type="dxa"/>
            <w:tcBorders>
              <w:top w:val="single" w:sz="6" w:space="0" w:color="000000"/>
              <w:left w:val="single" w:sz="6" w:space="0" w:color="000000"/>
              <w:bottom w:val="single" w:sz="6" w:space="0" w:color="000000"/>
              <w:right w:val="single" w:sz="6" w:space="0" w:color="000000"/>
            </w:tcBorders>
          </w:tcPr>
          <w:p w14:paraId="61D8DC16"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1,20</w:t>
            </w:r>
          </w:p>
        </w:tc>
        <w:tc>
          <w:tcPr>
            <w:tcW w:w="1260" w:type="dxa"/>
            <w:tcBorders>
              <w:top w:val="single" w:sz="6" w:space="0" w:color="000000"/>
              <w:left w:val="single" w:sz="6" w:space="0" w:color="000000"/>
              <w:bottom w:val="single" w:sz="6" w:space="0" w:color="000000"/>
              <w:right w:val="single" w:sz="6" w:space="0" w:color="000000"/>
            </w:tcBorders>
          </w:tcPr>
          <w:p w14:paraId="5780289C"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1,15</w:t>
            </w:r>
          </w:p>
        </w:tc>
        <w:tc>
          <w:tcPr>
            <w:tcW w:w="1260" w:type="dxa"/>
            <w:tcBorders>
              <w:top w:val="single" w:sz="6" w:space="0" w:color="000000"/>
              <w:left w:val="single" w:sz="6" w:space="0" w:color="000000"/>
              <w:bottom w:val="single" w:sz="6" w:space="0" w:color="000000"/>
              <w:right w:val="single" w:sz="6" w:space="0" w:color="000000"/>
            </w:tcBorders>
          </w:tcPr>
          <w:p w14:paraId="6AA2D11F"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1,25</w:t>
            </w:r>
          </w:p>
        </w:tc>
      </w:tr>
      <w:tr w:rsidR="000A3B2B" w14:paraId="50B5F1AB" w14:textId="77777777">
        <w:trPr>
          <w:trHeight w:val="60"/>
          <w:tblCellSpacing w:w="0" w:type="dxa"/>
          <w:jc w:val="center"/>
        </w:trPr>
        <w:tc>
          <w:tcPr>
            <w:tcW w:w="382" w:type="dxa"/>
            <w:tcBorders>
              <w:top w:val="single" w:sz="6" w:space="0" w:color="000000"/>
              <w:left w:val="single" w:sz="6" w:space="0" w:color="000000"/>
              <w:bottom w:val="single" w:sz="6" w:space="0" w:color="000000"/>
              <w:right w:val="single" w:sz="6" w:space="0" w:color="000000"/>
            </w:tcBorders>
          </w:tcPr>
          <w:p w14:paraId="6799A568"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06</w:t>
            </w:r>
          </w:p>
        </w:tc>
        <w:tc>
          <w:tcPr>
            <w:tcW w:w="1710" w:type="dxa"/>
            <w:tcBorders>
              <w:top w:val="single" w:sz="6" w:space="0" w:color="000000"/>
              <w:left w:val="single" w:sz="6" w:space="0" w:color="000000"/>
              <w:bottom w:val="single" w:sz="6" w:space="0" w:color="000000"/>
              <w:right w:val="single" w:sz="6" w:space="0" w:color="000000"/>
            </w:tcBorders>
          </w:tcPr>
          <w:p w14:paraId="0C6B77B4"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400</w:t>
            </w:r>
          </w:p>
        </w:tc>
        <w:tc>
          <w:tcPr>
            <w:tcW w:w="1260" w:type="dxa"/>
            <w:tcBorders>
              <w:top w:val="single" w:sz="6" w:space="0" w:color="000000"/>
              <w:left w:val="single" w:sz="6" w:space="0" w:color="000000"/>
              <w:bottom w:val="single" w:sz="6" w:space="0" w:color="000000"/>
              <w:right w:val="single" w:sz="6" w:space="0" w:color="000000"/>
            </w:tcBorders>
          </w:tcPr>
          <w:p w14:paraId="11DBF49B"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1,15</w:t>
            </w:r>
          </w:p>
        </w:tc>
        <w:tc>
          <w:tcPr>
            <w:tcW w:w="1260" w:type="dxa"/>
            <w:tcBorders>
              <w:top w:val="single" w:sz="6" w:space="0" w:color="000000"/>
              <w:left w:val="single" w:sz="6" w:space="0" w:color="000000"/>
              <w:bottom w:val="single" w:sz="6" w:space="0" w:color="000000"/>
              <w:right w:val="single" w:sz="6" w:space="0" w:color="000000"/>
            </w:tcBorders>
          </w:tcPr>
          <w:p w14:paraId="3E43AB56"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1,25</w:t>
            </w:r>
          </w:p>
        </w:tc>
        <w:tc>
          <w:tcPr>
            <w:tcW w:w="1260" w:type="dxa"/>
            <w:tcBorders>
              <w:top w:val="single" w:sz="6" w:space="0" w:color="000000"/>
              <w:left w:val="single" w:sz="6" w:space="0" w:color="000000"/>
              <w:bottom w:val="single" w:sz="6" w:space="0" w:color="000000"/>
              <w:right w:val="single" w:sz="6" w:space="0" w:color="000000"/>
            </w:tcBorders>
          </w:tcPr>
          <w:p w14:paraId="4510D197"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1,20</w:t>
            </w:r>
          </w:p>
        </w:tc>
        <w:tc>
          <w:tcPr>
            <w:tcW w:w="1260" w:type="dxa"/>
            <w:tcBorders>
              <w:top w:val="single" w:sz="6" w:space="0" w:color="000000"/>
              <w:left w:val="single" w:sz="6" w:space="0" w:color="000000"/>
              <w:bottom w:val="single" w:sz="6" w:space="0" w:color="000000"/>
              <w:right w:val="single" w:sz="6" w:space="0" w:color="000000"/>
            </w:tcBorders>
          </w:tcPr>
          <w:p w14:paraId="31457568"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1,30</w:t>
            </w:r>
          </w:p>
        </w:tc>
      </w:tr>
      <w:tr w:rsidR="000A3B2B" w14:paraId="098CC00B" w14:textId="77777777">
        <w:trPr>
          <w:trHeight w:val="60"/>
          <w:tblCellSpacing w:w="0" w:type="dxa"/>
          <w:jc w:val="center"/>
        </w:trPr>
        <w:tc>
          <w:tcPr>
            <w:tcW w:w="382" w:type="dxa"/>
            <w:tcBorders>
              <w:top w:val="single" w:sz="6" w:space="0" w:color="000000"/>
              <w:left w:val="single" w:sz="6" w:space="0" w:color="000000"/>
              <w:bottom w:val="single" w:sz="6" w:space="0" w:color="000000"/>
              <w:right w:val="single" w:sz="6" w:space="0" w:color="000000"/>
            </w:tcBorders>
          </w:tcPr>
          <w:p w14:paraId="6F05139F"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07</w:t>
            </w:r>
          </w:p>
        </w:tc>
        <w:tc>
          <w:tcPr>
            <w:tcW w:w="1710" w:type="dxa"/>
            <w:tcBorders>
              <w:top w:val="single" w:sz="6" w:space="0" w:color="000000"/>
              <w:left w:val="single" w:sz="6" w:space="0" w:color="000000"/>
              <w:bottom w:val="single" w:sz="6" w:space="0" w:color="000000"/>
              <w:right w:val="single" w:sz="6" w:space="0" w:color="000000"/>
            </w:tcBorders>
          </w:tcPr>
          <w:p w14:paraId="30CEA72F"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500</w:t>
            </w:r>
          </w:p>
        </w:tc>
        <w:tc>
          <w:tcPr>
            <w:tcW w:w="1260" w:type="dxa"/>
            <w:tcBorders>
              <w:top w:val="single" w:sz="6" w:space="0" w:color="000000"/>
              <w:left w:val="single" w:sz="6" w:space="0" w:color="000000"/>
              <w:bottom w:val="single" w:sz="6" w:space="0" w:color="000000"/>
              <w:right w:val="single" w:sz="6" w:space="0" w:color="000000"/>
            </w:tcBorders>
          </w:tcPr>
          <w:p w14:paraId="02F089A0"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1,30</w:t>
            </w:r>
          </w:p>
        </w:tc>
        <w:tc>
          <w:tcPr>
            <w:tcW w:w="1260" w:type="dxa"/>
            <w:tcBorders>
              <w:top w:val="single" w:sz="6" w:space="0" w:color="000000"/>
              <w:left w:val="single" w:sz="6" w:space="0" w:color="000000"/>
              <w:bottom w:val="single" w:sz="6" w:space="0" w:color="000000"/>
              <w:right w:val="single" w:sz="6" w:space="0" w:color="000000"/>
            </w:tcBorders>
          </w:tcPr>
          <w:p w14:paraId="60DC608B"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1,40</w:t>
            </w:r>
          </w:p>
        </w:tc>
        <w:tc>
          <w:tcPr>
            <w:tcW w:w="1260" w:type="dxa"/>
            <w:tcBorders>
              <w:top w:val="single" w:sz="6" w:space="0" w:color="000000"/>
              <w:left w:val="single" w:sz="6" w:space="0" w:color="000000"/>
              <w:bottom w:val="single" w:sz="6" w:space="0" w:color="000000"/>
              <w:right w:val="single" w:sz="6" w:space="0" w:color="000000"/>
            </w:tcBorders>
          </w:tcPr>
          <w:p w14:paraId="01708ECB"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1,35</w:t>
            </w:r>
          </w:p>
        </w:tc>
        <w:tc>
          <w:tcPr>
            <w:tcW w:w="1260" w:type="dxa"/>
            <w:tcBorders>
              <w:top w:val="single" w:sz="6" w:space="0" w:color="000000"/>
              <w:left w:val="single" w:sz="6" w:space="0" w:color="000000"/>
              <w:bottom w:val="single" w:sz="6" w:space="0" w:color="000000"/>
              <w:right w:val="single" w:sz="6" w:space="0" w:color="000000"/>
            </w:tcBorders>
          </w:tcPr>
          <w:p w14:paraId="5622A124"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1,45</w:t>
            </w:r>
          </w:p>
        </w:tc>
      </w:tr>
      <w:tr w:rsidR="000A3B2B" w14:paraId="5F61D253" w14:textId="77777777">
        <w:trPr>
          <w:trHeight w:val="60"/>
          <w:tblCellSpacing w:w="0" w:type="dxa"/>
          <w:jc w:val="center"/>
        </w:trPr>
        <w:tc>
          <w:tcPr>
            <w:tcW w:w="382" w:type="dxa"/>
            <w:tcBorders>
              <w:top w:val="single" w:sz="6" w:space="0" w:color="000000"/>
              <w:left w:val="single" w:sz="6" w:space="0" w:color="000000"/>
              <w:bottom w:val="single" w:sz="6" w:space="0" w:color="000000"/>
              <w:right w:val="single" w:sz="6" w:space="0" w:color="000000"/>
            </w:tcBorders>
          </w:tcPr>
          <w:p w14:paraId="77B01C64"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08</w:t>
            </w:r>
          </w:p>
        </w:tc>
        <w:tc>
          <w:tcPr>
            <w:tcW w:w="1710" w:type="dxa"/>
            <w:tcBorders>
              <w:top w:val="single" w:sz="6" w:space="0" w:color="000000"/>
              <w:left w:val="single" w:sz="6" w:space="0" w:color="000000"/>
              <w:bottom w:val="single" w:sz="6" w:space="0" w:color="000000"/>
              <w:right w:val="single" w:sz="6" w:space="0" w:color="000000"/>
            </w:tcBorders>
          </w:tcPr>
          <w:p w14:paraId="3A3E2396"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600</w:t>
            </w:r>
          </w:p>
        </w:tc>
        <w:tc>
          <w:tcPr>
            <w:tcW w:w="1260" w:type="dxa"/>
            <w:tcBorders>
              <w:top w:val="single" w:sz="6" w:space="0" w:color="000000"/>
              <w:left w:val="single" w:sz="6" w:space="0" w:color="000000"/>
              <w:bottom w:val="single" w:sz="6" w:space="0" w:color="000000"/>
              <w:right w:val="single" w:sz="6" w:space="0" w:color="000000"/>
            </w:tcBorders>
          </w:tcPr>
          <w:p w14:paraId="7CE803AF"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1,45</w:t>
            </w:r>
          </w:p>
        </w:tc>
        <w:tc>
          <w:tcPr>
            <w:tcW w:w="1260" w:type="dxa"/>
            <w:tcBorders>
              <w:top w:val="single" w:sz="6" w:space="0" w:color="000000"/>
              <w:left w:val="single" w:sz="6" w:space="0" w:color="000000"/>
              <w:bottom w:val="single" w:sz="6" w:space="0" w:color="000000"/>
              <w:right w:val="single" w:sz="6" w:space="0" w:color="000000"/>
            </w:tcBorders>
          </w:tcPr>
          <w:p w14:paraId="6BE25ABD"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1,55</w:t>
            </w:r>
          </w:p>
        </w:tc>
        <w:tc>
          <w:tcPr>
            <w:tcW w:w="1260" w:type="dxa"/>
            <w:tcBorders>
              <w:top w:val="single" w:sz="6" w:space="0" w:color="000000"/>
              <w:left w:val="single" w:sz="6" w:space="0" w:color="000000"/>
              <w:bottom w:val="single" w:sz="6" w:space="0" w:color="000000"/>
              <w:right w:val="single" w:sz="6" w:space="0" w:color="000000"/>
            </w:tcBorders>
          </w:tcPr>
          <w:p w14:paraId="65C002C3"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1,50</w:t>
            </w:r>
          </w:p>
        </w:tc>
        <w:tc>
          <w:tcPr>
            <w:tcW w:w="1260" w:type="dxa"/>
            <w:tcBorders>
              <w:top w:val="single" w:sz="6" w:space="0" w:color="000000"/>
              <w:left w:val="single" w:sz="6" w:space="0" w:color="000000"/>
              <w:bottom w:val="single" w:sz="6" w:space="0" w:color="000000"/>
              <w:right w:val="single" w:sz="6" w:space="0" w:color="000000"/>
            </w:tcBorders>
          </w:tcPr>
          <w:p w14:paraId="1236E7A8"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1,60</w:t>
            </w:r>
          </w:p>
        </w:tc>
      </w:tr>
      <w:tr w:rsidR="000A3B2B" w14:paraId="1FA1C547" w14:textId="77777777">
        <w:trPr>
          <w:trHeight w:val="60"/>
          <w:tblCellSpacing w:w="0" w:type="dxa"/>
          <w:jc w:val="center"/>
        </w:trPr>
        <w:tc>
          <w:tcPr>
            <w:tcW w:w="382" w:type="dxa"/>
            <w:tcBorders>
              <w:top w:val="single" w:sz="6" w:space="0" w:color="000000"/>
              <w:left w:val="single" w:sz="6" w:space="0" w:color="000000"/>
              <w:bottom w:val="single" w:sz="6" w:space="0" w:color="000000"/>
              <w:right w:val="single" w:sz="6" w:space="0" w:color="000000"/>
            </w:tcBorders>
          </w:tcPr>
          <w:p w14:paraId="46CEA021"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09</w:t>
            </w:r>
          </w:p>
        </w:tc>
        <w:tc>
          <w:tcPr>
            <w:tcW w:w="1710" w:type="dxa"/>
            <w:tcBorders>
              <w:top w:val="single" w:sz="6" w:space="0" w:color="000000"/>
              <w:left w:val="single" w:sz="6" w:space="0" w:color="000000"/>
              <w:bottom w:val="single" w:sz="6" w:space="0" w:color="000000"/>
              <w:right w:val="single" w:sz="6" w:space="0" w:color="000000"/>
            </w:tcBorders>
          </w:tcPr>
          <w:p w14:paraId="7FE1F3FE"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700</w:t>
            </w:r>
          </w:p>
        </w:tc>
        <w:tc>
          <w:tcPr>
            <w:tcW w:w="1260" w:type="dxa"/>
            <w:tcBorders>
              <w:top w:val="single" w:sz="6" w:space="0" w:color="000000"/>
              <w:left w:val="single" w:sz="6" w:space="0" w:color="000000"/>
              <w:bottom w:val="single" w:sz="6" w:space="0" w:color="000000"/>
              <w:right w:val="single" w:sz="6" w:space="0" w:color="000000"/>
            </w:tcBorders>
          </w:tcPr>
          <w:p w14:paraId="1A5A4798"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1,60</w:t>
            </w:r>
          </w:p>
        </w:tc>
        <w:tc>
          <w:tcPr>
            <w:tcW w:w="1260" w:type="dxa"/>
            <w:tcBorders>
              <w:top w:val="single" w:sz="6" w:space="0" w:color="000000"/>
              <w:left w:val="single" w:sz="6" w:space="0" w:color="000000"/>
              <w:bottom w:val="single" w:sz="6" w:space="0" w:color="000000"/>
              <w:right w:val="single" w:sz="6" w:space="0" w:color="000000"/>
            </w:tcBorders>
          </w:tcPr>
          <w:p w14:paraId="1479507D"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1,70</w:t>
            </w:r>
          </w:p>
        </w:tc>
        <w:tc>
          <w:tcPr>
            <w:tcW w:w="1260" w:type="dxa"/>
            <w:tcBorders>
              <w:top w:val="single" w:sz="6" w:space="0" w:color="000000"/>
              <w:left w:val="single" w:sz="6" w:space="0" w:color="000000"/>
              <w:bottom w:val="single" w:sz="6" w:space="0" w:color="000000"/>
              <w:right w:val="single" w:sz="6" w:space="0" w:color="000000"/>
            </w:tcBorders>
          </w:tcPr>
          <w:p w14:paraId="0D117CB7"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1,65</w:t>
            </w:r>
          </w:p>
        </w:tc>
        <w:tc>
          <w:tcPr>
            <w:tcW w:w="1260" w:type="dxa"/>
            <w:tcBorders>
              <w:top w:val="single" w:sz="6" w:space="0" w:color="000000"/>
              <w:left w:val="single" w:sz="6" w:space="0" w:color="000000"/>
              <w:bottom w:val="single" w:sz="6" w:space="0" w:color="000000"/>
              <w:right w:val="single" w:sz="6" w:space="0" w:color="000000"/>
            </w:tcBorders>
          </w:tcPr>
          <w:p w14:paraId="72EA3FE2"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1,75</w:t>
            </w:r>
          </w:p>
        </w:tc>
      </w:tr>
      <w:tr w:rsidR="000A3B2B" w14:paraId="0C1AE7BB" w14:textId="77777777">
        <w:trPr>
          <w:trHeight w:val="60"/>
          <w:tblCellSpacing w:w="0" w:type="dxa"/>
          <w:jc w:val="center"/>
        </w:trPr>
        <w:tc>
          <w:tcPr>
            <w:tcW w:w="382" w:type="dxa"/>
            <w:tcBorders>
              <w:top w:val="single" w:sz="6" w:space="0" w:color="000000"/>
              <w:left w:val="single" w:sz="6" w:space="0" w:color="000000"/>
              <w:bottom w:val="single" w:sz="6" w:space="0" w:color="000000"/>
              <w:right w:val="single" w:sz="6" w:space="0" w:color="000000"/>
            </w:tcBorders>
          </w:tcPr>
          <w:p w14:paraId="1C19F828"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10</w:t>
            </w:r>
          </w:p>
        </w:tc>
        <w:tc>
          <w:tcPr>
            <w:tcW w:w="1710" w:type="dxa"/>
            <w:tcBorders>
              <w:top w:val="single" w:sz="6" w:space="0" w:color="000000"/>
              <w:left w:val="single" w:sz="6" w:space="0" w:color="000000"/>
              <w:bottom w:val="single" w:sz="6" w:space="0" w:color="000000"/>
              <w:right w:val="single" w:sz="6" w:space="0" w:color="000000"/>
            </w:tcBorders>
          </w:tcPr>
          <w:p w14:paraId="2B51D553"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800</w:t>
            </w:r>
          </w:p>
        </w:tc>
        <w:tc>
          <w:tcPr>
            <w:tcW w:w="1260" w:type="dxa"/>
            <w:tcBorders>
              <w:top w:val="single" w:sz="6" w:space="0" w:color="000000"/>
              <w:left w:val="single" w:sz="6" w:space="0" w:color="000000"/>
              <w:bottom w:val="single" w:sz="6" w:space="0" w:color="000000"/>
              <w:right w:val="single" w:sz="6" w:space="0" w:color="000000"/>
            </w:tcBorders>
          </w:tcPr>
          <w:p w14:paraId="7D718CDE"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1,75</w:t>
            </w:r>
          </w:p>
        </w:tc>
        <w:tc>
          <w:tcPr>
            <w:tcW w:w="1260" w:type="dxa"/>
            <w:tcBorders>
              <w:top w:val="single" w:sz="6" w:space="0" w:color="000000"/>
              <w:left w:val="single" w:sz="6" w:space="0" w:color="000000"/>
              <w:bottom w:val="single" w:sz="6" w:space="0" w:color="000000"/>
              <w:right w:val="single" w:sz="6" w:space="0" w:color="000000"/>
            </w:tcBorders>
          </w:tcPr>
          <w:p w14:paraId="083617F0"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1,85</w:t>
            </w:r>
          </w:p>
        </w:tc>
        <w:tc>
          <w:tcPr>
            <w:tcW w:w="1260" w:type="dxa"/>
            <w:tcBorders>
              <w:top w:val="single" w:sz="6" w:space="0" w:color="000000"/>
              <w:left w:val="single" w:sz="6" w:space="0" w:color="000000"/>
              <w:bottom w:val="single" w:sz="6" w:space="0" w:color="000000"/>
              <w:right w:val="single" w:sz="6" w:space="0" w:color="000000"/>
            </w:tcBorders>
          </w:tcPr>
          <w:p w14:paraId="1E410C42"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1,80</w:t>
            </w:r>
          </w:p>
        </w:tc>
        <w:tc>
          <w:tcPr>
            <w:tcW w:w="1260" w:type="dxa"/>
            <w:tcBorders>
              <w:top w:val="single" w:sz="6" w:space="0" w:color="000000"/>
              <w:left w:val="single" w:sz="6" w:space="0" w:color="000000"/>
              <w:bottom w:val="single" w:sz="6" w:space="0" w:color="000000"/>
              <w:right w:val="single" w:sz="6" w:space="0" w:color="000000"/>
            </w:tcBorders>
          </w:tcPr>
          <w:p w14:paraId="4080110D"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1,90</w:t>
            </w:r>
          </w:p>
        </w:tc>
      </w:tr>
      <w:tr w:rsidR="000A3B2B" w14:paraId="413829E4" w14:textId="77777777">
        <w:trPr>
          <w:trHeight w:val="60"/>
          <w:tblCellSpacing w:w="0" w:type="dxa"/>
          <w:jc w:val="center"/>
        </w:trPr>
        <w:tc>
          <w:tcPr>
            <w:tcW w:w="382" w:type="dxa"/>
            <w:tcBorders>
              <w:top w:val="single" w:sz="6" w:space="0" w:color="000000"/>
              <w:left w:val="single" w:sz="6" w:space="0" w:color="000000"/>
              <w:bottom w:val="single" w:sz="6" w:space="0" w:color="000000"/>
              <w:right w:val="single" w:sz="6" w:space="0" w:color="000000"/>
            </w:tcBorders>
          </w:tcPr>
          <w:p w14:paraId="7F38B9C3"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11</w:t>
            </w:r>
          </w:p>
        </w:tc>
        <w:tc>
          <w:tcPr>
            <w:tcW w:w="1710" w:type="dxa"/>
            <w:tcBorders>
              <w:top w:val="single" w:sz="6" w:space="0" w:color="000000"/>
              <w:left w:val="single" w:sz="6" w:space="0" w:color="000000"/>
              <w:bottom w:val="single" w:sz="6" w:space="0" w:color="000000"/>
              <w:right w:val="single" w:sz="6" w:space="0" w:color="000000"/>
            </w:tcBorders>
          </w:tcPr>
          <w:p w14:paraId="3E3B5CF5"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900</w:t>
            </w:r>
          </w:p>
        </w:tc>
        <w:tc>
          <w:tcPr>
            <w:tcW w:w="1260" w:type="dxa"/>
            <w:tcBorders>
              <w:top w:val="single" w:sz="6" w:space="0" w:color="000000"/>
              <w:left w:val="single" w:sz="6" w:space="0" w:color="000000"/>
              <w:bottom w:val="single" w:sz="6" w:space="0" w:color="000000"/>
              <w:right w:val="single" w:sz="6" w:space="0" w:color="000000"/>
            </w:tcBorders>
          </w:tcPr>
          <w:p w14:paraId="066A0B3C"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1,90</w:t>
            </w:r>
          </w:p>
        </w:tc>
        <w:tc>
          <w:tcPr>
            <w:tcW w:w="1260" w:type="dxa"/>
            <w:tcBorders>
              <w:top w:val="single" w:sz="6" w:space="0" w:color="000000"/>
              <w:left w:val="single" w:sz="6" w:space="0" w:color="000000"/>
              <w:bottom w:val="single" w:sz="6" w:space="0" w:color="000000"/>
              <w:right w:val="single" w:sz="6" w:space="0" w:color="000000"/>
            </w:tcBorders>
          </w:tcPr>
          <w:p w14:paraId="2D3DA350"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2,00</w:t>
            </w:r>
          </w:p>
        </w:tc>
        <w:tc>
          <w:tcPr>
            <w:tcW w:w="1260" w:type="dxa"/>
            <w:tcBorders>
              <w:top w:val="single" w:sz="6" w:space="0" w:color="000000"/>
              <w:left w:val="single" w:sz="6" w:space="0" w:color="000000"/>
              <w:bottom w:val="single" w:sz="6" w:space="0" w:color="000000"/>
              <w:right w:val="single" w:sz="6" w:space="0" w:color="000000"/>
            </w:tcBorders>
          </w:tcPr>
          <w:p w14:paraId="30AEF57A"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1,95</w:t>
            </w:r>
          </w:p>
        </w:tc>
        <w:tc>
          <w:tcPr>
            <w:tcW w:w="1260" w:type="dxa"/>
            <w:tcBorders>
              <w:top w:val="single" w:sz="6" w:space="0" w:color="000000"/>
              <w:left w:val="single" w:sz="6" w:space="0" w:color="000000"/>
              <w:bottom w:val="single" w:sz="6" w:space="0" w:color="000000"/>
              <w:right w:val="single" w:sz="6" w:space="0" w:color="000000"/>
            </w:tcBorders>
          </w:tcPr>
          <w:p w14:paraId="430C12C0"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2,05</w:t>
            </w:r>
          </w:p>
        </w:tc>
      </w:tr>
      <w:tr w:rsidR="000A3B2B" w14:paraId="2F1FE37C" w14:textId="77777777">
        <w:trPr>
          <w:trHeight w:val="60"/>
          <w:tblCellSpacing w:w="0" w:type="dxa"/>
          <w:jc w:val="center"/>
        </w:trPr>
        <w:tc>
          <w:tcPr>
            <w:tcW w:w="382" w:type="dxa"/>
            <w:tcBorders>
              <w:top w:val="single" w:sz="6" w:space="0" w:color="000000"/>
              <w:left w:val="single" w:sz="6" w:space="0" w:color="000000"/>
              <w:bottom w:val="single" w:sz="6" w:space="0" w:color="000000"/>
              <w:right w:val="single" w:sz="6" w:space="0" w:color="000000"/>
            </w:tcBorders>
          </w:tcPr>
          <w:p w14:paraId="22ABD703"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12</w:t>
            </w:r>
          </w:p>
        </w:tc>
        <w:tc>
          <w:tcPr>
            <w:tcW w:w="1710" w:type="dxa"/>
            <w:tcBorders>
              <w:top w:val="single" w:sz="6" w:space="0" w:color="000000"/>
              <w:left w:val="single" w:sz="6" w:space="0" w:color="000000"/>
              <w:bottom w:val="single" w:sz="6" w:space="0" w:color="000000"/>
              <w:right w:val="single" w:sz="6" w:space="0" w:color="000000"/>
            </w:tcBorders>
          </w:tcPr>
          <w:p w14:paraId="356456FF"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1000</w:t>
            </w:r>
          </w:p>
        </w:tc>
        <w:tc>
          <w:tcPr>
            <w:tcW w:w="1260" w:type="dxa"/>
            <w:tcBorders>
              <w:top w:val="single" w:sz="6" w:space="0" w:color="000000"/>
              <w:left w:val="single" w:sz="6" w:space="0" w:color="000000"/>
              <w:bottom w:val="single" w:sz="6" w:space="0" w:color="000000"/>
              <w:right w:val="single" w:sz="6" w:space="0" w:color="000000"/>
            </w:tcBorders>
          </w:tcPr>
          <w:p w14:paraId="656A445C"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2,00</w:t>
            </w:r>
          </w:p>
        </w:tc>
        <w:tc>
          <w:tcPr>
            <w:tcW w:w="1260" w:type="dxa"/>
            <w:tcBorders>
              <w:top w:val="single" w:sz="6" w:space="0" w:color="000000"/>
              <w:left w:val="single" w:sz="6" w:space="0" w:color="000000"/>
              <w:bottom w:val="single" w:sz="6" w:space="0" w:color="000000"/>
              <w:right w:val="single" w:sz="6" w:space="0" w:color="000000"/>
            </w:tcBorders>
          </w:tcPr>
          <w:p w14:paraId="38CD6174"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2,10</w:t>
            </w:r>
          </w:p>
        </w:tc>
        <w:tc>
          <w:tcPr>
            <w:tcW w:w="1260" w:type="dxa"/>
            <w:tcBorders>
              <w:top w:val="single" w:sz="6" w:space="0" w:color="000000"/>
              <w:left w:val="single" w:sz="6" w:space="0" w:color="000000"/>
              <w:bottom w:val="single" w:sz="6" w:space="0" w:color="000000"/>
              <w:right w:val="single" w:sz="6" w:space="0" w:color="000000"/>
            </w:tcBorders>
          </w:tcPr>
          <w:p w14:paraId="3A20656D"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2,05</w:t>
            </w:r>
          </w:p>
        </w:tc>
        <w:tc>
          <w:tcPr>
            <w:tcW w:w="1260" w:type="dxa"/>
            <w:tcBorders>
              <w:top w:val="single" w:sz="6" w:space="0" w:color="000000"/>
              <w:left w:val="single" w:sz="6" w:space="0" w:color="000000"/>
              <w:bottom w:val="single" w:sz="6" w:space="0" w:color="000000"/>
              <w:right w:val="single" w:sz="6" w:space="0" w:color="000000"/>
            </w:tcBorders>
          </w:tcPr>
          <w:p w14:paraId="07DFC89D"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2,15</w:t>
            </w:r>
          </w:p>
        </w:tc>
      </w:tr>
      <w:tr w:rsidR="000A3B2B" w14:paraId="2801A5E4" w14:textId="77777777">
        <w:trPr>
          <w:trHeight w:val="60"/>
          <w:tblCellSpacing w:w="0" w:type="dxa"/>
          <w:jc w:val="center"/>
        </w:trPr>
        <w:tc>
          <w:tcPr>
            <w:tcW w:w="382" w:type="dxa"/>
            <w:tcBorders>
              <w:top w:val="single" w:sz="6" w:space="0" w:color="000000"/>
              <w:left w:val="single" w:sz="6" w:space="0" w:color="000000"/>
              <w:bottom w:val="single" w:sz="6" w:space="0" w:color="000000"/>
              <w:right w:val="single" w:sz="6" w:space="0" w:color="000000"/>
            </w:tcBorders>
          </w:tcPr>
          <w:p w14:paraId="7566EB94"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13</w:t>
            </w:r>
          </w:p>
        </w:tc>
        <w:tc>
          <w:tcPr>
            <w:tcW w:w="1710" w:type="dxa"/>
            <w:tcBorders>
              <w:top w:val="single" w:sz="6" w:space="0" w:color="000000"/>
              <w:left w:val="single" w:sz="6" w:space="0" w:color="000000"/>
              <w:bottom w:val="single" w:sz="6" w:space="0" w:color="000000"/>
              <w:right w:val="single" w:sz="6" w:space="0" w:color="000000"/>
            </w:tcBorders>
          </w:tcPr>
          <w:p w14:paraId="08687D50"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1200</w:t>
            </w:r>
          </w:p>
        </w:tc>
        <w:tc>
          <w:tcPr>
            <w:tcW w:w="1260" w:type="dxa"/>
            <w:tcBorders>
              <w:top w:val="single" w:sz="6" w:space="0" w:color="000000"/>
              <w:left w:val="single" w:sz="6" w:space="0" w:color="000000"/>
              <w:bottom w:val="single" w:sz="6" w:space="0" w:color="000000"/>
              <w:right w:val="single" w:sz="6" w:space="0" w:color="000000"/>
            </w:tcBorders>
          </w:tcPr>
          <w:p w14:paraId="2B9C12F2"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2,30</w:t>
            </w:r>
          </w:p>
        </w:tc>
        <w:tc>
          <w:tcPr>
            <w:tcW w:w="1260" w:type="dxa"/>
            <w:tcBorders>
              <w:top w:val="single" w:sz="6" w:space="0" w:color="000000"/>
              <w:left w:val="single" w:sz="6" w:space="0" w:color="000000"/>
              <w:bottom w:val="single" w:sz="6" w:space="0" w:color="000000"/>
              <w:right w:val="single" w:sz="6" w:space="0" w:color="000000"/>
            </w:tcBorders>
          </w:tcPr>
          <w:p w14:paraId="1D8FA030"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2,40</w:t>
            </w:r>
          </w:p>
        </w:tc>
        <w:tc>
          <w:tcPr>
            <w:tcW w:w="1260" w:type="dxa"/>
            <w:tcBorders>
              <w:top w:val="single" w:sz="6" w:space="0" w:color="000000"/>
              <w:left w:val="single" w:sz="6" w:space="0" w:color="000000"/>
              <w:bottom w:val="single" w:sz="6" w:space="0" w:color="000000"/>
              <w:right w:val="single" w:sz="6" w:space="0" w:color="000000"/>
            </w:tcBorders>
          </w:tcPr>
          <w:p w14:paraId="2A0115D9"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2,35</w:t>
            </w:r>
          </w:p>
        </w:tc>
        <w:tc>
          <w:tcPr>
            <w:tcW w:w="1260" w:type="dxa"/>
            <w:tcBorders>
              <w:top w:val="single" w:sz="6" w:space="0" w:color="000000"/>
              <w:left w:val="single" w:sz="6" w:space="0" w:color="000000"/>
              <w:bottom w:val="single" w:sz="6" w:space="0" w:color="000000"/>
              <w:right w:val="single" w:sz="6" w:space="0" w:color="000000"/>
            </w:tcBorders>
          </w:tcPr>
          <w:p w14:paraId="06AFF975"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2,50</w:t>
            </w:r>
          </w:p>
        </w:tc>
      </w:tr>
    </w:tbl>
    <w:p w14:paraId="6245F1FE"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p>
    <w:p w14:paraId="30619922" w14:textId="77777777" w:rsidR="000A3B2B" w:rsidRDefault="000A3B2B" w:rsidP="000E4A55">
      <w:pPr>
        <w:autoSpaceDE w:val="0"/>
        <w:autoSpaceDN w:val="0"/>
        <w:adjustRightInd w:val="0"/>
        <w:spacing w:before="60" w:after="30" w:line="240" w:lineRule="auto"/>
        <w:jc w:val="both"/>
        <w:rPr>
          <w:rFonts w:ascii="Arial" w:hAnsi="Arial" w:cs="Arial"/>
          <w:color w:val="000000"/>
          <w:sz w:val="18"/>
          <w:szCs w:val="18"/>
          <w:lang w:val="x-none"/>
        </w:rPr>
      </w:pPr>
      <w:r>
        <w:rPr>
          <w:rFonts w:ascii="Arial" w:hAnsi="Arial" w:cs="Arial"/>
          <w:color w:val="000000"/>
          <w:sz w:val="18"/>
          <w:szCs w:val="18"/>
          <w:lang w:val="x-none"/>
        </w:rPr>
        <w:t>Uwagi:</w:t>
      </w:r>
    </w:p>
    <w:p w14:paraId="2B3C6A7F"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1.</w:t>
      </w:r>
      <w:r>
        <w:rPr>
          <w:rFonts w:ascii="Arial" w:hAnsi="Arial" w:cs="Arial"/>
          <w:color w:val="000000"/>
          <w:sz w:val="18"/>
          <w:szCs w:val="18"/>
          <w:lang w:val="x-none"/>
        </w:rPr>
        <w:tab/>
        <w:t>Podane w tablicy szerokości wykopów dotyczą gruntów suchych (o normalnej wilgotności). Przy wykonaniu wykopów w gruntach nawodnionych podane wymiary szerokości należy zwiększać o 10 cm. Zwiększenie szerokości wykopów stosuje się tylko wówczas, gdy poziom wód gruntowych znajduje się ponad 1 m od dna wykopu.</w:t>
      </w:r>
    </w:p>
    <w:p w14:paraId="47CE4601"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2.</w:t>
      </w:r>
      <w:r>
        <w:rPr>
          <w:rFonts w:ascii="Arial" w:hAnsi="Arial" w:cs="Arial"/>
          <w:color w:val="000000"/>
          <w:sz w:val="18"/>
          <w:szCs w:val="18"/>
          <w:lang w:val="x-none"/>
        </w:rPr>
        <w:tab/>
        <w:t>Podane w kolumnach e i f szerokości wykopów obowiązują dla rurociągów bez obudowy betonowej.</w:t>
      </w:r>
    </w:p>
    <w:p w14:paraId="4F607339"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3.</w:t>
      </w:r>
      <w:r>
        <w:rPr>
          <w:rFonts w:ascii="Arial" w:hAnsi="Arial" w:cs="Arial"/>
          <w:color w:val="000000"/>
          <w:sz w:val="18"/>
          <w:szCs w:val="18"/>
          <w:lang w:val="x-none"/>
        </w:rPr>
        <w:tab/>
        <w:t>Dla rurociągów o przekroju jajowym należy zakładać powiększenie o 5 cm szerokości wykopów.</w:t>
      </w:r>
    </w:p>
    <w:p w14:paraId="423129E6"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4.</w:t>
      </w:r>
      <w:r>
        <w:rPr>
          <w:rFonts w:ascii="Arial" w:hAnsi="Arial" w:cs="Arial"/>
          <w:color w:val="000000"/>
          <w:sz w:val="18"/>
          <w:szCs w:val="18"/>
          <w:lang w:val="x-none"/>
        </w:rPr>
        <w:tab/>
        <w:t>W sytuacjach uzasadnionych dopuszcza się stosowanie innych szerokości wykopów od podanych w tabeli.</w:t>
      </w:r>
    </w:p>
    <w:p w14:paraId="73212E60"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Przy układaniu rurociągów z rur preizolowanych wymiary dna wykopu nie umocnionego o ścianach pionowych należy przyjmować zgodnie z tablicą nr 3 w pkt. 5.3. niniejszej specyfikacji.</w:t>
      </w:r>
    </w:p>
    <w:p w14:paraId="5AFD0033"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Objętość ziemi do zasypania oblicza się jako różnicę objętości wykopu i sumy objętości ułożonej rury, objętości podłoża i przysypania do wysokości 0,5 m ponad wierzch rury.</w:t>
      </w:r>
    </w:p>
    <w:p w14:paraId="36FD90F3" w14:textId="77777777" w:rsidR="000A3B2B" w:rsidRDefault="000A3B2B" w:rsidP="000E4A55">
      <w:pPr>
        <w:autoSpaceDE w:val="0"/>
        <w:autoSpaceDN w:val="0"/>
        <w:adjustRightInd w:val="0"/>
        <w:spacing w:after="30" w:line="240" w:lineRule="auto"/>
        <w:jc w:val="both"/>
        <w:rPr>
          <w:rFonts w:ascii="Arial" w:hAnsi="Arial" w:cs="Arial"/>
          <w:b/>
          <w:bCs/>
          <w:color w:val="000000"/>
          <w:spacing w:val="15"/>
          <w:sz w:val="18"/>
          <w:szCs w:val="18"/>
          <w:lang w:val="x-none"/>
        </w:rPr>
      </w:pPr>
      <w:r>
        <w:rPr>
          <w:rFonts w:ascii="Arial" w:hAnsi="Arial" w:cs="Arial"/>
          <w:b/>
          <w:bCs/>
          <w:color w:val="000000"/>
          <w:spacing w:val="15"/>
          <w:sz w:val="18"/>
          <w:szCs w:val="18"/>
          <w:lang w:val="x-none"/>
        </w:rPr>
        <w:t>WARIANT  II</w:t>
      </w:r>
    </w:p>
    <w:p w14:paraId="38AE8DC0"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Roboty ziemne dla wykopów liniowych należy </w:t>
      </w:r>
      <w:proofErr w:type="spellStart"/>
      <w:r>
        <w:rPr>
          <w:rFonts w:ascii="Arial" w:hAnsi="Arial" w:cs="Arial"/>
          <w:color w:val="000000"/>
          <w:sz w:val="18"/>
          <w:szCs w:val="18"/>
          <w:lang w:val="x-none"/>
        </w:rPr>
        <w:t>obmiarować</w:t>
      </w:r>
      <w:proofErr w:type="spellEnd"/>
      <w:r>
        <w:rPr>
          <w:rFonts w:ascii="Arial" w:hAnsi="Arial" w:cs="Arial"/>
          <w:color w:val="000000"/>
          <w:sz w:val="18"/>
          <w:szCs w:val="18"/>
          <w:lang w:val="x-none"/>
        </w:rPr>
        <w:t xml:space="preserve"> w m długości układanych przewodów łącznie z wykonaniem umocnienia ścian wykopów, wykonaniem podłoża pod rurociągi oraz ewentualnym obniżeniem poziomu wody gruntowej.</w:t>
      </w:r>
    </w:p>
    <w:p w14:paraId="1B80BF91" w14:textId="77777777" w:rsidR="000A3B2B" w:rsidRDefault="000A3B2B" w:rsidP="000E4A55">
      <w:pPr>
        <w:autoSpaceDE w:val="0"/>
        <w:autoSpaceDN w:val="0"/>
        <w:adjustRightInd w:val="0"/>
        <w:spacing w:before="225" w:after="12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8.</w:t>
      </w:r>
      <w:r>
        <w:rPr>
          <w:rFonts w:ascii="Arial" w:hAnsi="Arial" w:cs="Arial"/>
          <w:b/>
          <w:bCs/>
          <w:color w:val="000000"/>
          <w:sz w:val="18"/>
          <w:szCs w:val="18"/>
          <w:lang w:val="x-none"/>
        </w:rPr>
        <w:tab/>
        <w:t>SPOSÓB ODBIORU ROBÓT</w:t>
      </w:r>
    </w:p>
    <w:p w14:paraId="3541D5B9" w14:textId="77777777" w:rsidR="000A3B2B" w:rsidRDefault="000A3B2B" w:rsidP="000E4A55">
      <w:pPr>
        <w:autoSpaceDE w:val="0"/>
        <w:autoSpaceDN w:val="0"/>
        <w:adjustRightInd w:val="0"/>
        <w:spacing w:after="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8.1.</w:t>
      </w:r>
      <w:r>
        <w:rPr>
          <w:rFonts w:ascii="Arial" w:hAnsi="Arial" w:cs="Arial"/>
          <w:b/>
          <w:bCs/>
          <w:color w:val="000000"/>
          <w:sz w:val="18"/>
          <w:szCs w:val="18"/>
          <w:lang w:val="x-none"/>
        </w:rPr>
        <w:tab/>
        <w:t>Ogólne zasady odbioru robót podano w ST „Wymagania ogólne” Kod CPV 45000000-7, pkt 8</w:t>
      </w:r>
    </w:p>
    <w:p w14:paraId="39B0EEF4" w14:textId="77777777" w:rsidR="000A3B2B" w:rsidRDefault="000A3B2B" w:rsidP="000E4A55">
      <w:pPr>
        <w:autoSpaceDE w:val="0"/>
        <w:autoSpaceDN w:val="0"/>
        <w:adjustRightInd w:val="0"/>
        <w:spacing w:after="0" w:line="240" w:lineRule="auto"/>
        <w:jc w:val="both"/>
        <w:rPr>
          <w:rFonts w:ascii="Arial" w:hAnsi="Arial" w:cs="Arial"/>
          <w:color w:val="000000"/>
          <w:sz w:val="18"/>
          <w:szCs w:val="18"/>
          <w:lang w:val="x-none"/>
        </w:rPr>
      </w:pPr>
    </w:p>
    <w:p w14:paraId="53CBCAD3" w14:textId="77777777" w:rsidR="000A3B2B" w:rsidRDefault="000A3B2B" w:rsidP="000E4A5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8.2.</w:t>
      </w:r>
      <w:r>
        <w:rPr>
          <w:rFonts w:ascii="Arial" w:hAnsi="Arial" w:cs="Arial"/>
          <w:b/>
          <w:bCs/>
          <w:color w:val="000000"/>
          <w:sz w:val="18"/>
          <w:szCs w:val="18"/>
          <w:lang w:val="x-none"/>
        </w:rPr>
        <w:tab/>
        <w:t>Kontrola i odbiór robót wykopowych</w:t>
      </w:r>
    </w:p>
    <w:p w14:paraId="4C30E5BB"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Przed przystąpieniem do robót montażowych sieci sanitarnych należy dokonać kontroli i odbioru robót ziemnych, (zasadniczych i towarzyszących). Kontrola ta powinna dotyczyć:</w:t>
      </w:r>
    </w:p>
    <w:p w14:paraId="0AEA120D"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zabezpieczenia terenu wokół wykopów z wolnym pasem wzdłuż wykopu,</w:t>
      </w:r>
    </w:p>
    <w:p w14:paraId="50C32B67"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obudowy wykopu,</w:t>
      </w:r>
    </w:p>
    <w:p w14:paraId="6A64EE79"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kąta nachylenia skarp,</w:t>
      </w:r>
    </w:p>
    <w:p w14:paraId="3D1D92EA"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lastRenderedPageBreak/>
        <w:t>–</w:t>
      </w:r>
      <w:r>
        <w:rPr>
          <w:rFonts w:ascii="Arial" w:hAnsi="Arial" w:cs="Arial"/>
          <w:color w:val="000000"/>
          <w:sz w:val="18"/>
          <w:szCs w:val="18"/>
          <w:lang w:val="x-none"/>
        </w:rPr>
        <w:tab/>
        <w:t>zabezpieczenia krzyżujących się z wykopem urządzeń podziemnych,</w:t>
      </w:r>
    </w:p>
    <w:p w14:paraId="3299F79F"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zejścia do wykopów,</w:t>
      </w:r>
    </w:p>
    <w:p w14:paraId="57BD55B8"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podłoża,</w:t>
      </w:r>
    </w:p>
    <w:p w14:paraId="158E4E36"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drenażu,</w:t>
      </w:r>
    </w:p>
    <w:p w14:paraId="0F5B2358"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ścianki szczelnej,</w:t>
      </w:r>
    </w:p>
    <w:p w14:paraId="3667A383"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igłofiltrów.</w:t>
      </w:r>
    </w:p>
    <w:p w14:paraId="40F8A970" w14:textId="77777777" w:rsidR="000A3B2B" w:rsidRDefault="000A3B2B" w:rsidP="000E4A55">
      <w:pPr>
        <w:autoSpaceDE w:val="0"/>
        <w:autoSpaceDN w:val="0"/>
        <w:adjustRightInd w:val="0"/>
        <w:spacing w:after="0" w:line="240" w:lineRule="auto"/>
        <w:jc w:val="both"/>
        <w:rPr>
          <w:rFonts w:ascii="Arial" w:hAnsi="Arial" w:cs="Arial"/>
          <w:color w:val="000000"/>
          <w:sz w:val="18"/>
          <w:szCs w:val="18"/>
          <w:lang w:val="x-none"/>
        </w:rPr>
      </w:pPr>
      <w:r>
        <w:rPr>
          <w:rFonts w:ascii="Arial" w:hAnsi="Arial" w:cs="Arial"/>
          <w:color w:val="000000"/>
          <w:sz w:val="18"/>
          <w:szCs w:val="18"/>
          <w:lang w:val="x-none"/>
        </w:rPr>
        <w:t>Odbioru robót wykopowych należy dokonać zgodnie z PN-B-10725:1997 i PN-EN 1610:2015.</w:t>
      </w:r>
    </w:p>
    <w:p w14:paraId="1E890727" w14:textId="77777777" w:rsidR="000A3B2B" w:rsidRDefault="000A3B2B" w:rsidP="000E4A55">
      <w:pPr>
        <w:autoSpaceDE w:val="0"/>
        <w:autoSpaceDN w:val="0"/>
        <w:adjustRightInd w:val="0"/>
        <w:spacing w:after="0" w:line="240" w:lineRule="auto"/>
        <w:jc w:val="both"/>
        <w:rPr>
          <w:rFonts w:ascii="Arial" w:hAnsi="Arial" w:cs="Arial"/>
          <w:color w:val="000000"/>
          <w:sz w:val="18"/>
          <w:szCs w:val="18"/>
          <w:lang w:val="x-none"/>
        </w:rPr>
      </w:pPr>
    </w:p>
    <w:p w14:paraId="09E4385D" w14:textId="77777777" w:rsidR="000A3B2B" w:rsidRDefault="000A3B2B" w:rsidP="000E4A5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8.3.</w:t>
      </w:r>
      <w:r>
        <w:rPr>
          <w:rFonts w:ascii="Arial" w:hAnsi="Arial" w:cs="Arial"/>
          <w:b/>
          <w:bCs/>
          <w:color w:val="000000"/>
          <w:sz w:val="18"/>
          <w:szCs w:val="18"/>
          <w:lang w:val="x-none"/>
        </w:rPr>
        <w:tab/>
        <w:t>Odbiór techniczny częściowy</w:t>
      </w:r>
    </w:p>
    <w:p w14:paraId="13530F6B" w14:textId="77777777" w:rsidR="000A3B2B" w:rsidRDefault="000A3B2B" w:rsidP="000E4A5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8.3.1.</w:t>
      </w:r>
      <w:r>
        <w:rPr>
          <w:rFonts w:ascii="Arial" w:hAnsi="Arial" w:cs="Arial"/>
          <w:b/>
          <w:bCs/>
          <w:color w:val="000000"/>
          <w:sz w:val="18"/>
          <w:szCs w:val="18"/>
          <w:lang w:val="x-none"/>
        </w:rPr>
        <w:tab/>
        <w:t>Przy odbiorze częściowym powinny być przedstawione następujące dokumenty:</w:t>
      </w:r>
    </w:p>
    <w:p w14:paraId="74834838"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a)</w:t>
      </w:r>
      <w:r>
        <w:rPr>
          <w:rFonts w:ascii="Arial" w:hAnsi="Arial" w:cs="Arial"/>
          <w:color w:val="000000"/>
          <w:sz w:val="18"/>
          <w:szCs w:val="18"/>
          <w:lang w:val="x-none"/>
        </w:rPr>
        <w:tab/>
        <w:t>pozwolenie na budowę wydane przez właściwy terenowy organ administracji państwowej,</w:t>
      </w:r>
    </w:p>
    <w:p w14:paraId="6B769011"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b)</w:t>
      </w:r>
      <w:r>
        <w:rPr>
          <w:rFonts w:ascii="Arial" w:hAnsi="Arial" w:cs="Arial"/>
          <w:color w:val="000000"/>
          <w:sz w:val="18"/>
          <w:szCs w:val="18"/>
          <w:lang w:val="x-none"/>
        </w:rPr>
        <w:tab/>
        <w:t>projekt techniczny przewodu,</w:t>
      </w:r>
    </w:p>
    <w:p w14:paraId="3E81C29A"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c)</w:t>
      </w:r>
      <w:r>
        <w:rPr>
          <w:rFonts w:ascii="Arial" w:hAnsi="Arial" w:cs="Arial"/>
          <w:color w:val="000000"/>
          <w:sz w:val="18"/>
          <w:szCs w:val="18"/>
          <w:lang w:val="x-none"/>
        </w:rPr>
        <w:tab/>
        <w:t>dane geotechniczne zawierające informacje dotyczące:</w:t>
      </w:r>
    </w:p>
    <w:p w14:paraId="1313737A" w14:textId="77777777" w:rsidR="000A3B2B" w:rsidRDefault="000A3B2B" w:rsidP="000E4A55">
      <w:pPr>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zakwalifikowania gruntów do odpowiedniej kategorii,</w:t>
      </w:r>
    </w:p>
    <w:p w14:paraId="6C41C784" w14:textId="77777777" w:rsidR="000A3B2B" w:rsidRDefault="000A3B2B" w:rsidP="000E4A55">
      <w:pPr>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wyników badań gruntów, ich właściwości, głębokości przemarzania, warunków posadowienia i ochrony podłoża gruntowego, uziarnienia warstwy wodonośnej,</w:t>
      </w:r>
    </w:p>
    <w:p w14:paraId="328FF5A3" w14:textId="77777777" w:rsidR="000A3B2B" w:rsidRDefault="000A3B2B" w:rsidP="000E4A55">
      <w:pPr>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poziomu wód gruntowych i powierzchniowych oraz okresowych wahań tych poziomów,</w:t>
      </w:r>
    </w:p>
    <w:p w14:paraId="57CF2A3B" w14:textId="77777777" w:rsidR="000A3B2B" w:rsidRDefault="000A3B2B" w:rsidP="000E4A55">
      <w:pPr>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stopnia agresywności środowiska gruntowo-wodnego,</w:t>
      </w:r>
    </w:p>
    <w:p w14:paraId="4194063B" w14:textId="77777777" w:rsidR="000A3B2B" w:rsidRDefault="000A3B2B" w:rsidP="000E4A55">
      <w:pPr>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stanu terenu określonego przez przystąpieniem do robót,</w:t>
      </w:r>
    </w:p>
    <w:p w14:paraId="66BFD561"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d)</w:t>
      </w:r>
      <w:r>
        <w:rPr>
          <w:rFonts w:ascii="Arial" w:hAnsi="Arial" w:cs="Arial"/>
          <w:color w:val="000000"/>
          <w:sz w:val="18"/>
          <w:szCs w:val="18"/>
          <w:lang w:val="x-none"/>
        </w:rPr>
        <w:tab/>
        <w:t>dziennik budowy,</w:t>
      </w:r>
    </w:p>
    <w:p w14:paraId="6869E32C"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e)</w:t>
      </w:r>
      <w:r>
        <w:rPr>
          <w:rFonts w:ascii="Arial" w:hAnsi="Arial" w:cs="Arial"/>
          <w:color w:val="000000"/>
          <w:sz w:val="18"/>
          <w:szCs w:val="18"/>
          <w:lang w:val="x-none"/>
        </w:rPr>
        <w:tab/>
        <w:t>dowody uzasadniające zmiany i uzupełnienia wprowadzone w trakcie budowy,</w:t>
      </w:r>
    </w:p>
    <w:p w14:paraId="413CEF44"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f)</w:t>
      </w:r>
      <w:r>
        <w:rPr>
          <w:rFonts w:ascii="Arial" w:hAnsi="Arial" w:cs="Arial"/>
          <w:color w:val="000000"/>
          <w:sz w:val="18"/>
          <w:szCs w:val="18"/>
          <w:lang w:val="x-none"/>
        </w:rPr>
        <w:tab/>
        <w:t>dokumenty dotyczące jakości wbudowanych materiałów,</w:t>
      </w:r>
    </w:p>
    <w:p w14:paraId="59B3ED33"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g)</w:t>
      </w:r>
      <w:r>
        <w:rPr>
          <w:rFonts w:ascii="Arial" w:hAnsi="Arial" w:cs="Arial"/>
          <w:color w:val="000000"/>
          <w:sz w:val="18"/>
          <w:szCs w:val="18"/>
          <w:lang w:val="x-none"/>
        </w:rPr>
        <w:tab/>
        <w:t>protokoły poprzednich odbiorów częściowych,</w:t>
      </w:r>
    </w:p>
    <w:p w14:paraId="669FB423"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h)</w:t>
      </w:r>
      <w:r>
        <w:rPr>
          <w:rFonts w:ascii="Arial" w:hAnsi="Arial" w:cs="Arial"/>
          <w:color w:val="000000"/>
          <w:sz w:val="18"/>
          <w:szCs w:val="18"/>
          <w:lang w:val="x-none"/>
        </w:rPr>
        <w:tab/>
        <w:t>specjalne ustalenia użytkownika (zleceniodawcy) z wykonawcą robót, dotyczące jakości prac.</w:t>
      </w:r>
    </w:p>
    <w:p w14:paraId="17CE9129" w14:textId="77777777" w:rsidR="000A3B2B" w:rsidRDefault="000A3B2B" w:rsidP="000E4A5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8.3.2.</w:t>
      </w:r>
      <w:r>
        <w:rPr>
          <w:rFonts w:ascii="Arial" w:hAnsi="Arial" w:cs="Arial"/>
          <w:b/>
          <w:bCs/>
          <w:color w:val="000000"/>
          <w:sz w:val="18"/>
          <w:szCs w:val="18"/>
          <w:lang w:val="x-none"/>
        </w:rPr>
        <w:tab/>
        <w:t xml:space="preserve">Badania przy odbiorze technicznym częściowym </w:t>
      </w:r>
    </w:p>
    <w:p w14:paraId="6AA3A1B1"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Przy odbiorze technicznym częściowym należy wykonać następujące badania:</w:t>
      </w:r>
    </w:p>
    <w:p w14:paraId="227EEE4D"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a)</w:t>
      </w:r>
      <w:r>
        <w:rPr>
          <w:rFonts w:ascii="Arial" w:hAnsi="Arial" w:cs="Arial"/>
          <w:color w:val="000000"/>
          <w:sz w:val="18"/>
          <w:szCs w:val="18"/>
          <w:lang w:val="x-none"/>
        </w:rPr>
        <w:tab/>
        <w:t>bezpiecznej odległości przewodu od budowli sąsiadującej – odległość krawędzi dna wykopu od ściany fundamentu budowli sąsiadującej z wykopem mierzy się z dokładnością do 0,1 m i porównuje z odległością w dokumentacji projektowej,</w:t>
      </w:r>
    </w:p>
    <w:p w14:paraId="7A88C222"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b)</w:t>
      </w:r>
      <w:r>
        <w:rPr>
          <w:rFonts w:ascii="Arial" w:hAnsi="Arial" w:cs="Arial"/>
          <w:color w:val="000000"/>
          <w:sz w:val="18"/>
          <w:szCs w:val="18"/>
          <w:lang w:val="x-none"/>
        </w:rPr>
        <w:tab/>
        <w:t>podłoża naturalnego – bada się przez oględziny zewnętrzne, które polegają na stwierdzeniu, czy grunt podłoża jest sypki i naturalnej wilgotności,</w:t>
      </w:r>
    </w:p>
    <w:p w14:paraId="6B8C7B19"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c)</w:t>
      </w:r>
      <w:r>
        <w:rPr>
          <w:rFonts w:ascii="Arial" w:hAnsi="Arial" w:cs="Arial"/>
          <w:color w:val="000000"/>
          <w:sz w:val="18"/>
          <w:szCs w:val="18"/>
          <w:lang w:val="x-none"/>
        </w:rPr>
        <w:tab/>
        <w:t>podłoża wzmocnionego – sprawdza się przez oględziny zewnętrzne i pomiar warstwy z dokładnością do 0,01 m. Pomiaru dokonuje się w trzech dowolnie wybranych miejscach odbieranego odcinka, oddalonych od siebie co najmniej o 30 m,</w:t>
      </w:r>
    </w:p>
    <w:p w14:paraId="075B6BE4"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d)</w:t>
      </w:r>
      <w:r>
        <w:rPr>
          <w:rFonts w:ascii="Arial" w:hAnsi="Arial" w:cs="Arial"/>
          <w:color w:val="000000"/>
          <w:sz w:val="18"/>
          <w:szCs w:val="18"/>
          <w:lang w:val="x-none"/>
        </w:rPr>
        <w:tab/>
        <w:t>dopuszczalnego odchylenia w planie. Pomiaru dokonuje się z dokładnością do 0,01 m w trzech dowolnie wybranych miejscach odległych od siebie co najmniej o 30 m,</w:t>
      </w:r>
    </w:p>
    <w:p w14:paraId="5946BC67"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e)</w:t>
      </w:r>
      <w:r>
        <w:rPr>
          <w:rFonts w:ascii="Arial" w:hAnsi="Arial" w:cs="Arial"/>
          <w:color w:val="000000"/>
          <w:sz w:val="18"/>
          <w:szCs w:val="18"/>
          <w:lang w:val="x-none"/>
        </w:rPr>
        <w:tab/>
        <w:t>dopuszczalnych odchyleń spadku (różnice rzędnych podłoża). Pomiaru należy dokonać z dokładnością do 0,01 m w trzech dowolnie wybranych miejscach odległych od siebie co najmniej o 30 m,</w:t>
      </w:r>
    </w:p>
    <w:p w14:paraId="09B6AC90"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f)</w:t>
      </w:r>
      <w:r>
        <w:rPr>
          <w:rFonts w:ascii="Arial" w:hAnsi="Arial" w:cs="Arial"/>
          <w:color w:val="000000"/>
          <w:sz w:val="18"/>
          <w:szCs w:val="18"/>
          <w:lang w:val="x-none"/>
        </w:rPr>
        <w:tab/>
        <w:t xml:space="preserve">stanu </w:t>
      </w:r>
      <w:proofErr w:type="spellStart"/>
      <w:r>
        <w:rPr>
          <w:rFonts w:ascii="Arial" w:hAnsi="Arial" w:cs="Arial"/>
          <w:color w:val="000000"/>
          <w:sz w:val="18"/>
          <w:szCs w:val="18"/>
          <w:lang w:val="x-none"/>
        </w:rPr>
        <w:t>deskowań</w:t>
      </w:r>
      <w:proofErr w:type="spellEnd"/>
      <w:r>
        <w:rPr>
          <w:rFonts w:ascii="Arial" w:hAnsi="Arial" w:cs="Arial"/>
          <w:color w:val="000000"/>
          <w:sz w:val="18"/>
          <w:szCs w:val="18"/>
          <w:lang w:val="x-none"/>
        </w:rPr>
        <w:t xml:space="preserve"> wykopów pod względem bezpieczeństwa pracy robotników,</w:t>
      </w:r>
    </w:p>
    <w:p w14:paraId="4006CE6E"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g)</w:t>
      </w:r>
      <w:r>
        <w:rPr>
          <w:rFonts w:ascii="Arial" w:hAnsi="Arial" w:cs="Arial"/>
          <w:color w:val="000000"/>
          <w:sz w:val="18"/>
          <w:szCs w:val="18"/>
          <w:lang w:val="x-none"/>
        </w:rPr>
        <w:tab/>
        <w:t>nachylenia skarp w wykopach,</w:t>
      </w:r>
    </w:p>
    <w:p w14:paraId="602A1BB0"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h)</w:t>
      </w:r>
      <w:r>
        <w:rPr>
          <w:rFonts w:ascii="Arial" w:hAnsi="Arial" w:cs="Arial"/>
          <w:color w:val="000000"/>
          <w:sz w:val="18"/>
          <w:szCs w:val="18"/>
          <w:lang w:val="x-none"/>
        </w:rPr>
        <w:tab/>
        <w:t>wykonania niezbędnych zejść do wykopów w postaci drabin (nie rzadziej niż co 20 m).</w:t>
      </w:r>
    </w:p>
    <w:p w14:paraId="4A7524F3"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Wyniki badań powinny być wpisane do dziennika budowy i w protokole odbioru częściowego.</w:t>
      </w:r>
    </w:p>
    <w:p w14:paraId="0B175B58"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p>
    <w:p w14:paraId="1A17E303" w14:textId="77777777" w:rsidR="000A3B2B" w:rsidRDefault="000A3B2B" w:rsidP="000E4A5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8.4.</w:t>
      </w:r>
      <w:r>
        <w:rPr>
          <w:rFonts w:ascii="Arial" w:hAnsi="Arial" w:cs="Arial"/>
          <w:b/>
          <w:bCs/>
          <w:color w:val="000000"/>
          <w:sz w:val="18"/>
          <w:szCs w:val="18"/>
          <w:lang w:val="x-none"/>
        </w:rPr>
        <w:tab/>
        <w:t>Odbiór techniczny końcowy</w:t>
      </w:r>
    </w:p>
    <w:p w14:paraId="216CABBB" w14:textId="77777777" w:rsidR="000A3B2B" w:rsidRDefault="000A3B2B" w:rsidP="000E4A5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8.4.1.</w:t>
      </w:r>
      <w:r>
        <w:rPr>
          <w:rFonts w:ascii="Arial" w:hAnsi="Arial" w:cs="Arial"/>
          <w:b/>
          <w:bCs/>
          <w:color w:val="000000"/>
          <w:sz w:val="18"/>
          <w:szCs w:val="18"/>
          <w:lang w:val="x-none"/>
        </w:rPr>
        <w:tab/>
        <w:t>Przy odbiorze końcowym powinny być przedłożone następujące dokumenty:</w:t>
      </w:r>
    </w:p>
    <w:p w14:paraId="6104DCE7"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a)</w:t>
      </w:r>
      <w:r>
        <w:rPr>
          <w:rFonts w:ascii="Arial" w:hAnsi="Arial" w:cs="Arial"/>
          <w:color w:val="000000"/>
          <w:sz w:val="18"/>
          <w:szCs w:val="18"/>
          <w:lang w:val="x-none"/>
        </w:rPr>
        <w:tab/>
        <w:t>protokoły wszystkich odbiorów technicznych częściowych,</w:t>
      </w:r>
    </w:p>
    <w:p w14:paraId="129B7E0F"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b)</w:t>
      </w:r>
      <w:r>
        <w:rPr>
          <w:rFonts w:ascii="Arial" w:hAnsi="Arial" w:cs="Arial"/>
          <w:color w:val="000000"/>
          <w:sz w:val="18"/>
          <w:szCs w:val="18"/>
          <w:lang w:val="x-none"/>
        </w:rPr>
        <w:tab/>
        <w:t>protokół przeprowadzonego badania stopnia zagęszczenia grunty po zasypaniu przewodu.</w:t>
      </w:r>
    </w:p>
    <w:p w14:paraId="723FCDC1" w14:textId="77777777" w:rsidR="000A3B2B" w:rsidRDefault="000A3B2B" w:rsidP="000E4A5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8.4.2.</w:t>
      </w:r>
      <w:r>
        <w:rPr>
          <w:rFonts w:ascii="Arial" w:hAnsi="Arial" w:cs="Arial"/>
          <w:b/>
          <w:bCs/>
          <w:color w:val="000000"/>
          <w:sz w:val="18"/>
          <w:szCs w:val="18"/>
          <w:lang w:val="x-none"/>
        </w:rPr>
        <w:tab/>
        <w:t>Badania przy odbiorze technicznym końcowym</w:t>
      </w:r>
    </w:p>
    <w:p w14:paraId="14C549D2"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Zasypka wykopu wraz z przygotowaniem strefy ułożenia przewodu, zasypka główna, usunięcie szalowania i zagęszczenie powinny być zgodne z wymaganiami projektowymi. W przypadku nieokreślenia wskaźnika zagęszczenia powinien on wynosić ci najmniej 1.</w:t>
      </w:r>
    </w:p>
    <w:p w14:paraId="6FADB58F"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Stopień zagęszczenia zasypki powinien być ustalony i sprawdzony metodą podaną w dokumentacji projektowej. Wyniki badań powinny być wpisane do dziennika budowy.</w:t>
      </w:r>
    </w:p>
    <w:p w14:paraId="761B1898" w14:textId="77777777" w:rsidR="000A3B2B" w:rsidRDefault="000A3B2B" w:rsidP="000E4A55">
      <w:pPr>
        <w:autoSpaceDE w:val="0"/>
        <w:autoSpaceDN w:val="0"/>
        <w:adjustRightInd w:val="0"/>
        <w:spacing w:after="0" w:line="240" w:lineRule="auto"/>
        <w:jc w:val="both"/>
        <w:rPr>
          <w:rFonts w:ascii="Arial" w:hAnsi="Arial" w:cs="Arial"/>
          <w:color w:val="000000"/>
          <w:sz w:val="18"/>
          <w:szCs w:val="18"/>
          <w:lang w:val="x-none"/>
        </w:rPr>
      </w:pPr>
    </w:p>
    <w:p w14:paraId="088B83EC" w14:textId="77777777" w:rsidR="000A3B2B" w:rsidRDefault="000A3B2B" w:rsidP="000E4A55">
      <w:pPr>
        <w:autoSpaceDE w:val="0"/>
        <w:autoSpaceDN w:val="0"/>
        <w:adjustRightInd w:val="0"/>
        <w:spacing w:before="225" w:after="12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9.</w:t>
      </w:r>
      <w:r>
        <w:rPr>
          <w:rFonts w:ascii="Arial" w:hAnsi="Arial" w:cs="Arial"/>
          <w:b/>
          <w:bCs/>
          <w:color w:val="000000"/>
          <w:sz w:val="18"/>
          <w:szCs w:val="18"/>
          <w:lang w:val="x-none"/>
        </w:rPr>
        <w:tab/>
        <w:t>PODSTAWA ROZLICZENIA ROBÓT</w:t>
      </w:r>
    </w:p>
    <w:p w14:paraId="6B509C38" w14:textId="77777777" w:rsidR="000A3B2B" w:rsidRDefault="000A3B2B" w:rsidP="000E4A5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lastRenderedPageBreak/>
        <w:t>9.1.</w:t>
      </w:r>
      <w:r>
        <w:rPr>
          <w:rFonts w:ascii="Arial" w:hAnsi="Arial" w:cs="Arial"/>
          <w:b/>
          <w:bCs/>
          <w:color w:val="000000"/>
          <w:sz w:val="18"/>
          <w:szCs w:val="18"/>
          <w:lang w:val="x-none"/>
        </w:rPr>
        <w:tab/>
        <w:t>Ogólne ustalenia dotyczące podstawy płatności podane w ST „Wymagania ogólne” Kod CPV 45000000-7, pkt 9</w:t>
      </w:r>
    </w:p>
    <w:p w14:paraId="0E8605FC" w14:textId="77777777" w:rsidR="000A3B2B" w:rsidRDefault="000A3B2B" w:rsidP="000E4A55">
      <w:pPr>
        <w:autoSpaceDE w:val="0"/>
        <w:autoSpaceDN w:val="0"/>
        <w:adjustRightInd w:val="0"/>
        <w:spacing w:after="0" w:line="240" w:lineRule="auto"/>
        <w:jc w:val="both"/>
        <w:rPr>
          <w:rFonts w:ascii="Arial" w:hAnsi="Arial" w:cs="Arial"/>
          <w:color w:val="000000"/>
          <w:sz w:val="18"/>
          <w:szCs w:val="18"/>
          <w:lang w:val="x-none"/>
        </w:rPr>
      </w:pPr>
    </w:p>
    <w:p w14:paraId="46A04EEA" w14:textId="77777777" w:rsidR="000A3B2B" w:rsidRDefault="000A3B2B" w:rsidP="000E4A5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9.2.</w:t>
      </w:r>
      <w:r>
        <w:rPr>
          <w:rFonts w:ascii="Arial" w:hAnsi="Arial" w:cs="Arial"/>
          <w:b/>
          <w:bCs/>
          <w:color w:val="000000"/>
          <w:sz w:val="18"/>
          <w:szCs w:val="18"/>
          <w:lang w:val="x-none"/>
        </w:rPr>
        <w:tab/>
        <w:t>Zasady rozliczenia i płatności</w:t>
      </w:r>
    </w:p>
    <w:p w14:paraId="0F0053F5"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Rozliczenie robót ziemnych i towarzyszących może być dokonane jednorazowo po wykonaniu pełnego zakresu robót i ich końcowym odbiorze lub etapami określonymi w umowie, po dokonaniu odbiorów częściowych.</w:t>
      </w:r>
    </w:p>
    <w:p w14:paraId="1AA19587"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Jeżeli w trakcie wykonywania robót ziemnych liniowych wystąpi konieczność zabezpieczenia ruchu kołowego i (lub) pieszego oraz wykonania robót przygotowawczych i innych z nimi związanych to koszty tych robót obejmują:</w:t>
      </w:r>
    </w:p>
    <w:p w14:paraId="43F2265F" w14:textId="77777777" w:rsidR="000A3B2B" w:rsidRDefault="000A3B2B" w:rsidP="000E4A55">
      <w:pPr>
        <w:autoSpaceDE w:val="0"/>
        <w:autoSpaceDN w:val="0"/>
        <w:adjustRightInd w:val="0"/>
        <w:spacing w:after="15"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opracowanie oraz uzgodnienie z Inspektorem nadzoru i odpowiednimi instytucjami, projektu organizacji ruchu na czas trwania budowy, </w:t>
      </w:r>
    </w:p>
    <w:p w14:paraId="3BB6EB8B" w14:textId="77777777" w:rsidR="000A3B2B" w:rsidRDefault="000A3B2B" w:rsidP="000E4A55">
      <w:pPr>
        <w:autoSpaceDE w:val="0"/>
        <w:autoSpaceDN w:val="0"/>
        <w:adjustRightInd w:val="0"/>
        <w:spacing w:after="15"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wytyczenie osi wykopu (przewodu) oraz ustalenie reperów,</w:t>
      </w:r>
    </w:p>
    <w:p w14:paraId="737715F3" w14:textId="77777777" w:rsidR="000A3B2B" w:rsidRDefault="000A3B2B" w:rsidP="000E4A55">
      <w:pPr>
        <w:autoSpaceDE w:val="0"/>
        <w:autoSpaceDN w:val="0"/>
        <w:adjustRightInd w:val="0"/>
        <w:spacing w:after="15"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ustawienie tymczasowego oznakowania i oświetlenia, zgodnie z wymaganiami bezpieczeństwa ruchu,</w:t>
      </w:r>
    </w:p>
    <w:p w14:paraId="3A91FF0B" w14:textId="77777777" w:rsidR="000A3B2B" w:rsidRDefault="000A3B2B" w:rsidP="000E4A55">
      <w:pPr>
        <w:autoSpaceDE w:val="0"/>
        <w:autoSpaceDN w:val="0"/>
        <w:adjustRightInd w:val="0"/>
        <w:spacing w:after="15"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opłaty/dzierżawy terenu,</w:t>
      </w:r>
    </w:p>
    <w:p w14:paraId="0DF214E7" w14:textId="77777777" w:rsidR="000A3B2B" w:rsidRDefault="000A3B2B" w:rsidP="000E4A55">
      <w:pPr>
        <w:autoSpaceDE w:val="0"/>
        <w:autoSpaceDN w:val="0"/>
        <w:adjustRightInd w:val="0"/>
        <w:spacing w:after="15"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przygotowanie terenu,</w:t>
      </w:r>
    </w:p>
    <w:p w14:paraId="1B189579" w14:textId="77777777" w:rsidR="000A3B2B" w:rsidRDefault="000A3B2B" w:rsidP="000E4A55">
      <w:pPr>
        <w:autoSpaceDE w:val="0"/>
        <w:autoSpaceDN w:val="0"/>
        <w:adjustRightInd w:val="0"/>
        <w:spacing w:after="15"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konstrukcję tymczasowej nawierzchni, ramp, chodników, krawężników, barier, </w:t>
      </w:r>
      <w:proofErr w:type="spellStart"/>
      <w:r>
        <w:rPr>
          <w:rFonts w:ascii="Arial" w:hAnsi="Arial" w:cs="Arial"/>
          <w:color w:val="000000"/>
          <w:sz w:val="18"/>
          <w:szCs w:val="18"/>
          <w:lang w:val="x-none"/>
        </w:rPr>
        <w:t>oznakowań</w:t>
      </w:r>
      <w:proofErr w:type="spellEnd"/>
      <w:r>
        <w:rPr>
          <w:rFonts w:ascii="Arial" w:hAnsi="Arial" w:cs="Arial"/>
          <w:color w:val="000000"/>
          <w:sz w:val="18"/>
          <w:szCs w:val="18"/>
          <w:lang w:val="x-none"/>
        </w:rPr>
        <w:t xml:space="preserve"> i drenażu,</w:t>
      </w:r>
    </w:p>
    <w:p w14:paraId="192AF53D" w14:textId="77777777" w:rsidR="000A3B2B" w:rsidRDefault="000A3B2B" w:rsidP="000E4A55">
      <w:pPr>
        <w:autoSpaceDE w:val="0"/>
        <w:autoSpaceDN w:val="0"/>
        <w:adjustRightInd w:val="0"/>
        <w:spacing w:after="15"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tymczasową przebudowę urządzeń obcych,</w:t>
      </w:r>
    </w:p>
    <w:p w14:paraId="200ED411" w14:textId="77777777" w:rsidR="000A3B2B" w:rsidRDefault="000A3B2B" w:rsidP="000E4A55">
      <w:pPr>
        <w:autoSpaceDE w:val="0"/>
        <w:autoSpaceDN w:val="0"/>
        <w:adjustRightInd w:val="0"/>
        <w:spacing w:after="15"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oczyszczanie, przestawienie, przykrycie i usunięcie tymczasowych </w:t>
      </w:r>
      <w:proofErr w:type="spellStart"/>
      <w:r>
        <w:rPr>
          <w:rFonts w:ascii="Arial" w:hAnsi="Arial" w:cs="Arial"/>
          <w:color w:val="000000"/>
          <w:sz w:val="18"/>
          <w:szCs w:val="18"/>
          <w:lang w:val="x-none"/>
        </w:rPr>
        <w:t>oznakowań</w:t>
      </w:r>
      <w:proofErr w:type="spellEnd"/>
      <w:r>
        <w:rPr>
          <w:rFonts w:ascii="Arial" w:hAnsi="Arial" w:cs="Arial"/>
          <w:color w:val="000000"/>
          <w:sz w:val="18"/>
          <w:szCs w:val="18"/>
          <w:lang w:val="x-none"/>
        </w:rPr>
        <w:t xml:space="preserve"> pionowych, poziomych, barier i świateł,</w:t>
      </w:r>
    </w:p>
    <w:p w14:paraId="73EA5EC6" w14:textId="77777777" w:rsidR="000A3B2B" w:rsidRDefault="000A3B2B" w:rsidP="000E4A55">
      <w:pPr>
        <w:autoSpaceDE w:val="0"/>
        <w:autoSpaceDN w:val="0"/>
        <w:adjustRightInd w:val="0"/>
        <w:spacing w:after="15"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usunięcie wbudowanych materiałów i oznakowania,</w:t>
      </w:r>
    </w:p>
    <w:p w14:paraId="0142C087"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doprowadzenie terenu do stanu pierwotnego.</w:t>
      </w:r>
    </w:p>
    <w:p w14:paraId="78E0B269"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Ostateczne rozliczenie pomiędzy zamawiającym a wykonawcą następuje po dokonaniu odbioru końcowego.</w:t>
      </w:r>
    </w:p>
    <w:p w14:paraId="5F296F43" w14:textId="77777777" w:rsidR="000A3B2B" w:rsidRDefault="000A3B2B" w:rsidP="000E4A5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Podstawą rozliczenia oraz płatności wykonanego i odebranego zakresu robót stanowi wartość tych robót obliczona na podstawie:</w:t>
      </w:r>
    </w:p>
    <w:p w14:paraId="539E5227" w14:textId="77777777" w:rsidR="000A3B2B" w:rsidRDefault="000A3B2B" w:rsidP="000E4A55">
      <w:pPr>
        <w:autoSpaceDE w:val="0"/>
        <w:autoSpaceDN w:val="0"/>
        <w:adjustRightInd w:val="0"/>
        <w:spacing w:after="15"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określonych w dokumentach umownych (ofercie) cen jednostkowych i ilości wykonanych robót potwierdzonych przez zamawiającego lub </w:t>
      </w:r>
    </w:p>
    <w:p w14:paraId="7BC282D2" w14:textId="77777777" w:rsidR="000A3B2B" w:rsidRDefault="000A3B2B" w:rsidP="000E4A55">
      <w:pPr>
        <w:autoSpaceDE w:val="0"/>
        <w:autoSpaceDN w:val="0"/>
        <w:adjustRightInd w:val="0"/>
        <w:spacing w:after="15"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ustalonej w umowie kwoty ryczałtowej za określony zakres robót.</w:t>
      </w:r>
    </w:p>
    <w:p w14:paraId="7021BEA1"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Ceny jednostkowe wykonania robót lub kwoty ryczałtowe obejmują:</w:t>
      </w:r>
    </w:p>
    <w:p w14:paraId="599B0891"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przygotowanie stanowiska roboczego,</w:t>
      </w:r>
    </w:p>
    <w:p w14:paraId="2BA49A0A"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dostarczenie materiałów, narzędzi i sprzętu,</w:t>
      </w:r>
    </w:p>
    <w:p w14:paraId="64B632AB"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obsługę sprzętu nieposiadającego etatowej obsługi,</w:t>
      </w:r>
    </w:p>
    <w:p w14:paraId="3CC2BD70"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wykonanie wykopów,</w:t>
      </w:r>
    </w:p>
    <w:p w14:paraId="15EA3A12"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oszalowanie ścian wykopów,</w:t>
      </w:r>
    </w:p>
    <w:p w14:paraId="55C289D9"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wykonanie podłoża pod rurociągi,</w:t>
      </w:r>
    </w:p>
    <w:p w14:paraId="232F2459"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odwodnienie,</w:t>
      </w:r>
    </w:p>
    <w:p w14:paraId="62922DFE"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zasypanie wykopów wraz z zagęszczeniem.</w:t>
      </w:r>
    </w:p>
    <w:p w14:paraId="1CFB43F0"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Ceny te obejmują:</w:t>
      </w:r>
    </w:p>
    <w:p w14:paraId="6E6A1FC8"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robociznę bezpośrednią,</w:t>
      </w:r>
    </w:p>
    <w:p w14:paraId="78523470"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wartość zużytych materiałów wraz z kosztami zakupu, magazynowania, ewentualnych ubytków i transportu na teren budowy,</w:t>
      </w:r>
    </w:p>
    <w:p w14:paraId="04B2A567"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wartość pracy sprzętu wraz z towarzyszącymi kosztami,</w:t>
      </w:r>
    </w:p>
    <w:p w14:paraId="54800582"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koszty pośrednie, zysk kalkulacyjny i ryzyko.</w:t>
      </w:r>
    </w:p>
    <w:p w14:paraId="4E6022B1"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Ceny jednostkowe, będące podstawą płatności, mogą być obliczane jako:</w:t>
      </w:r>
    </w:p>
    <w:p w14:paraId="591FD1AB" w14:textId="77777777" w:rsidR="000A3B2B" w:rsidRDefault="000A3B2B" w:rsidP="000E4A55">
      <w:pPr>
        <w:autoSpaceDE w:val="0"/>
        <w:autoSpaceDN w:val="0"/>
        <w:adjustRightInd w:val="0"/>
        <w:spacing w:after="30" w:line="240" w:lineRule="auto"/>
        <w:ind w:left="960" w:hanging="960"/>
        <w:jc w:val="both"/>
        <w:rPr>
          <w:rFonts w:ascii="Arial" w:hAnsi="Arial" w:cs="Arial"/>
          <w:color w:val="000000"/>
          <w:sz w:val="18"/>
          <w:szCs w:val="18"/>
          <w:lang w:val="x-none"/>
        </w:rPr>
      </w:pPr>
      <w:r>
        <w:rPr>
          <w:rFonts w:ascii="Arial" w:hAnsi="Arial" w:cs="Arial"/>
          <w:b/>
          <w:bCs/>
          <w:color w:val="000000"/>
          <w:sz w:val="18"/>
          <w:szCs w:val="18"/>
          <w:lang w:val="x-none"/>
        </w:rPr>
        <w:t>Wariant 1.</w:t>
      </w:r>
      <w:r>
        <w:rPr>
          <w:rFonts w:ascii="Arial" w:hAnsi="Arial" w:cs="Arial"/>
          <w:color w:val="000000"/>
          <w:sz w:val="18"/>
          <w:szCs w:val="18"/>
          <w:lang w:val="x-none"/>
        </w:rPr>
        <w:tab/>
        <w:t>Ceny robót, w których uwzględniono koszty wszystkich robót tj. robót podstawowych, robót towarzyszących i robót tymczasowych.</w:t>
      </w:r>
    </w:p>
    <w:p w14:paraId="34BB6025" w14:textId="77777777" w:rsidR="000A3B2B" w:rsidRDefault="000A3B2B" w:rsidP="000E4A55">
      <w:pPr>
        <w:autoSpaceDE w:val="0"/>
        <w:autoSpaceDN w:val="0"/>
        <w:adjustRightInd w:val="0"/>
        <w:spacing w:after="30" w:line="240" w:lineRule="auto"/>
        <w:ind w:left="960" w:hanging="960"/>
        <w:jc w:val="both"/>
        <w:rPr>
          <w:rFonts w:ascii="Arial" w:hAnsi="Arial" w:cs="Arial"/>
          <w:color w:val="000000"/>
          <w:sz w:val="18"/>
          <w:szCs w:val="18"/>
          <w:lang w:val="x-none"/>
        </w:rPr>
      </w:pPr>
      <w:r>
        <w:rPr>
          <w:rFonts w:ascii="Arial" w:hAnsi="Arial" w:cs="Arial"/>
          <w:b/>
          <w:bCs/>
          <w:color w:val="000000"/>
          <w:sz w:val="18"/>
          <w:szCs w:val="18"/>
          <w:lang w:val="x-none"/>
        </w:rPr>
        <w:t>Wariant 2.</w:t>
      </w:r>
      <w:r>
        <w:rPr>
          <w:rFonts w:ascii="Arial" w:hAnsi="Arial" w:cs="Arial"/>
          <w:color w:val="000000"/>
          <w:sz w:val="18"/>
          <w:szCs w:val="18"/>
          <w:lang w:val="x-none"/>
        </w:rPr>
        <w:tab/>
        <w:t>Ceny robót podstawowych, towarzyszących oraz tymczasowych określone w oddzielnych pozycjach kosztorysowych.</w:t>
      </w:r>
    </w:p>
    <w:tbl>
      <w:tblPr>
        <w:tblW w:w="0" w:type="auto"/>
        <w:tblCellSpacing w:w="0" w:type="dxa"/>
        <w:tblInd w:w="-8" w:type="dxa"/>
        <w:tblLayout w:type="fixed"/>
        <w:tblCellMar>
          <w:left w:w="0" w:type="dxa"/>
          <w:right w:w="0" w:type="dxa"/>
        </w:tblCellMar>
        <w:tblLook w:val="0000" w:firstRow="0" w:lastRow="0" w:firstColumn="0" w:lastColumn="0" w:noHBand="0" w:noVBand="0"/>
      </w:tblPr>
      <w:tblGrid>
        <w:gridCol w:w="9352"/>
      </w:tblGrid>
      <w:tr w:rsidR="000A3B2B" w14:paraId="047E5DFA" w14:textId="77777777">
        <w:trPr>
          <w:trHeight w:val="60"/>
          <w:tblCellSpacing w:w="0" w:type="dxa"/>
        </w:trPr>
        <w:tc>
          <w:tcPr>
            <w:tcW w:w="9352" w:type="dxa"/>
            <w:tcBorders>
              <w:top w:val="single" w:sz="6" w:space="0" w:color="000000"/>
              <w:left w:val="single" w:sz="6" w:space="0" w:color="000000"/>
              <w:bottom w:val="single" w:sz="6" w:space="0" w:color="000000"/>
              <w:right w:val="single" w:sz="6" w:space="0" w:color="000000"/>
            </w:tcBorders>
          </w:tcPr>
          <w:p w14:paraId="136428D0" w14:textId="77777777" w:rsidR="000A3B2B" w:rsidRDefault="000A3B2B">
            <w:pPr>
              <w:autoSpaceDE w:val="0"/>
              <w:autoSpaceDN w:val="0"/>
              <w:adjustRightInd w:val="0"/>
              <w:spacing w:after="30" w:line="240" w:lineRule="auto"/>
              <w:jc w:val="both"/>
              <w:rPr>
                <w:rFonts w:ascii="Arial" w:hAnsi="Arial" w:cs="Arial"/>
                <w:i/>
                <w:iCs/>
                <w:color w:val="000000"/>
                <w:sz w:val="18"/>
                <w:szCs w:val="18"/>
                <w:lang w:val="x-none"/>
              </w:rPr>
            </w:pPr>
            <w:r>
              <w:rPr>
                <w:rFonts w:ascii="Arial" w:hAnsi="Arial" w:cs="Arial"/>
                <w:i/>
                <w:iCs/>
                <w:color w:val="000000"/>
                <w:sz w:val="18"/>
                <w:szCs w:val="18"/>
                <w:lang w:val="x-none"/>
              </w:rPr>
              <w:t>Uwaga: W SST należy przyjąć jeden z opisanych wariantów zgodnie z dokumentacją projektową (przedmiarem robót).</w:t>
            </w:r>
          </w:p>
        </w:tc>
      </w:tr>
    </w:tbl>
    <w:p w14:paraId="7EE7EBF3" w14:textId="77777777" w:rsidR="000A3B2B" w:rsidRDefault="000A3B2B" w:rsidP="000E4A55">
      <w:pPr>
        <w:autoSpaceDE w:val="0"/>
        <w:autoSpaceDN w:val="0"/>
        <w:adjustRightInd w:val="0"/>
        <w:spacing w:after="30" w:line="240" w:lineRule="auto"/>
        <w:jc w:val="both"/>
        <w:rPr>
          <w:rFonts w:ascii="Arial" w:hAnsi="Arial" w:cs="Arial"/>
          <w:i/>
          <w:iCs/>
          <w:color w:val="000000"/>
          <w:sz w:val="18"/>
          <w:szCs w:val="18"/>
          <w:lang w:val="x-none"/>
        </w:rPr>
      </w:pPr>
    </w:p>
    <w:p w14:paraId="2253C8F5"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Ceny jednostkowe mogą być waloryzowane zgodnie z ustaleniami umownymi.</w:t>
      </w:r>
    </w:p>
    <w:p w14:paraId="03512644"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Ceny jednostkowe robót nie zawierają podatku VAT.</w:t>
      </w:r>
    </w:p>
    <w:p w14:paraId="5B35A836"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p>
    <w:p w14:paraId="34831196" w14:textId="77777777" w:rsidR="000A3B2B" w:rsidRDefault="000A3B2B" w:rsidP="000E4A55">
      <w:pPr>
        <w:autoSpaceDE w:val="0"/>
        <w:autoSpaceDN w:val="0"/>
        <w:adjustRightInd w:val="0"/>
        <w:spacing w:before="225" w:after="12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10.</w:t>
      </w:r>
      <w:r>
        <w:rPr>
          <w:rFonts w:ascii="Arial" w:hAnsi="Arial" w:cs="Arial"/>
          <w:b/>
          <w:bCs/>
          <w:color w:val="000000"/>
          <w:sz w:val="18"/>
          <w:szCs w:val="18"/>
          <w:lang w:val="x-none"/>
        </w:rPr>
        <w:tab/>
        <w:t>DOKUMENTY ODNIESIENIA</w:t>
      </w:r>
    </w:p>
    <w:p w14:paraId="23467C8A" w14:textId="77777777" w:rsidR="000A3B2B" w:rsidRDefault="000A3B2B" w:rsidP="000E4A5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10.1.</w:t>
      </w:r>
      <w:r>
        <w:rPr>
          <w:rFonts w:ascii="Arial" w:hAnsi="Arial" w:cs="Arial"/>
          <w:b/>
          <w:bCs/>
          <w:color w:val="000000"/>
          <w:sz w:val="18"/>
          <w:szCs w:val="18"/>
          <w:lang w:val="x-none"/>
        </w:rPr>
        <w:tab/>
        <w:t>Normy</w:t>
      </w:r>
    </w:p>
    <w:tbl>
      <w:tblPr>
        <w:tblW w:w="0" w:type="auto"/>
        <w:tblCellSpacing w:w="0" w:type="dxa"/>
        <w:tblLayout w:type="fixed"/>
        <w:tblCellMar>
          <w:left w:w="0" w:type="dxa"/>
          <w:right w:w="0" w:type="dxa"/>
        </w:tblCellMar>
        <w:tblLook w:val="0000" w:firstRow="0" w:lastRow="0" w:firstColumn="0" w:lastColumn="0" w:noHBand="0" w:noVBand="0"/>
      </w:tblPr>
      <w:tblGrid>
        <w:gridCol w:w="338"/>
        <w:gridCol w:w="3060"/>
        <w:gridCol w:w="5924"/>
      </w:tblGrid>
      <w:tr w:rsidR="000A3B2B" w14:paraId="6FD74079" w14:textId="77777777">
        <w:trPr>
          <w:trHeight w:val="60"/>
          <w:tblCellSpacing w:w="0" w:type="dxa"/>
        </w:trPr>
        <w:tc>
          <w:tcPr>
            <w:tcW w:w="338" w:type="dxa"/>
            <w:tcBorders>
              <w:top w:val="nil"/>
              <w:left w:val="nil"/>
              <w:bottom w:val="nil"/>
              <w:right w:val="nil"/>
            </w:tcBorders>
          </w:tcPr>
          <w:p w14:paraId="622473D3"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1.</w:t>
            </w:r>
          </w:p>
        </w:tc>
        <w:tc>
          <w:tcPr>
            <w:tcW w:w="3060" w:type="dxa"/>
            <w:tcBorders>
              <w:top w:val="nil"/>
              <w:left w:val="nil"/>
              <w:bottom w:val="nil"/>
              <w:right w:val="nil"/>
            </w:tcBorders>
          </w:tcPr>
          <w:p w14:paraId="2B7C609C"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 xml:space="preserve">PN-B-02481:1998   </w:t>
            </w:r>
          </w:p>
        </w:tc>
        <w:tc>
          <w:tcPr>
            <w:tcW w:w="5924" w:type="dxa"/>
            <w:tcBorders>
              <w:top w:val="nil"/>
              <w:left w:val="nil"/>
              <w:bottom w:val="nil"/>
              <w:right w:val="nil"/>
            </w:tcBorders>
          </w:tcPr>
          <w:p w14:paraId="5D931D48"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Geotechnika – Terminologia podstawowa, symbole literowe i jednostki miar.</w:t>
            </w:r>
          </w:p>
        </w:tc>
      </w:tr>
      <w:tr w:rsidR="000A3B2B" w14:paraId="2162339B" w14:textId="77777777">
        <w:trPr>
          <w:trHeight w:val="60"/>
          <w:tblCellSpacing w:w="0" w:type="dxa"/>
        </w:trPr>
        <w:tc>
          <w:tcPr>
            <w:tcW w:w="338" w:type="dxa"/>
            <w:tcBorders>
              <w:top w:val="nil"/>
              <w:left w:val="nil"/>
              <w:bottom w:val="nil"/>
              <w:right w:val="nil"/>
            </w:tcBorders>
          </w:tcPr>
          <w:p w14:paraId="2FD162AF"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lastRenderedPageBreak/>
              <w:t>2.</w:t>
            </w:r>
          </w:p>
        </w:tc>
        <w:tc>
          <w:tcPr>
            <w:tcW w:w="3060" w:type="dxa"/>
            <w:tcBorders>
              <w:top w:val="nil"/>
              <w:left w:val="nil"/>
              <w:bottom w:val="nil"/>
              <w:right w:val="nil"/>
            </w:tcBorders>
          </w:tcPr>
          <w:p w14:paraId="0EC3AFD0"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BN-77/8931-12</w:t>
            </w:r>
          </w:p>
        </w:tc>
        <w:tc>
          <w:tcPr>
            <w:tcW w:w="5924" w:type="dxa"/>
            <w:tcBorders>
              <w:top w:val="nil"/>
              <w:left w:val="nil"/>
              <w:bottom w:val="nil"/>
              <w:right w:val="nil"/>
            </w:tcBorders>
          </w:tcPr>
          <w:p w14:paraId="043C890C"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Oznaczanie wskaźnika zagęszczenia gruntu.</w:t>
            </w:r>
          </w:p>
        </w:tc>
      </w:tr>
      <w:tr w:rsidR="000A3B2B" w14:paraId="0376BAA5" w14:textId="77777777">
        <w:trPr>
          <w:trHeight w:val="60"/>
          <w:tblCellSpacing w:w="0" w:type="dxa"/>
        </w:trPr>
        <w:tc>
          <w:tcPr>
            <w:tcW w:w="338" w:type="dxa"/>
            <w:tcBorders>
              <w:top w:val="nil"/>
              <w:left w:val="nil"/>
              <w:bottom w:val="nil"/>
              <w:right w:val="nil"/>
            </w:tcBorders>
          </w:tcPr>
          <w:p w14:paraId="4F627529"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3.</w:t>
            </w:r>
          </w:p>
        </w:tc>
        <w:tc>
          <w:tcPr>
            <w:tcW w:w="3060" w:type="dxa"/>
            <w:tcBorders>
              <w:top w:val="nil"/>
              <w:left w:val="nil"/>
              <w:bottom w:val="nil"/>
              <w:right w:val="nil"/>
            </w:tcBorders>
          </w:tcPr>
          <w:p w14:paraId="0F35740C"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PN-B-06050:1999</w:t>
            </w:r>
          </w:p>
          <w:p w14:paraId="10B1B526"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PN-B-06050:1999/Ap1:2012</w:t>
            </w:r>
          </w:p>
        </w:tc>
        <w:tc>
          <w:tcPr>
            <w:tcW w:w="5924" w:type="dxa"/>
            <w:tcBorders>
              <w:top w:val="nil"/>
              <w:left w:val="nil"/>
              <w:bottom w:val="nil"/>
              <w:right w:val="nil"/>
            </w:tcBorders>
          </w:tcPr>
          <w:p w14:paraId="0C7F1C8B"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Geotechnika. Roboty ziemne. Wymagania ogólne </w:t>
            </w:r>
            <w:r>
              <w:rPr>
                <w:rFonts w:ascii="Arial" w:hAnsi="Arial" w:cs="Arial"/>
                <w:i/>
                <w:iCs/>
                <w:color w:val="000000"/>
                <w:sz w:val="18"/>
                <w:szCs w:val="18"/>
                <w:lang w:val="x-none"/>
              </w:rPr>
              <w:t>(norma wycofana)</w:t>
            </w:r>
            <w:r>
              <w:rPr>
                <w:rFonts w:ascii="Arial" w:hAnsi="Arial" w:cs="Arial"/>
                <w:color w:val="000000"/>
                <w:sz w:val="18"/>
                <w:szCs w:val="18"/>
                <w:lang w:val="x-none"/>
              </w:rPr>
              <w:t>.</w:t>
            </w:r>
          </w:p>
        </w:tc>
      </w:tr>
      <w:tr w:rsidR="000A3B2B" w14:paraId="58370B90" w14:textId="77777777">
        <w:trPr>
          <w:trHeight w:val="60"/>
          <w:tblCellSpacing w:w="0" w:type="dxa"/>
        </w:trPr>
        <w:tc>
          <w:tcPr>
            <w:tcW w:w="338" w:type="dxa"/>
            <w:tcBorders>
              <w:top w:val="nil"/>
              <w:left w:val="nil"/>
              <w:bottom w:val="nil"/>
              <w:right w:val="nil"/>
            </w:tcBorders>
          </w:tcPr>
          <w:p w14:paraId="7CE2FD9E"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4.</w:t>
            </w:r>
          </w:p>
        </w:tc>
        <w:tc>
          <w:tcPr>
            <w:tcW w:w="3060" w:type="dxa"/>
            <w:tcBorders>
              <w:top w:val="nil"/>
              <w:left w:val="nil"/>
              <w:bottom w:val="nil"/>
              <w:right w:val="nil"/>
            </w:tcBorders>
          </w:tcPr>
          <w:p w14:paraId="2B2880A6"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PN-B-10736:1999</w:t>
            </w:r>
          </w:p>
        </w:tc>
        <w:tc>
          <w:tcPr>
            <w:tcW w:w="5924" w:type="dxa"/>
            <w:tcBorders>
              <w:top w:val="nil"/>
              <w:left w:val="nil"/>
              <w:bottom w:val="nil"/>
              <w:right w:val="nil"/>
            </w:tcBorders>
          </w:tcPr>
          <w:p w14:paraId="4BDC29A9"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Roboty ziemne. Wykopy otwarte dla przewodów wodociągowych i kanalizacyjnych. Warunki techniczne wykonania.</w:t>
            </w:r>
          </w:p>
        </w:tc>
      </w:tr>
      <w:tr w:rsidR="000A3B2B" w14:paraId="053575D8" w14:textId="77777777">
        <w:trPr>
          <w:trHeight w:val="60"/>
          <w:tblCellSpacing w:w="0" w:type="dxa"/>
        </w:trPr>
        <w:tc>
          <w:tcPr>
            <w:tcW w:w="338" w:type="dxa"/>
            <w:tcBorders>
              <w:top w:val="nil"/>
              <w:left w:val="nil"/>
              <w:bottom w:val="nil"/>
              <w:right w:val="nil"/>
            </w:tcBorders>
          </w:tcPr>
          <w:p w14:paraId="52C384FA"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5.</w:t>
            </w:r>
          </w:p>
        </w:tc>
        <w:tc>
          <w:tcPr>
            <w:tcW w:w="3060" w:type="dxa"/>
            <w:tcBorders>
              <w:top w:val="nil"/>
              <w:left w:val="nil"/>
              <w:bottom w:val="nil"/>
              <w:right w:val="nil"/>
            </w:tcBorders>
          </w:tcPr>
          <w:p w14:paraId="31D159B7"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PN-B-10725:1997</w:t>
            </w:r>
          </w:p>
        </w:tc>
        <w:tc>
          <w:tcPr>
            <w:tcW w:w="5924" w:type="dxa"/>
            <w:tcBorders>
              <w:top w:val="nil"/>
              <w:left w:val="nil"/>
              <w:bottom w:val="nil"/>
              <w:right w:val="nil"/>
            </w:tcBorders>
          </w:tcPr>
          <w:p w14:paraId="476B94BA"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Wodociągi. Przewody zewnętrzne. Wymagania i badania </w:t>
            </w:r>
            <w:r>
              <w:rPr>
                <w:rFonts w:ascii="Arial" w:hAnsi="Arial" w:cs="Arial"/>
                <w:i/>
                <w:iCs/>
                <w:color w:val="000000"/>
                <w:sz w:val="18"/>
                <w:szCs w:val="18"/>
                <w:lang w:val="x-none"/>
              </w:rPr>
              <w:t>(norma wycofana)</w:t>
            </w:r>
            <w:r>
              <w:rPr>
                <w:rFonts w:ascii="Arial" w:hAnsi="Arial" w:cs="Arial"/>
                <w:color w:val="000000"/>
                <w:sz w:val="18"/>
                <w:szCs w:val="18"/>
                <w:lang w:val="x-none"/>
              </w:rPr>
              <w:t>.</w:t>
            </w:r>
          </w:p>
        </w:tc>
      </w:tr>
      <w:tr w:rsidR="000A3B2B" w14:paraId="029FF828" w14:textId="77777777">
        <w:trPr>
          <w:trHeight w:val="60"/>
          <w:tblCellSpacing w:w="0" w:type="dxa"/>
        </w:trPr>
        <w:tc>
          <w:tcPr>
            <w:tcW w:w="338" w:type="dxa"/>
            <w:tcBorders>
              <w:top w:val="nil"/>
              <w:left w:val="nil"/>
              <w:bottom w:val="nil"/>
              <w:right w:val="nil"/>
            </w:tcBorders>
          </w:tcPr>
          <w:p w14:paraId="6EF6A3E0"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6.</w:t>
            </w:r>
          </w:p>
        </w:tc>
        <w:tc>
          <w:tcPr>
            <w:tcW w:w="3060" w:type="dxa"/>
            <w:tcBorders>
              <w:top w:val="nil"/>
              <w:left w:val="nil"/>
              <w:bottom w:val="nil"/>
              <w:right w:val="nil"/>
            </w:tcBorders>
          </w:tcPr>
          <w:p w14:paraId="06F9C25D"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1997-1:2008</w:t>
            </w:r>
            <w:r>
              <w:rPr>
                <w:rFonts w:ascii="Arial" w:hAnsi="Arial" w:cs="Arial"/>
                <w:color w:val="000000"/>
                <w:sz w:val="18"/>
                <w:szCs w:val="18"/>
                <w:lang w:val="x-none"/>
              </w:rPr>
              <w:br/>
              <w:t>PN-EN 1997-1:2008/Ap1:2010</w:t>
            </w:r>
            <w:r>
              <w:rPr>
                <w:rFonts w:ascii="Arial" w:hAnsi="Arial" w:cs="Arial"/>
                <w:color w:val="000000"/>
                <w:sz w:val="18"/>
                <w:szCs w:val="18"/>
                <w:lang w:val="x-none"/>
              </w:rPr>
              <w:br/>
              <w:t>PN-EN 1997-1:2008/Ap2:2010</w:t>
            </w:r>
            <w:r>
              <w:rPr>
                <w:rFonts w:ascii="Arial" w:hAnsi="Arial" w:cs="Arial"/>
                <w:color w:val="000000"/>
                <w:sz w:val="18"/>
                <w:szCs w:val="18"/>
                <w:lang w:val="x-none"/>
              </w:rPr>
              <w:br/>
              <w:t xml:space="preserve">PN-EN 1997-1:2008/AC:2009 </w:t>
            </w:r>
          </w:p>
        </w:tc>
        <w:tc>
          <w:tcPr>
            <w:tcW w:w="5924" w:type="dxa"/>
            <w:tcBorders>
              <w:top w:val="nil"/>
              <w:left w:val="nil"/>
              <w:bottom w:val="nil"/>
              <w:right w:val="nil"/>
            </w:tcBorders>
          </w:tcPr>
          <w:p w14:paraId="36A2122C"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proofErr w:type="spellStart"/>
            <w:r>
              <w:rPr>
                <w:rFonts w:ascii="Arial" w:hAnsi="Arial" w:cs="Arial"/>
                <w:color w:val="000000"/>
                <w:sz w:val="18"/>
                <w:szCs w:val="18"/>
                <w:lang w:val="x-none"/>
              </w:rPr>
              <w:t>Eurokod</w:t>
            </w:r>
            <w:proofErr w:type="spellEnd"/>
            <w:r>
              <w:rPr>
                <w:rFonts w:ascii="Arial" w:hAnsi="Arial" w:cs="Arial"/>
                <w:color w:val="000000"/>
                <w:sz w:val="18"/>
                <w:szCs w:val="18"/>
                <w:lang w:val="x-none"/>
              </w:rPr>
              <w:t xml:space="preserve"> 7. Projektowanie geotechniczne. Część 1: Zasady ogólne.</w:t>
            </w:r>
          </w:p>
        </w:tc>
      </w:tr>
      <w:tr w:rsidR="000A3B2B" w14:paraId="0DCC0A2E" w14:textId="77777777">
        <w:trPr>
          <w:trHeight w:val="60"/>
          <w:tblCellSpacing w:w="0" w:type="dxa"/>
        </w:trPr>
        <w:tc>
          <w:tcPr>
            <w:tcW w:w="338" w:type="dxa"/>
            <w:tcBorders>
              <w:top w:val="nil"/>
              <w:left w:val="nil"/>
              <w:bottom w:val="nil"/>
              <w:right w:val="nil"/>
            </w:tcBorders>
          </w:tcPr>
          <w:p w14:paraId="4DFFC5A9"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7.</w:t>
            </w:r>
          </w:p>
        </w:tc>
        <w:tc>
          <w:tcPr>
            <w:tcW w:w="3060" w:type="dxa"/>
            <w:tcBorders>
              <w:top w:val="nil"/>
              <w:left w:val="nil"/>
              <w:bottom w:val="nil"/>
              <w:right w:val="nil"/>
            </w:tcBorders>
          </w:tcPr>
          <w:p w14:paraId="684EC7E6"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1610:2015-10</w:t>
            </w:r>
          </w:p>
        </w:tc>
        <w:tc>
          <w:tcPr>
            <w:tcW w:w="5924" w:type="dxa"/>
            <w:tcBorders>
              <w:top w:val="nil"/>
              <w:left w:val="nil"/>
              <w:bottom w:val="nil"/>
              <w:right w:val="nil"/>
            </w:tcBorders>
          </w:tcPr>
          <w:p w14:paraId="3157BBCA" w14:textId="77777777" w:rsidR="000A3B2B" w:rsidRDefault="000A3B2B">
            <w:pPr>
              <w:autoSpaceDE w:val="0"/>
              <w:autoSpaceDN w:val="0"/>
              <w:adjustRightInd w:val="0"/>
              <w:spacing w:after="30" w:line="240" w:lineRule="auto"/>
              <w:jc w:val="both"/>
              <w:rPr>
                <w:rFonts w:ascii="Arial" w:hAnsi="Arial" w:cs="Arial"/>
                <w:i/>
                <w:iCs/>
                <w:color w:val="000000"/>
                <w:sz w:val="18"/>
                <w:szCs w:val="18"/>
                <w:lang w:val="x-none"/>
              </w:rPr>
            </w:pPr>
            <w:r>
              <w:rPr>
                <w:rFonts w:ascii="Arial" w:hAnsi="Arial" w:cs="Arial"/>
                <w:color w:val="000000"/>
                <w:sz w:val="18"/>
                <w:szCs w:val="18"/>
                <w:lang w:val="x-none"/>
              </w:rPr>
              <w:t xml:space="preserve">Budowa i badania przewodów kanalizacyjnych </w:t>
            </w:r>
            <w:r>
              <w:rPr>
                <w:rFonts w:ascii="Arial" w:hAnsi="Arial" w:cs="Arial"/>
                <w:i/>
                <w:iCs/>
                <w:color w:val="000000"/>
                <w:sz w:val="18"/>
                <w:szCs w:val="18"/>
                <w:lang w:val="x-none"/>
              </w:rPr>
              <w:t>(wersja angielska).</w:t>
            </w:r>
          </w:p>
        </w:tc>
      </w:tr>
      <w:tr w:rsidR="000A3B2B" w14:paraId="53576C4E" w14:textId="77777777">
        <w:trPr>
          <w:trHeight w:val="30"/>
          <w:tblCellSpacing w:w="0" w:type="dxa"/>
        </w:trPr>
        <w:tc>
          <w:tcPr>
            <w:tcW w:w="338" w:type="dxa"/>
            <w:tcBorders>
              <w:top w:val="nil"/>
              <w:left w:val="nil"/>
              <w:bottom w:val="nil"/>
              <w:right w:val="nil"/>
            </w:tcBorders>
          </w:tcPr>
          <w:p w14:paraId="67AF395C"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8.</w:t>
            </w:r>
          </w:p>
        </w:tc>
        <w:tc>
          <w:tcPr>
            <w:tcW w:w="3060" w:type="dxa"/>
            <w:tcBorders>
              <w:top w:val="nil"/>
              <w:left w:val="nil"/>
              <w:bottom w:val="nil"/>
              <w:right w:val="nil"/>
            </w:tcBorders>
          </w:tcPr>
          <w:p w14:paraId="48387688"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PN-S-02205:1998</w:t>
            </w:r>
          </w:p>
        </w:tc>
        <w:tc>
          <w:tcPr>
            <w:tcW w:w="5924" w:type="dxa"/>
            <w:tcBorders>
              <w:top w:val="nil"/>
              <w:left w:val="nil"/>
              <w:bottom w:val="nil"/>
              <w:right w:val="nil"/>
            </w:tcBorders>
          </w:tcPr>
          <w:p w14:paraId="39281FC4"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Drogi samochodowe. Roboty ziemne. Wymagania i badania. </w:t>
            </w:r>
          </w:p>
        </w:tc>
      </w:tr>
      <w:tr w:rsidR="000A3B2B" w14:paraId="7C985530" w14:textId="77777777">
        <w:trPr>
          <w:trHeight w:val="240"/>
          <w:tblCellSpacing w:w="0" w:type="dxa"/>
        </w:trPr>
        <w:tc>
          <w:tcPr>
            <w:tcW w:w="338" w:type="dxa"/>
            <w:tcBorders>
              <w:top w:val="nil"/>
              <w:left w:val="nil"/>
              <w:bottom w:val="nil"/>
              <w:right w:val="nil"/>
            </w:tcBorders>
          </w:tcPr>
          <w:p w14:paraId="5BE2DED3"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9.</w:t>
            </w:r>
          </w:p>
        </w:tc>
        <w:tc>
          <w:tcPr>
            <w:tcW w:w="3060" w:type="dxa"/>
            <w:tcBorders>
              <w:top w:val="nil"/>
              <w:left w:val="nil"/>
              <w:bottom w:val="nil"/>
              <w:right w:val="nil"/>
            </w:tcBorders>
          </w:tcPr>
          <w:p w14:paraId="298B3379"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PN-B-02481:1998</w:t>
            </w:r>
          </w:p>
        </w:tc>
        <w:tc>
          <w:tcPr>
            <w:tcW w:w="5924" w:type="dxa"/>
            <w:tcBorders>
              <w:top w:val="nil"/>
              <w:left w:val="nil"/>
              <w:bottom w:val="nil"/>
              <w:right w:val="nil"/>
            </w:tcBorders>
          </w:tcPr>
          <w:p w14:paraId="5C42753C"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Geotechnika. Terminologia podstawowa, symbole literowe i jednostki miar.</w:t>
            </w:r>
          </w:p>
        </w:tc>
      </w:tr>
      <w:tr w:rsidR="000A3B2B" w14:paraId="215A6DAC" w14:textId="77777777">
        <w:trPr>
          <w:trHeight w:val="240"/>
          <w:tblCellSpacing w:w="0" w:type="dxa"/>
        </w:trPr>
        <w:tc>
          <w:tcPr>
            <w:tcW w:w="338" w:type="dxa"/>
            <w:tcBorders>
              <w:top w:val="nil"/>
              <w:left w:val="nil"/>
              <w:bottom w:val="nil"/>
              <w:right w:val="nil"/>
            </w:tcBorders>
          </w:tcPr>
          <w:p w14:paraId="7B08FCD5"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10.</w:t>
            </w:r>
          </w:p>
        </w:tc>
        <w:tc>
          <w:tcPr>
            <w:tcW w:w="3060" w:type="dxa"/>
            <w:tcBorders>
              <w:top w:val="nil"/>
              <w:left w:val="nil"/>
              <w:bottom w:val="nil"/>
              <w:right w:val="nil"/>
            </w:tcBorders>
          </w:tcPr>
          <w:p w14:paraId="22D874E3"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1997-2:2009</w:t>
            </w:r>
            <w:r>
              <w:rPr>
                <w:rFonts w:ascii="Arial" w:hAnsi="Arial" w:cs="Arial"/>
                <w:color w:val="000000"/>
                <w:sz w:val="18"/>
                <w:szCs w:val="18"/>
                <w:lang w:val="x-none"/>
              </w:rPr>
              <w:br/>
              <w:t>PN-EN 1997-2:2009/Ap1:2010</w:t>
            </w:r>
            <w:r>
              <w:rPr>
                <w:rFonts w:ascii="Arial" w:hAnsi="Arial" w:cs="Arial"/>
                <w:color w:val="000000"/>
                <w:sz w:val="18"/>
                <w:szCs w:val="18"/>
                <w:lang w:val="x-none"/>
              </w:rPr>
              <w:br/>
              <w:t>PN-EN 1997-2:2009/AC:2010</w:t>
            </w:r>
          </w:p>
        </w:tc>
        <w:tc>
          <w:tcPr>
            <w:tcW w:w="5924" w:type="dxa"/>
            <w:tcBorders>
              <w:top w:val="nil"/>
              <w:left w:val="nil"/>
              <w:bottom w:val="nil"/>
              <w:right w:val="nil"/>
            </w:tcBorders>
          </w:tcPr>
          <w:p w14:paraId="6508E588"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proofErr w:type="spellStart"/>
            <w:r>
              <w:rPr>
                <w:rFonts w:ascii="Arial" w:hAnsi="Arial" w:cs="Arial"/>
                <w:color w:val="000000"/>
                <w:sz w:val="18"/>
                <w:szCs w:val="18"/>
                <w:lang w:val="x-none"/>
              </w:rPr>
              <w:t>Eurokod</w:t>
            </w:r>
            <w:proofErr w:type="spellEnd"/>
            <w:r>
              <w:rPr>
                <w:rFonts w:ascii="Arial" w:hAnsi="Arial" w:cs="Arial"/>
                <w:color w:val="000000"/>
                <w:sz w:val="18"/>
                <w:szCs w:val="18"/>
                <w:lang w:val="x-none"/>
              </w:rPr>
              <w:t xml:space="preserve"> 7. Projektowanie geotechniczne. Część 2: Rozpoznanie i badanie podłoża gruntowego. </w:t>
            </w:r>
          </w:p>
        </w:tc>
      </w:tr>
      <w:tr w:rsidR="000A3B2B" w14:paraId="4A040338" w14:textId="77777777">
        <w:trPr>
          <w:trHeight w:val="240"/>
          <w:tblCellSpacing w:w="0" w:type="dxa"/>
        </w:trPr>
        <w:tc>
          <w:tcPr>
            <w:tcW w:w="338" w:type="dxa"/>
            <w:tcBorders>
              <w:top w:val="nil"/>
              <w:left w:val="nil"/>
              <w:bottom w:val="nil"/>
              <w:right w:val="nil"/>
            </w:tcBorders>
          </w:tcPr>
          <w:p w14:paraId="252E1C1A"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11.</w:t>
            </w:r>
          </w:p>
        </w:tc>
        <w:tc>
          <w:tcPr>
            <w:tcW w:w="3060" w:type="dxa"/>
            <w:tcBorders>
              <w:top w:val="nil"/>
              <w:left w:val="nil"/>
              <w:bottom w:val="nil"/>
              <w:right w:val="nil"/>
            </w:tcBorders>
          </w:tcPr>
          <w:p w14:paraId="74F8E942"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PN-B-04481:1998</w:t>
            </w:r>
          </w:p>
        </w:tc>
        <w:tc>
          <w:tcPr>
            <w:tcW w:w="5924" w:type="dxa"/>
            <w:tcBorders>
              <w:top w:val="nil"/>
              <w:left w:val="nil"/>
              <w:bottom w:val="nil"/>
              <w:right w:val="nil"/>
            </w:tcBorders>
          </w:tcPr>
          <w:p w14:paraId="0C1984B0" w14:textId="77777777" w:rsidR="000A3B2B" w:rsidRDefault="000A3B2B">
            <w:pPr>
              <w:autoSpaceDE w:val="0"/>
              <w:autoSpaceDN w:val="0"/>
              <w:adjustRightInd w:val="0"/>
              <w:spacing w:after="30" w:line="240" w:lineRule="auto"/>
              <w:jc w:val="both"/>
              <w:rPr>
                <w:rFonts w:ascii="Arial" w:hAnsi="Arial" w:cs="Arial"/>
                <w:i/>
                <w:iCs/>
                <w:color w:val="000000"/>
                <w:sz w:val="18"/>
                <w:szCs w:val="18"/>
                <w:lang w:val="x-none"/>
              </w:rPr>
            </w:pPr>
            <w:r>
              <w:rPr>
                <w:rFonts w:ascii="Arial" w:hAnsi="Arial" w:cs="Arial"/>
                <w:color w:val="000000"/>
                <w:sz w:val="18"/>
                <w:szCs w:val="18"/>
                <w:lang w:val="x-none"/>
              </w:rPr>
              <w:t>Grunty budowlane. Badania próbek gruntu</w:t>
            </w:r>
            <w:r>
              <w:rPr>
                <w:rFonts w:ascii="Arial" w:hAnsi="Arial" w:cs="Arial"/>
                <w:i/>
                <w:iCs/>
                <w:color w:val="000000"/>
                <w:sz w:val="18"/>
                <w:szCs w:val="18"/>
                <w:lang w:val="x-none"/>
              </w:rPr>
              <w:t xml:space="preserve"> (norma wycofana).</w:t>
            </w:r>
          </w:p>
        </w:tc>
      </w:tr>
    </w:tbl>
    <w:p w14:paraId="16FC466D"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p>
    <w:p w14:paraId="67267739" w14:textId="77777777" w:rsidR="000A3B2B" w:rsidRDefault="000A3B2B" w:rsidP="000E4A5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10.2.</w:t>
      </w:r>
      <w:r>
        <w:rPr>
          <w:rFonts w:ascii="Arial" w:hAnsi="Arial" w:cs="Arial"/>
          <w:b/>
          <w:bCs/>
          <w:color w:val="000000"/>
          <w:sz w:val="18"/>
          <w:szCs w:val="18"/>
          <w:lang w:val="x-none"/>
        </w:rPr>
        <w:tab/>
        <w:t>Ustawy</w:t>
      </w:r>
    </w:p>
    <w:p w14:paraId="49B8A551"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Ustawa z dnia 7 lipca 1994 r. – Prawo budowlane (tekst jednolity Dz. U. z 2016 r. Nr 0, poz. 290),</w:t>
      </w:r>
    </w:p>
    <w:p w14:paraId="4BAAE593"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Ustawa z dnia 16 kwietnia 2004 r. – o wyrobach budowlanych (tekst jednolity Dz. U. z 2016 r. Nr 0, poz. 1570),</w:t>
      </w:r>
    </w:p>
    <w:p w14:paraId="76360760"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Ustawa z dnia 27 kwietnia 2001 r. – Prawo ochrony środowiska (tekst jednolity Dz. U. z 2016 r. Nr 0, poz. 672),,</w:t>
      </w:r>
    </w:p>
    <w:p w14:paraId="11C5D8F3"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Ustawa z dnia 21 marca 1985 r. – o drogach publicznych (tekst jednolity Dz. U. z 2016 r. Nr 0, poz. 1440, z późniejszymi zmianami).).</w:t>
      </w:r>
    </w:p>
    <w:p w14:paraId="6E20AB7B"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p>
    <w:p w14:paraId="765F7947" w14:textId="77777777" w:rsidR="000A3B2B" w:rsidRDefault="000A3B2B" w:rsidP="000E4A5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10.3.</w:t>
      </w:r>
      <w:r>
        <w:rPr>
          <w:rFonts w:ascii="Arial" w:hAnsi="Arial" w:cs="Arial"/>
          <w:b/>
          <w:bCs/>
          <w:color w:val="000000"/>
          <w:sz w:val="18"/>
          <w:szCs w:val="18"/>
          <w:lang w:val="x-none"/>
        </w:rPr>
        <w:tab/>
        <w:t>Rozporządzenia</w:t>
      </w:r>
    </w:p>
    <w:p w14:paraId="47BC92B3"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Rozporządzenie Ministra Gospodarki Przestrzennej i Budownictwa z dnia 21 lutego 1995 r. w sprawie rodzaju i zakresu opracowań geodezyjno-kartograficznych oraz czynności geodezyjnych obowiązujących w budownictwie (Dz. U. z 1995 Nr 25, poz. 133).</w:t>
      </w:r>
    </w:p>
    <w:p w14:paraId="2854CB40"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Rozporządzenie Ministra Pracy i Polityki Społecznej z dnia 26 września 1997 r. – w sprawie ogólnych przepisów bezpieczeństwa i higieny pracy (Dz. U. z 1997 Nr 129 poz. 844 – tekst jednolity – Dz. U. z 2003 Nr 169, poz. 1650).</w:t>
      </w:r>
    </w:p>
    <w:p w14:paraId="58061124"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Rozporządzenie Ministra Infrastruktury z dnia 6 lutego 2003 r. – w sprawie bezpieczeństwa i higieny pracy podczas wykonywania robót budowlanych (Dz. U. Nr 47, poz. 401).</w:t>
      </w:r>
    </w:p>
    <w:p w14:paraId="7BCC8970"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Rozporządzenie Ministra Infrastruktury z dnia 23 czerwca 2003 r. – w sprawie informacji dotyczącej bezpieczeństwa i ochrony zdrowia oraz planu bezpieczeństwa i ochrony zdrowia (Dz. U. Nr 120, poz. 1126).</w:t>
      </w:r>
    </w:p>
    <w:p w14:paraId="70C17516"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Rozporządzenie Ministra Infrastruktury z dnia 26 czerwca 2002 r. – w sprawie dziennika budowy, montażu i rozbiórki, tablicy informacyjnej oraz ogłoszenia zawierającego dane dotyczące bezpieczeństwa pracy i ochrony zdrowia (Dz. U. z 2002 r. Nr 108 poz. 953 wraz z </w:t>
      </w:r>
      <w:proofErr w:type="spellStart"/>
      <w:r>
        <w:rPr>
          <w:rFonts w:ascii="Arial" w:hAnsi="Arial" w:cs="Arial"/>
          <w:color w:val="000000"/>
          <w:sz w:val="18"/>
          <w:szCs w:val="18"/>
          <w:lang w:val="x-none"/>
        </w:rPr>
        <w:t>późn</w:t>
      </w:r>
      <w:proofErr w:type="spellEnd"/>
      <w:r>
        <w:rPr>
          <w:rFonts w:ascii="Arial" w:hAnsi="Arial" w:cs="Arial"/>
          <w:color w:val="000000"/>
          <w:sz w:val="18"/>
          <w:szCs w:val="18"/>
          <w:lang w:val="x-none"/>
        </w:rPr>
        <w:t>. zmianami).</w:t>
      </w:r>
    </w:p>
    <w:p w14:paraId="48B5C04E"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Rozporządzenie Ministra Infrastruktury dnia 2 września 2004 r. – w sprawie szczegółowego zakresu i formy dokumentacji projektowej, specyfikacji technicznych wykonania i odbioru robót budowlanych oraz programu funkcjonalno-użytkowego (Dz. U. z 2002 Nr 202, poz. 2072 – tekst jednolity Dz. U. z 2013 Nr 0, poz. 1129).</w:t>
      </w:r>
    </w:p>
    <w:p w14:paraId="7F9F5F27" w14:textId="77777777" w:rsidR="000A3B2B" w:rsidRDefault="000A3B2B" w:rsidP="000E4A55">
      <w:pPr>
        <w:autoSpaceDE w:val="0"/>
        <w:autoSpaceDN w:val="0"/>
        <w:adjustRightInd w:val="0"/>
        <w:spacing w:after="30" w:line="240" w:lineRule="auto"/>
        <w:jc w:val="both"/>
        <w:rPr>
          <w:rFonts w:ascii="Arial" w:hAnsi="Arial" w:cs="Arial"/>
          <w:color w:val="000000"/>
          <w:sz w:val="18"/>
          <w:szCs w:val="18"/>
          <w:lang w:val="x-none"/>
        </w:rPr>
      </w:pPr>
    </w:p>
    <w:p w14:paraId="20124DCF" w14:textId="77777777" w:rsidR="000A3B2B" w:rsidRDefault="000A3B2B" w:rsidP="000E4A5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10.4.</w:t>
      </w:r>
      <w:r>
        <w:rPr>
          <w:rFonts w:ascii="Arial" w:hAnsi="Arial" w:cs="Arial"/>
          <w:b/>
          <w:bCs/>
          <w:color w:val="000000"/>
          <w:sz w:val="18"/>
          <w:szCs w:val="18"/>
          <w:lang w:val="x-none"/>
        </w:rPr>
        <w:tab/>
        <w:t>Inne dokumenty</w:t>
      </w:r>
    </w:p>
    <w:p w14:paraId="793FD4BD"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Specyfikacja techniczna wykonania i odbioru robót budowlanych. Wymagania ogólne Kod CPV 45000000-7. Wydanie 3, OWEOB Promocja – 2017 r.,</w:t>
      </w:r>
    </w:p>
    <w:p w14:paraId="20D14EFF"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Warunki techniczne wykonania i odbioru sieci kanalizacyjnych – zeszyt 9 – COBRTI INSTAL,</w:t>
      </w:r>
    </w:p>
    <w:p w14:paraId="18D05BB0"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Warunki techniczne wykonania i odbioru sieci ciepłowniczych z rur i elementów preizolowanych – zeszyt 4 – COBRTI INSTAL,</w:t>
      </w:r>
    </w:p>
    <w:p w14:paraId="0C5A3A9E"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Warunki techniczne wykonania i odbioru sieci wodociągowych – zeszyt 3 – COBRTI INSTAL,</w:t>
      </w:r>
    </w:p>
    <w:p w14:paraId="7C878467"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Warunki techniczne wykonania i odbioru robót budowlano-montażowych. Tom II. Instalacje sanitarne i przemysłowe – wydawnictwa Arkady,</w:t>
      </w:r>
    </w:p>
    <w:p w14:paraId="75EF6EC8" w14:textId="77777777" w:rsidR="000A3B2B" w:rsidRDefault="000A3B2B" w:rsidP="000E4A5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Opracowanie pt. „Sieci gazowe polietylenowe. Projektowanie, budowa, użytkowanie”.</w:t>
      </w:r>
    </w:p>
    <w:p w14:paraId="7D79E929" w14:textId="77777777" w:rsidR="000A3B2B" w:rsidRDefault="000A3B2B" w:rsidP="000E4A55">
      <w:pPr>
        <w:autoSpaceDE w:val="0"/>
        <w:autoSpaceDN w:val="0"/>
        <w:adjustRightInd w:val="0"/>
        <w:spacing w:after="30" w:line="240" w:lineRule="auto"/>
        <w:jc w:val="right"/>
        <w:rPr>
          <w:rFonts w:ascii="Arial" w:hAnsi="Arial" w:cs="Arial"/>
          <w:color w:val="000000"/>
          <w:sz w:val="18"/>
          <w:szCs w:val="18"/>
          <w:lang w:val="x-none"/>
        </w:rPr>
      </w:pPr>
      <w:r>
        <w:rPr>
          <w:rFonts w:ascii="Arial" w:hAnsi="Arial" w:cs="Arial"/>
          <w:color w:val="000000"/>
          <w:sz w:val="18"/>
          <w:szCs w:val="18"/>
          <w:lang w:val="x-none"/>
        </w:rPr>
        <w:t xml:space="preserve"> </w:t>
      </w:r>
    </w:p>
    <w:p w14:paraId="48F2C97F" w14:textId="77777777" w:rsidR="000A3B2B" w:rsidRDefault="000A3B2B" w:rsidP="000E4A55">
      <w:pPr>
        <w:autoSpaceDE w:val="0"/>
        <w:autoSpaceDN w:val="0"/>
        <w:adjustRightInd w:val="0"/>
        <w:spacing w:after="30" w:line="240" w:lineRule="auto"/>
        <w:jc w:val="right"/>
        <w:rPr>
          <w:rFonts w:ascii="Arial" w:hAnsi="Arial" w:cs="Arial"/>
          <w:i/>
          <w:iCs/>
          <w:color w:val="000000"/>
          <w:sz w:val="18"/>
          <w:szCs w:val="18"/>
          <w:lang w:val="x-none"/>
        </w:rPr>
      </w:pPr>
      <w:r>
        <w:rPr>
          <w:rFonts w:ascii="Arial" w:hAnsi="Arial" w:cs="Arial"/>
          <w:color w:val="000000"/>
          <w:sz w:val="18"/>
          <w:szCs w:val="18"/>
          <w:lang w:val="x-none"/>
        </w:rPr>
        <w:br w:type="page"/>
      </w:r>
      <w:r>
        <w:rPr>
          <w:rFonts w:ascii="Arial" w:hAnsi="Arial" w:cs="Arial"/>
          <w:i/>
          <w:iCs/>
          <w:color w:val="000000"/>
          <w:sz w:val="18"/>
          <w:szCs w:val="18"/>
          <w:lang w:val="x-none"/>
        </w:rPr>
        <w:lastRenderedPageBreak/>
        <w:t>Załącznik 1</w:t>
      </w:r>
    </w:p>
    <w:p w14:paraId="2528F3DE" w14:textId="77777777" w:rsidR="000A3B2B" w:rsidRDefault="000A3B2B" w:rsidP="000E4A55">
      <w:pPr>
        <w:autoSpaceDE w:val="0"/>
        <w:autoSpaceDN w:val="0"/>
        <w:adjustRightInd w:val="0"/>
        <w:spacing w:after="30" w:line="240" w:lineRule="auto"/>
        <w:jc w:val="both"/>
        <w:rPr>
          <w:rFonts w:ascii="Arial" w:hAnsi="Arial" w:cs="Arial"/>
          <w:b/>
          <w:bCs/>
          <w:color w:val="000000"/>
          <w:sz w:val="18"/>
          <w:szCs w:val="18"/>
          <w:lang w:val="x-none"/>
        </w:rPr>
      </w:pPr>
    </w:p>
    <w:p w14:paraId="2F204040" w14:textId="77777777" w:rsidR="000A3B2B" w:rsidRDefault="000A3B2B" w:rsidP="000E4A55">
      <w:pPr>
        <w:autoSpaceDE w:val="0"/>
        <w:autoSpaceDN w:val="0"/>
        <w:adjustRightInd w:val="0"/>
        <w:spacing w:after="30" w:line="240" w:lineRule="auto"/>
        <w:jc w:val="both"/>
        <w:rPr>
          <w:rFonts w:ascii="Arial" w:hAnsi="Arial" w:cs="Arial"/>
          <w:b/>
          <w:bCs/>
          <w:color w:val="000000"/>
          <w:sz w:val="18"/>
          <w:szCs w:val="18"/>
          <w:lang w:val="x-none"/>
        </w:rPr>
      </w:pPr>
      <w:r>
        <w:rPr>
          <w:rFonts w:ascii="Arial" w:hAnsi="Arial" w:cs="Arial"/>
          <w:b/>
          <w:bCs/>
          <w:color w:val="000000"/>
          <w:sz w:val="18"/>
          <w:szCs w:val="18"/>
          <w:lang w:val="x-none"/>
        </w:rPr>
        <w:t>Tablica 1. Podział gruntów na kategorie</w:t>
      </w:r>
    </w:p>
    <w:tbl>
      <w:tblPr>
        <w:tblW w:w="0" w:type="auto"/>
        <w:tblCellSpacing w:w="0" w:type="dxa"/>
        <w:tblInd w:w="-8" w:type="dxa"/>
        <w:tblLayout w:type="fixed"/>
        <w:tblCellMar>
          <w:left w:w="0" w:type="dxa"/>
          <w:right w:w="0" w:type="dxa"/>
        </w:tblCellMar>
        <w:tblLook w:val="0000" w:firstRow="0" w:lastRow="0" w:firstColumn="0" w:lastColumn="0" w:noHBand="0" w:noVBand="0"/>
      </w:tblPr>
      <w:tblGrid>
        <w:gridCol w:w="892"/>
        <w:gridCol w:w="5236"/>
        <w:gridCol w:w="1544"/>
        <w:gridCol w:w="1726"/>
      </w:tblGrid>
      <w:tr w:rsidR="000A3B2B" w14:paraId="75C24985" w14:textId="77777777">
        <w:trPr>
          <w:trHeight w:val="60"/>
          <w:tblHeader/>
          <w:tblCellSpacing w:w="0" w:type="dxa"/>
        </w:trPr>
        <w:tc>
          <w:tcPr>
            <w:tcW w:w="892" w:type="dxa"/>
            <w:tcBorders>
              <w:top w:val="single" w:sz="6" w:space="0" w:color="000000"/>
              <w:left w:val="single" w:sz="6" w:space="0" w:color="000000"/>
              <w:bottom w:val="single" w:sz="6" w:space="0" w:color="000000"/>
              <w:right w:val="single" w:sz="6" w:space="0" w:color="000000"/>
            </w:tcBorders>
            <w:shd w:val="clear" w:color="auto" w:fill="CBCBCB"/>
            <w:vAlign w:val="center"/>
          </w:tcPr>
          <w:p w14:paraId="034D9E5C"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Kategoria</w:t>
            </w:r>
          </w:p>
        </w:tc>
        <w:tc>
          <w:tcPr>
            <w:tcW w:w="5236" w:type="dxa"/>
            <w:tcBorders>
              <w:top w:val="single" w:sz="6" w:space="0" w:color="000000"/>
              <w:left w:val="single" w:sz="6" w:space="0" w:color="000000"/>
              <w:bottom w:val="single" w:sz="6" w:space="0" w:color="000000"/>
              <w:right w:val="single" w:sz="6" w:space="0" w:color="000000"/>
            </w:tcBorders>
            <w:shd w:val="clear" w:color="auto" w:fill="CBCBCB"/>
            <w:vAlign w:val="center"/>
          </w:tcPr>
          <w:p w14:paraId="53C0F15C"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 xml:space="preserve">Rodzaj i charakterystyka </w:t>
            </w:r>
            <w:r>
              <w:rPr>
                <w:rFonts w:ascii="Arial" w:hAnsi="Arial" w:cs="Arial"/>
                <w:color w:val="000000"/>
                <w:sz w:val="18"/>
                <w:szCs w:val="18"/>
                <w:lang w:val="x-none"/>
              </w:rPr>
              <w:br/>
              <w:t>gruntu lub materiału</w:t>
            </w:r>
          </w:p>
        </w:tc>
        <w:tc>
          <w:tcPr>
            <w:tcW w:w="1544" w:type="dxa"/>
            <w:tcBorders>
              <w:top w:val="single" w:sz="6" w:space="0" w:color="000000"/>
              <w:left w:val="single" w:sz="6" w:space="0" w:color="000000"/>
              <w:bottom w:val="single" w:sz="6" w:space="0" w:color="000000"/>
              <w:right w:val="single" w:sz="6" w:space="0" w:color="000000"/>
            </w:tcBorders>
            <w:shd w:val="clear" w:color="auto" w:fill="CBCBCB"/>
            <w:vAlign w:val="center"/>
          </w:tcPr>
          <w:p w14:paraId="2BF82A45" w14:textId="77777777" w:rsidR="000A3B2B" w:rsidRDefault="000A3B2B">
            <w:pPr>
              <w:autoSpaceDE w:val="0"/>
              <w:autoSpaceDN w:val="0"/>
              <w:adjustRightInd w:val="0"/>
              <w:spacing w:after="0" w:line="240" w:lineRule="auto"/>
              <w:jc w:val="center"/>
              <w:rPr>
                <w:rFonts w:ascii="Arial" w:hAnsi="Arial" w:cs="Arial"/>
                <w:color w:val="000000"/>
                <w:position w:val="4"/>
                <w:sz w:val="8"/>
                <w:szCs w:val="8"/>
                <w:lang w:val="x-none"/>
              </w:rPr>
            </w:pPr>
            <w:r>
              <w:rPr>
                <w:rFonts w:ascii="Arial" w:hAnsi="Arial" w:cs="Arial"/>
                <w:color w:val="000000"/>
                <w:sz w:val="18"/>
                <w:szCs w:val="18"/>
                <w:lang w:val="x-none"/>
              </w:rPr>
              <w:t xml:space="preserve">Gęstość objętościowa w stanie naturalnym </w:t>
            </w:r>
            <w:r>
              <w:rPr>
                <w:rFonts w:ascii="Arial" w:hAnsi="Arial" w:cs="Arial"/>
                <w:color w:val="000000"/>
                <w:sz w:val="18"/>
                <w:szCs w:val="18"/>
                <w:lang w:val="x-none"/>
              </w:rPr>
              <w:br/>
            </w:r>
            <w:proofErr w:type="spellStart"/>
            <w:r>
              <w:rPr>
                <w:rFonts w:ascii="Arial" w:hAnsi="Arial" w:cs="Arial"/>
                <w:color w:val="000000"/>
                <w:sz w:val="18"/>
                <w:szCs w:val="18"/>
                <w:lang w:val="x-none"/>
              </w:rPr>
              <w:t>kN</w:t>
            </w:r>
            <w:proofErr w:type="spellEnd"/>
            <w:r>
              <w:rPr>
                <w:rFonts w:ascii="Arial" w:hAnsi="Arial" w:cs="Arial"/>
                <w:color w:val="000000"/>
                <w:sz w:val="18"/>
                <w:szCs w:val="18"/>
                <w:lang w:val="x-none"/>
              </w:rPr>
              <w:t>/m</w:t>
            </w:r>
            <w:r>
              <w:rPr>
                <w:rFonts w:ascii="Arial" w:hAnsi="Arial" w:cs="Arial"/>
                <w:color w:val="000000"/>
                <w:position w:val="4"/>
                <w:sz w:val="8"/>
                <w:szCs w:val="8"/>
                <w:lang w:val="x-none"/>
              </w:rPr>
              <w:t>3</w:t>
            </w:r>
          </w:p>
        </w:tc>
        <w:tc>
          <w:tcPr>
            <w:tcW w:w="1726" w:type="dxa"/>
            <w:tcBorders>
              <w:top w:val="single" w:sz="6" w:space="0" w:color="000000"/>
              <w:left w:val="single" w:sz="6" w:space="0" w:color="000000"/>
              <w:bottom w:val="single" w:sz="6" w:space="0" w:color="000000"/>
              <w:right w:val="single" w:sz="6" w:space="0" w:color="000000"/>
            </w:tcBorders>
            <w:shd w:val="clear" w:color="auto" w:fill="CBCBCB"/>
            <w:vAlign w:val="center"/>
          </w:tcPr>
          <w:p w14:paraId="6A7A6D5C" w14:textId="77777777" w:rsidR="000A3B2B" w:rsidRDefault="000A3B2B">
            <w:pPr>
              <w:autoSpaceDE w:val="0"/>
              <w:autoSpaceDN w:val="0"/>
              <w:adjustRightInd w:val="0"/>
              <w:spacing w:after="0" w:line="240" w:lineRule="auto"/>
              <w:jc w:val="center"/>
              <w:rPr>
                <w:rFonts w:ascii="Arial" w:hAnsi="Arial" w:cs="Arial"/>
                <w:color w:val="000000"/>
                <w:position w:val="4"/>
                <w:sz w:val="8"/>
                <w:szCs w:val="8"/>
                <w:lang w:val="x-none"/>
              </w:rPr>
            </w:pPr>
            <w:r>
              <w:rPr>
                <w:rFonts w:ascii="Arial" w:hAnsi="Arial" w:cs="Arial"/>
                <w:color w:val="000000"/>
                <w:sz w:val="18"/>
                <w:szCs w:val="18"/>
                <w:lang w:val="x-none"/>
              </w:rPr>
              <w:t xml:space="preserve">Przeciętne spulchnienie po odspojeniu </w:t>
            </w:r>
            <w:r>
              <w:rPr>
                <w:rFonts w:ascii="Arial" w:hAnsi="Arial" w:cs="Arial"/>
                <w:color w:val="000000"/>
                <w:sz w:val="18"/>
                <w:szCs w:val="18"/>
                <w:lang w:val="x-none"/>
              </w:rPr>
              <w:br/>
              <w:t>w % od pierwotnej objętości</w:t>
            </w:r>
            <w:r>
              <w:rPr>
                <w:rFonts w:ascii="Arial" w:hAnsi="Arial" w:cs="Arial"/>
                <w:color w:val="000000"/>
                <w:position w:val="4"/>
                <w:sz w:val="8"/>
                <w:szCs w:val="8"/>
                <w:lang w:val="x-none"/>
              </w:rPr>
              <w:t>1)</w:t>
            </w:r>
          </w:p>
        </w:tc>
      </w:tr>
      <w:tr w:rsidR="000A3B2B" w14:paraId="10F985C1" w14:textId="77777777">
        <w:trPr>
          <w:trHeight w:val="60"/>
          <w:tblCellSpacing w:w="0" w:type="dxa"/>
        </w:trPr>
        <w:tc>
          <w:tcPr>
            <w:tcW w:w="892" w:type="dxa"/>
            <w:tcBorders>
              <w:top w:val="single" w:sz="6" w:space="0" w:color="000000"/>
              <w:left w:val="single" w:sz="6" w:space="0" w:color="000000"/>
              <w:bottom w:val="nil"/>
              <w:right w:val="single" w:sz="6" w:space="0" w:color="000000"/>
            </w:tcBorders>
          </w:tcPr>
          <w:p w14:paraId="398B711F"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1</w:t>
            </w:r>
          </w:p>
        </w:tc>
        <w:tc>
          <w:tcPr>
            <w:tcW w:w="5236" w:type="dxa"/>
            <w:tcBorders>
              <w:top w:val="single" w:sz="6" w:space="0" w:color="000000"/>
              <w:left w:val="single" w:sz="6" w:space="0" w:color="000000"/>
              <w:bottom w:val="nil"/>
              <w:right w:val="single" w:sz="6" w:space="0" w:color="000000"/>
            </w:tcBorders>
          </w:tcPr>
          <w:p w14:paraId="357F8B34" w14:textId="77777777" w:rsidR="000A3B2B" w:rsidRDefault="000A3B2B">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Piasek suchy bez spoiwa</w:t>
            </w:r>
          </w:p>
        </w:tc>
        <w:tc>
          <w:tcPr>
            <w:tcW w:w="1544" w:type="dxa"/>
            <w:tcBorders>
              <w:top w:val="single" w:sz="6" w:space="0" w:color="000000"/>
              <w:left w:val="single" w:sz="6" w:space="0" w:color="000000"/>
              <w:bottom w:val="nil"/>
              <w:right w:val="single" w:sz="6" w:space="0" w:color="000000"/>
            </w:tcBorders>
          </w:tcPr>
          <w:p w14:paraId="790C14AA"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15,7</w:t>
            </w:r>
          </w:p>
        </w:tc>
        <w:tc>
          <w:tcPr>
            <w:tcW w:w="1726" w:type="dxa"/>
            <w:tcBorders>
              <w:top w:val="single" w:sz="6" w:space="0" w:color="000000"/>
              <w:left w:val="single" w:sz="6" w:space="0" w:color="000000"/>
              <w:bottom w:val="nil"/>
              <w:right w:val="single" w:sz="6" w:space="0" w:color="000000"/>
            </w:tcBorders>
          </w:tcPr>
          <w:p w14:paraId="5F81C899"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5 do 15</w:t>
            </w:r>
          </w:p>
        </w:tc>
      </w:tr>
      <w:tr w:rsidR="000A3B2B" w14:paraId="30930DDA" w14:textId="77777777">
        <w:trPr>
          <w:trHeight w:val="45"/>
          <w:tblCellSpacing w:w="0" w:type="dxa"/>
        </w:trPr>
        <w:tc>
          <w:tcPr>
            <w:tcW w:w="892" w:type="dxa"/>
            <w:tcBorders>
              <w:top w:val="nil"/>
              <w:left w:val="single" w:sz="6" w:space="0" w:color="000000"/>
              <w:bottom w:val="nil"/>
              <w:right w:val="single" w:sz="6" w:space="0" w:color="000000"/>
            </w:tcBorders>
          </w:tcPr>
          <w:p w14:paraId="4F8CED5E" w14:textId="77777777" w:rsidR="000A3B2B" w:rsidRDefault="000A3B2B">
            <w:pPr>
              <w:autoSpaceDE w:val="0"/>
              <w:autoSpaceDN w:val="0"/>
              <w:adjustRightInd w:val="0"/>
              <w:spacing w:after="0" w:line="240" w:lineRule="auto"/>
              <w:rPr>
                <w:rFonts w:ascii="Arial" w:hAnsi="Arial" w:cs="Arial"/>
                <w:sz w:val="18"/>
                <w:szCs w:val="18"/>
                <w:lang w:val="x-none"/>
              </w:rPr>
            </w:pPr>
          </w:p>
        </w:tc>
        <w:tc>
          <w:tcPr>
            <w:tcW w:w="5236" w:type="dxa"/>
            <w:tcBorders>
              <w:top w:val="nil"/>
              <w:left w:val="single" w:sz="6" w:space="0" w:color="000000"/>
              <w:bottom w:val="nil"/>
              <w:right w:val="single" w:sz="6" w:space="0" w:color="000000"/>
            </w:tcBorders>
          </w:tcPr>
          <w:p w14:paraId="6C7B0816" w14:textId="77777777" w:rsidR="000A3B2B" w:rsidRDefault="000A3B2B">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Gleba uprawna zaorana lub ogrodowa</w:t>
            </w:r>
          </w:p>
        </w:tc>
        <w:tc>
          <w:tcPr>
            <w:tcW w:w="1544" w:type="dxa"/>
            <w:tcBorders>
              <w:top w:val="nil"/>
              <w:left w:val="single" w:sz="6" w:space="0" w:color="000000"/>
              <w:bottom w:val="nil"/>
              <w:right w:val="single" w:sz="6" w:space="0" w:color="000000"/>
            </w:tcBorders>
          </w:tcPr>
          <w:p w14:paraId="46F22522"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11,8</w:t>
            </w:r>
          </w:p>
        </w:tc>
        <w:tc>
          <w:tcPr>
            <w:tcW w:w="1726" w:type="dxa"/>
            <w:tcBorders>
              <w:top w:val="nil"/>
              <w:left w:val="single" w:sz="6" w:space="0" w:color="000000"/>
              <w:bottom w:val="nil"/>
              <w:right w:val="single" w:sz="6" w:space="0" w:color="000000"/>
            </w:tcBorders>
          </w:tcPr>
          <w:p w14:paraId="52876DFB"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5 do 15</w:t>
            </w:r>
          </w:p>
        </w:tc>
      </w:tr>
      <w:tr w:rsidR="000A3B2B" w14:paraId="0BC49E47" w14:textId="77777777">
        <w:trPr>
          <w:trHeight w:val="60"/>
          <w:tblCellSpacing w:w="0" w:type="dxa"/>
        </w:trPr>
        <w:tc>
          <w:tcPr>
            <w:tcW w:w="892" w:type="dxa"/>
            <w:tcBorders>
              <w:top w:val="nil"/>
              <w:left w:val="single" w:sz="6" w:space="0" w:color="000000"/>
              <w:bottom w:val="nil"/>
              <w:right w:val="single" w:sz="6" w:space="0" w:color="000000"/>
            </w:tcBorders>
          </w:tcPr>
          <w:p w14:paraId="14872B9B" w14:textId="77777777" w:rsidR="000A3B2B" w:rsidRDefault="000A3B2B">
            <w:pPr>
              <w:autoSpaceDE w:val="0"/>
              <w:autoSpaceDN w:val="0"/>
              <w:adjustRightInd w:val="0"/>
              <w:spacing w:after="0" w:line="240" w:lineRule="auto"/>
              <w:rPr>
                <w:rFonts w:ascii="Arial" w:hAnsi="Arial" w:cs="Arial"/>
                <w:sz w:val="18"/>
                <w:szCs w:val="18"/>
                <w:lang w:val="x-none"/>
              </w:rPr>
            </w:pPr>
          </w:p>
        </w:tc>
        <w:tc>
          <w:tcPr>
            <w:tcW w:w="5236" w:type="dxa"/>
            <w:tcBorders>
              <w:top w:val="nil"/>
              <w:left w:val="single" w:sz="6" w:space="0" w:color="000000"/>
              <w:bottom w:val="nil"/>
              <w:right w:val="single" w:sz="6" w:space="0" w:color="000000"/>
            </w:tcBorders>
          </w:tcPr>
          <w:p w14:paraId="20A090C2" w14:textId="77777777" w:rsidR="000A3B2B" w:rsidRDefault="000A3B2B">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Torf bez korzeni</w:t>
            </w:r>
          </w:p>
        </w:tc>
        <w:tc>
          <w:tcPr>
            <w:tcW w:w="1544" w:type="dxa"/>
            <w:tcBorders>
              <w:top w:val="nil"/>
              <w:left w:val="single" w:sz="6" w:space="0" w:color="000000"/>
              <w:bottom w:val="nil"/>
              <w:right w:val="single" w:sz="6" w:space="0" w:color="000000"/>
            </w:tcBorders>
          </w:tcPr>
          <w:p w14:paraId="4ADE25D6"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9,8</w:t>
            </w:r>
          </w:p>
        </w:tc>
        <w:tc>
          <w:tcPr>
            <w:tcW w:w="1726" w:type="dxa"/>
            <w:tcBorders>
              <w:top w:val="nil"/>
              <w:left w:val="single" w:sz="6" w:space="0" w:color="000000"/>
              <w:bottom w:val="nil"/>
              <w:right w:val="single" w:sz="6" w:space="0" w:color="000000"/>
            </w:tcBorders>
          </w:tcPr>
          <w:p w14:paraId="475E67E5"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20 do 30</w:t>
            </w:r>
          </w:p>
        </w:tc>
      </w:tr>
      <w:tr w:rsidR="000A3B2B" w14:paraId="3DE97A1F" w14:textId="77777777">
        <w:trPr>
          <w:trHeight w:val="60"/>
          <w:tblCellSpacing w:w="0" w:type="dxa"/>
        </w:trPr>
        <w:tc>
          <w:tcPr>
            <w:tcW w:w="892" w:type="dxa"/>
            <w:tcBorders>
              <w:top w:val="nil"/>
              <w:left w:val="single" w:sz="6" w:space="0" w:color="000000"/>
              <w:bottom w:val="single" w:sz="6" w:space="0" w:color="000000"/>
              <w:right w:val="single" w:sz="6" w:space="0" w:color="000000"/>
            </w:tcBorders>
          </w:tcPr>
          <w:p w14:paraId="10F8B45B" w14:textId="77777777" w:rsidR="000A3B2B" w:rsidRDefault="000A3B2B">
            <w:pPr>
              <w:autoSpaceDE w:val="0"/>
              <w:autoSpaceDN w:val="0"/>
              <w:adjustRightInd w:val="0"/>
              <w:spacing w:after="0" w:line="240" w:lineRule="auto"/>
              <w:rPr>
                <w:rFonts w:ascii="Arial" w:hAnsi="Arial" w:cs="Arial"/>
                <w:sz w:val="18"/>
                <w:szCs w:val="18"/>
                <w:lang w:val="x-none"/>
              </w:rPr>
            </w:pPr>
          </w:p>
        </w:tc>
        <w:tc>
          <w:tcPr>
            <w:tcW w:w="5236" w:type="dxa"/>
            <w:tcBorders>
              <w:top w:val="nil"/>
              <w:left w:val="single" w:sz="6" w:space="0" w:color="000000"/>
              <w:bottom w:val="single" w:sz="6" w:space="0" w:color="000000"/>
              <w:right w:val="single" w:sz="6" w:space="0" w:color="000000"/>
            </w:tcBorders>
          </w:tcPr>
          <w:p w14:paraId="302BC121" w14:textId="77777777" w:rsidR="000A3B2B" w:rsidRDefault="000A3B2B">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Popioły lotne niezleżałe</w:t>
            </w:r>
          </w:p>
        </w:tc>
        <w:tc>
          <w:tcPr>
            <w:tcW w:w="1544" w:type="dxa"/>
            <w:tcBorders>
              <w:top w:val="nil"/>
              <w:left w:val="single" w:sz="6" w:space="0" w:color="000000"/>
              <w:bottom w:val="single" w:sz="6" w:space="0" w:color="000000"/>
              <w:right w:val="single" w:sz="6" w:space="0" w:color="000000"/>
            </w:tcBorders>
          </w:tcPr>
          <w:p w14:paraId="199CE010"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11,8</w:t>
            </w:r>
          </w:p>
        </w:tc>
        <w:tc>
          <w:tcPr>
            <w:tcW w:w="1726" w:type="dxa"/>
            <w:tcBorders>
              <w:top w:val="nil"/>
              <w:left w:val="single" w:sz="6" w:space="0" w:color="000000"/>
              <w:bottom w:val="single" w:sz="6" w:space="0" w:color="000000"/>
              <w:right w:val="single" w:sz="6" w:space="0" w:color="000000"/>
            </w:tcBorders>
          </w:tcPr>
          <w:p w14:paraId="324C8DD2"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5 do 15</w:t>
            </w:r>
          </w:p>
        </w:tc>
      </w:tr>
      <w:tr w:rsidR="000A3B2B" w14:paraId="6F7EAACA" w14:textId="77777777">
        <w:trPr>
          <w:trHeight w:val="240"/>
          <w:tblCellSpacing w:w="0" w:type="dxa"/>
        </w:trPr>
        <w:tc>
          <w:tcPr>
            <w:tcW w:w="892" w:type="dxa"/>
            <w:tcBorders>
              <w:top w:val="single" w:sz="6" w:space="0" w:color="000000"/>
              <w:left w:val="single" w:sz="6" w:space="0" w:color="000000"/>
              <w:bottom w:val="nil"/>
              <w:right w:val="single" w:sz="6" w:space="0" w:color="000000"/>
            </w:tcBorders>
          </w:tcPr>
          <w:p w14:paraId="40FEC004"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2</w:t>
            </w:r>
          </w:p>
        </w:tc>
        <w:tc>
          <w:tcPr>
            <w:tcW w:w="5236" w:type="dxa"/>
            <w:tcBorders>
              <w:top w:val="single" w:sz="6" w:space="0" w:color="000000"/>
              <w:left w:val="single" w:sz="6" w:space="0" w:color="000000"/>
              <w:bottom w:val="nil"/>
              <w:right w:val="single" w:sz="6" w:space="0" w:color="000000"/>
            </w:tcBorders>
          </w:tcPr>
          <w:p w14:paraId="0819419B" w14:textId="77777777" w:rsidR="000A3B2B" w:rsidRDefault="000A3B2B">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Piasek wilgotny</w:t>
            </w:r>
          </w:p>
        </w:tc>
        <w:tc>
          <w:tcPr>
            <w:tcW w:w="1544" w:type="dxa"/>
            <w:tcBorders>
              <w:top w:val="single" w:sz="6" w:space="0" w:color="000000"/>
              <w:left w:val="single" w:sz="6" w:space="0" w:color="000000"/>
              <w:bottom w:val="nil"/>
              <w:right w:val="single" w:sz="6" w:space="0" w:color="000000"/>
            </w:tcBorders>
            <w:vAlign w:val="center"/>
          </w:tcPr>
          <w:p w14:paraId="4BF69D37"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16,7</w:t>
            </w:r>
          </w:p>
        </w:tc>
        <w:tc>
          <w:tcPr>
            <w:tcW w:w="1726" w:type="dxa"/>
            <w:tcBorders>
              <w:top w:val="single" w:sz="6" w:space="0" w:color="000000"/>
              <w:left w:val="single" w:sz="6" w:space="0" w:color="000000"/>
              <w:bottom w:val="nil"/>
              <w:right w:val="single" w:sz="6" w:space="0" w:color="000000"/>
            </w:tcBorders>
            <w:vAlign w:val="center"/>
          </w:tcPr>
          <w:p w14:paraId="4EFA32E0"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15 do 25</w:t>
            </w:r>
          </w:p>
        </w:tc>
      </w:tr>
      <w:tr w:rsidR="000A3B2B" w14:paraId="67266262" w14:textId="77777777">
        <w:trPr>
          <w:trHeight w:val="60"/>
          <w:tblCellSpacing w:w="0" w:type="dxa"/>
        </w:trPr>
        <w:tc>
          <w:tcPr>
            <w:tcW w:w="892" w:type="dxa"/>
            <w:tcBorders>
              <w:top w:val="nil"/>
              <w:left w:val="single" w:sz="6" w:space="0" w:color="000000"/>
              <w:bottom w:val="nil"/>
              <w:right w:val="single" w:sz="6" w:space="0" w:color="000000"/>
            </w:tcBorders>
          </w:tcPr>
          <w:p w14:paraId="696B0B67" w14:textId="77777777" w:rsidR="000A3B2B" w:rsidRDefault="000A3B2B">
            <w:pPr>
              <w:autoSpaceDE w:val="0"/>
              <w:autoSpaceDN w:val="0"/>
              <w:adjustRightInd w:val="0"/>
              <w:spacing w:after="0" w:line="240" w:lineRule="auto"/>
              <w:rPr>
                <w:rFonts w:ascii="Arial" w:hAnsi="Arial" w:cs="Arial"/>
                <w:sz w:val="18"/>
                <w:szCs w:val="18"/>
                <w:lang w:val="x-none"/>
              </w:rPr>
            </w:pPr>
          </w:p>
        </w:tc>
        <w:tc>
          <w:tcPr>
            <w:tcW w:w="5236" w:type="dxa"/>
            <w:tcBorders>
              <w:top w:val="nil"/>
              <w:left w:val="single" w:sz="6" w:space="0" w:color="000000"/>
              <w:bottom w:val="nil"/>
              <w:right w:val="single" w:sz="6" w:space="0" w:color="000000"/>
            </w:tcBorders>
          </w:tcPr>
          <w:p w14:paraId="4AA170B8" w14:textId="77777777" w:rsidR="000A3B2B" w:rsidRDefault="000A3B2B">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Piasek gliniasty, pył i lessy wilgotne, twardoplastyczne i plastyczne</w:t>
            </w:r>
          </w:p>
        </w:tc>
        <w:tc>
          <w:tcPr>
            <w:tcW w:w="1544" w:type="dxa"/>
            <w:tcBorders>
              <w:top w:val="nil"/>
              <w:left w:val="single" w:sz="6" w:space="0" w:color="000000"/>
              <w:bottom w:val="nil"/>
              <w:right w:val="single" w:sz="6" w:space="0" w:color="000000"/>
            </w:tcBorders>
            <w:vAlign w:val="center"/>
          </w:tcPr>
          <w:p w14:paraId="2E6E17D0"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17,7</w:t>
            </w:r>
          </w:p>
        </w:tc>
        <w:tc>
          <w:tcPr>
            <w:tcW w:w="1726" w:type="dxa"/>
            <w:tcBorders>
              <w:top w:val="nil"/>
              <w:left w:val="single" w:sz="6" w:space="0" w:color="000000"/>
              <w:bottom w:val="nil"/>
              <w:right w:val="single" w:sz="6" w:space="0" w:color="000000"/>
            </w:tcBorders>
            <w:vAlign w:val="center"/>
          </w:tcPr>
          <w:p w14:paraId="50945FA7"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15 do 25</w:t>
            </w:r>
          </w:p>
        </w:tc>
      </w:tr>
      <w:tr w:rsidR="000A3B2B" w14:paraId="735A80A1" w14:textId="77777777">
        <w:trPr>
          <w:trHeight w:val="60"/>
          <w:tblCellSpacing w:w="0" w:type="dxa"/>
        </w:trPr>
        <w:tc>
          <w:tcPr>
            <w:tcW w:w="892" w:type="dxa"/>
            <w:tcBorders>
              <w:top w:val="nil"/>
              <w:left w:val="single" w:sz="6" w:space="0" w:color="000000"/>
              <w:bottom w:val="nil"/>
              <w:right w:val="single" w:sz="6" w:space="0" w:color="000000"/>
            </w:tcBorders>
          </w:tcPr>
          <w:p w14:paraId="469925D7" w14:textId="77777777" w:rsidR="000A3B2B" w:rsidRDefault="000A3B2B">
            <w:pPr>
              <w:autoSpaceDE w:val="0"/>
              <w:autoSpaceDN w:val="0"/>
              <w:adjustRightInd w:val="0"/>
              <w:spacing w:after="0" w:line="240" w:lineRule="auto"/>
              <w:rPr>
                <w:rFonts w:ascii="Arial" w:hAnsi="Arial" w:cs="Arial"/>
                <w:sz w:val="18"/>
                <w:szCs w:val="18"/>
                <w:lang w:val="x-none"/>
              </w:rPr>
            </w:pPr>
          </w:p>
        </w:tc>
        <w:tc>
          <w:tcPr>
            <w:tcW w:w="5236" w:type="dxa"/>
            <w:tcBorders>
              <w:top w:val="nil"/>
              <w:left w:val="single" w:sz="6" w:space="0" w:color="000000"/>
              <w:bottom w:val="nil"/>
              <w:right w:val="single" w:sz="6" w:space="0" w:color="000000"/>
            </w:tcBorders>
          </w:tcPr>
          <w:p w14:paraId="7C4D7395" w14:textId="77777777" w:rsidR="000A3B2B" w:rsidRDefault="000A3B2B">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Gleba uprawna z darniną lub korzeniami grubości do 30 mm</w:t>
            </w:r>
          </w:p>
        </w:tc>
        <w:tc>
          <w:tcPr>
            <w:tcW w:w="1544" w:type="dxa"/>
            <w:tcBorders>
              <w:top w:val="nil"/>
              <w:left w:val="single" w:sz="6" w:space="0" w:color="000000"/>
              <w:bottom w:val="nil"/>
              <w:right w:val="single" w:sz="6" w:space="0" w:color="000000"/>
            </w:tcBorders>
            <w:vAlign w:val="center"/>
          </w:tcPr>
          <w:p w14:paraId="42580A19"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12,7</w:t>
            </w:r>
          </w:p>
        </w:tc>
        <w:tc>
          <w:tcPr>
            <w:tcW w:w="1726" w:type="dxa"/>
            <w:tcBorders>
              <w:top w:val="nil"/>
              <w:left w:val="single" w:sz="6" w:space="0" w:color="000000"/>
              <w:bottom w:val="nil"/>
              <w:right w:val="single" w:sz="6" w:space="0" w:color="000000"/>
            </w:tcBorders>
            <w:vAlign w:val="center"/>
          </w:tcPr>
          <w:p w14:paraId="46883B5F"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15 do 25</w:t>
            </w:r>
          </w:p>
        </w:tc>
      </w:tr>
      <w:tr w:rsidR="000A3B2B" w14:paraId="3FABC450" w14:textId="77777777">
        <w:trPr>
          <w:trHeight w:val="60"/>
          <w:tblCellSpacing w:w="0" w:type="dxa"/>
        </w:trPr>
        <w:tc>
          <w:tcPr>
            <w:tcW w:w="892" w:type="dxa"/>
            <w:tcBorders>
              <w:top w:val="nil"/>
              <w:left w:val="single" w:sz="6" w:space="0" w:color="000000"/>
              <w:bottom w:val="nil"/>
              <w:right w:val="single" w:sz="6" w:space="0" w:color="000000"/>
            </w:tcBorders>
          </w:tcPr>
          <w:p w14:paraId="72058783" w14:textId="77777777" w:rsidR="000A3B2B" w:rsidRDefault="000A3B2B">
            <w:pPr>
              <w:autoSpaceDE w:val="0"/>
              <w:autoSpaceDN w:val="0"/>
              <w:adjustRightInd w:val="0"/>
              <w:spacing w:after="0" w:line="240" w:lineRule="auto"/>
              <w:rPr>
                <w:rFonts w:ascii="Arial" w:hAnsi="Arial" w:cs="Arial"/>
                <w:sz w:val="18"/>
                <w:szCs w:val="18"/>
                <w:lang w:val="x-none"/>
              </w:rPr>
            </w:pPr>
          </w:p>
        </w:tc>
        <w:tc>
          <w:tcPr>
            <w:tcW w:w="5236" w:type="dxa"/>
            <w:tcBorders>
              <w:top w:val="nil"/>
              <w:left w:val="single" w:sz="6" w:space="0" w:color="000000"/>
              <w:bottom w:val="nil"/>
              <w:right w:val="single" w:sz="6" w:space="0" w:color="000000"/>
            </w:tcBorders>
          </w:tcPr>
          <w:p w14:paraId="592CA380" w14:textId="77777777" w:rsidR="000A3B2B" w:rsidRDefault="000A3B2B">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Torf z korzeniami grubości do 30 mm</w:t>
            </w:r>
          </w:p>
        </w:tc>
        <w:tc>
          <w:tcPr>
            <w:tcW w:w="1544" w:type="dxa"/>
            <w:tcBorders>
              <w:top w:val="nil"/>
              <w:left w:val="single" w:sz="6" w:space="0" w:color="000000"/>
              <w:bottom w:val="nil"/>
              <w:right w:val="single" w:sz="6" w:space="0" w:color="000000"/>
            </w:tcBorders>
            <w:vAlign w:val="center"/>
          </w:tcPr>
          <w:p w14:paraId="20894988"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10,8</w:t>
            </w:r>
          </w:p>
        </w:tc>
        <w:tc>
          <w:tcPr>
            <w:tcW w:w="1726" w:type="dxa"/>
            <w:tcBorders>
              <w:top w:val="nil"/>
              <w:left w:val="single" w:sz="6" w:space="0" w:color="000000"/>
              <w:bottom w:val="nil"/>
              <w:right w:val="single" w:sz="6" w:space="0" w:color="000000"/>
            </w:tcBorders>
            <w:vAlign w:val="center"/>
          </w:tcPr>
          <w:p w14:paraId="4DD6ACB0"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20 do 30</w:t>
            </w:r>
          </w:p>
        </w:tc>
      </w:tr>
      <w:tr w:rsidR="000A3B2B" w14:paraId="5A921615" w14:textId="77777777">
        <w:trPr>
          <w:trHeight w:val="60"/>
          <w:tblCellSpacing w:w="0" w:type="dxa"/>
        </w:trPr>
        <w:tc>
          <w:tcPr>
            <w:tcW w:w="892" w:type="dxa"/>
            <w:tcBorders>
              <w:top w:val="nil"/>
              <w:left w:val="single" w:sz="6" w:space="0" w:color="000000"/>
              <w:bottom w:val="nil"/>
              <w:right w:val="single" w:sz="6" w:space="0" w:color="000000"/>
            </w:tcBorders>
          </w:tcPr>
          <w:p w14:paraId="3B970BE0" w14:textId="77777777" w:rsidR="000A3B2B" w:rsidRDefault="000A3B2B">
            <w:pPr>
              <w:autoSpaceDE w:val="0"/>
              <w:autoSpaceDN w:val="0"/>
              <w:adjustRightInd w:val="0"/>
              <w:spacing w:after="0" w:line="240" w:lineRule="auto"/>
              <w:rPr>
                <w:rFonts w:ascii="Arial" w:hAnsi="Arial" w:cs="Arial"/>
                <w:sz w:val="18"/>
                <w:szCs w:val="18"/>
                <w:lang w:val="x-none"/>
              </w:rPr>
            </w:pPr>
          </w:p>
        </w:tc>
        <w:tc>
          <w:tcPr>
            <w:tcW w:w="5236" w:type="dxa"/>
            <w:tcBorders>
              <w:top w:val="nil"/>
              <w:left w:val="single" w:sz="6" w:space="0" w:color="000000"/>
              <w:bottom w:val="nil"/>
              <w:right w:val="single" w:sz="6" w:space="0" w:color="000000"/>
            </w:tcBorders>
          </w:tcPr>
          <w:p w14:paraId="2CAF6FE9" w14:textId="77777777" w:rsidR="000A3B2B" w:rsidRDefault="000A3B2B">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Nasyp z piasku oraz piasku gliniastego z gruzem, tłuczniem lub odpadkami drewna</w:t>
            </w:r>
          </w:p>
        </w:tc>
        <w:tc>
          <w:tcPr>
            <w:tcW w:w="1544" w:type="dxa"/>
            <w:tcBorders>
              <w:top w:val="nil"/>
              <w:left w:val="single" w:sz="6" w:space="0" w:color="000000"/>
              <w:bottom w:val="nil"/>
              <w:right w:val="single" w:sz="6" w:space="0" w:color="000000"/>
            </w:tcBorders>
            <w:vAlign w:val="center"/>
          </w:tcPr>
          <w:p w14:paraId="616507D2"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16,7</w:t>
            </w:r>
          </w:p>
        </w:tc>
        <w:tc>
          <w:tcPr>
            <w:tcW w:w="1726" w:type="dxa"/>
            <w:tcBorders>
              <w:top w:val="nil"/>
              <w:left w:val="single" w:sz="6" w:space="0" w:color="000000"/>
              <w:bottom w:val="nil"/>
              <w:right w:val="single" w:sz="6" w:space="0" w:color="000000"/>
            </w:tcBorders>
            <w:vAlign w:val="center"/>
          </w:tcPr>
          <w:p w14:paraId="7BE9FCBF"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15 do 25</w:t>
            </w:r>
          </w:p>
        </w:tc>
      </w:tr>
      <w:tr w:rsidR="000A3B2B" w14:paraId="5BAE31A6" w14:textId="77777777">
        <w:trPr>
          <w:trHeight w:val="60"/>
          <w:tblCellSpacing w:w="0" w:type="dxa"/>
        </w:trPr>
        <w:tc>
          <w:tcPr>
            <w:tcW w:w="892" w:type="dxa"/>
            <w:tcBorders>
              <w:top w:val="nil"/>
              <w:left w:val="single" w:sz="6" w:space="0" w:color="000000"/>
              <w:bottom w:val="single" w:sz="6" w:space="0" w:color="000000"/>
              <w:right w:val="single" w:sz="6" w:space="0" w:color="000000"/>
            </w:tcBorders>
          </w:tcPr>
          <w:p w14:paraId="316616A5" w14:textId="77777777" w:rsidR="000A3B2B" w:rsidRDefault="000A3B2B">
            <w:pPr>
              <w:autoSpaceDE w:val="0"/>
              <w:autoSpaceDN w:val="0"/>
              <w:adjustRightInd w:val="0"/>
              <w:spacing w:after="0" w:line="240" w:lineRule="auto"/>
              <w:rPr>
                <w:rFonts w:ascii="Arial" w:hAnsi="Arial" w:cs="Arial"/>
                <w:sz w:val="18"/>
                <w:szCs w:val="18"/>
                <w:lang w:val="x-none"/>
              </w:rPr>
            </w:pPr>
          </w:p>
        </w:tc>
        <w:tc>
          <w:tcPr>
            <w:tcW w:w="5236" w:type="dxa"/>
            <w:tcBorders>
              <w:top w:val="nil"/>
              <w:left w:val="single" w:sz="6" w:space="0" w:color="000000"/>
              <w:bottom w:val="single" w:sz="6" w:space="0" w:color="000000"/>
              <w:right w:val="single" w:sz="6" w:space="0" w:color="000000"/>
            </w:tcBorders>
          </w:tcPr>
          <w:p w14:paraId="347F8AD0" w14:textId="77777777" w:rsidR="000A3B2B" w:rsidRDefault="000A3B2B">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 xml:space="preserve">Żwir bez spoiwa lub </w:t>
            </w:r>
            <w:proofErr w:type="spellStart"/>
            <w:r>
              <w:rPr>
                <w:rFonts w:ascii="Arial" w:hAnsi="Arial" w:cs="Arial"/>
                <w:color w:val="000000"/>
                <w:sz w:val="18"/>
                <w:szCs w:val="18"/>
                <w:lang w:val="x-none"/>
              </w:rPr>
              <w:t>małospoisty</w:t>
            </w:r>
            <w:proofErr w:type="spellEnd"/>
          </w:p>
        </w:tc>
        <w:tc>
          <w:tcPr>
            <w:tcW w:w="1544" w:type="dxa"/>
            <w:tcBorders>
              <w:top w:val="nil"/>
              <w:left w:val="single" w:sz="6" w:space="0" w:color="000000"/>
              <w:bottom w:val="single" w:sz="6" w:space="0" w:color="000000"/>
              <w:right w:val="single" w:sz="6" w:space="0" w:color="000000"/>
            </w:tcBorders>
            <w:vAlign w:val="center"/>
          </w:tcPr>
          <w:p w14:paraId="1BFD235C"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16,7</w:t>
            </w:r>
          </w:p>
        </w:tc>
        <w:tc>
          <w:tcPr>
            <w:tcW w:w="1726" w:type="dxa"/>
            <w:tcBorders>
              <w:top w:val="nil"/>
              <w:left w:val="single" w:sz="6" w:space="0" w:color="000000"/>
              <w:bottom w:val="single" w:sz="6" w:space="0" w:color="000000"/>
              <w:right w:val="single" w:sz="6" w:space="0" w:color="000000"/>
            </w:tcBorders>
            <w:vAlign w:val="center"/>
          </w:tcPr>
          <w:p w14:paraId="59423312"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15 do 25</w:t>
            </w:r>
          </w:p>
        </w:tc>
      </w:tr>
      <w:tr w:rsidR="000A3B2B" w14:paraId="220EB802" w14:textId="77777777">
        <w:trPr>
          <w:trHeight w:val="60"/>
          <w:tblCellSpacing w:w="0" w:type="dxa"/>
        </w:trPr>
        <w:tc>
          <w:tcPr>
            <w:tcW w:w="892" w:type="dxa"/>
            <w:tcBorders>
              <w:top w:val="single" w:sz="6" w:space="0" w:color="000000"/>
              <w:left w:val="single" w:sz="6" w:space="0" w:color="000000"/>
              <w:bottom w:val="nil"/>
              <w:right w:val="single" w:sz="6" w:space="0" w:color="000000"/>
            </w:tcBorders>
          </w:tcPr>
          <w:p w14:paraId="44B38DAA"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3</w:t>
            </w:r>
          </w:p>
        </w:tc>
        <w:tc>
          <w:tcPr>
            <w:tcW w:w="5236" w:type="dxa"/>
            <w:tcBorders>
              <w:top w:val="single" w:sz="6" w:space="0" w:color="000000"/>
              <w:left w:val="single" w:sz="6" w:space="0" w:color="000000"/>
              <w:bottom w:val="nil"/>
              <w:right w:val="single" w:sz="6" w:space="0" w:color="000000"/>
            </w:tcBorders>
          </w:tcPr>
          <w:p w14:paraId="374E7CDD" w14:textId="77777777" w:rsidR="000A3B2B" w:rsidRDefault="000A3B2B">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 xml:space="preserve">Piasek gliniasty, pył i lessy </w:t>
            </w:r>
            <w:proofErr w:type="spellStart"/>
            <w:r>
              <w:rPr>
                <w:rFonts w:ascii="Arial" w:hAnsi="Arial" w:cs="Arial"/>
                <w:color w:val="000000"/>
                <w:sz w:val="18"/>
                <w:szCs w:val="18"/>
                <w:lang w:val="x-none"/>
              </w:rPr>
              <w:t>małowilgotne</w:t>
            </w:r>
            <w:proofErr w:type="spellEnd"/>
            <w:r>
              <w:rPr>
                <w:rFonts w:ascii="Arial" w:hAnsi="Arial" w:cs="Arial"/>
                <w:color w:val="000000"/>
                <w:sz w:val="18"/>
                <w:szCs w:val="18"/>
                <w:lang w:val="x-none"/>
              </w:rPr>
              <w:t>, półzwarte</w:t>
            </w:r>
          </w:p>
        </w:tc>
        <w:tc>
          <w:tcPr>
            <w:tcW w:w="1544" w:type="dxa"/>
            <w:tcBorders>
              <w:top w:val="single" w:sz="6" w:space="0" w:color="000000"/>
              <w:left w:val="single" w:sz="6" w:space="0" w:color="000000"/>
              <w:bottom w:val="nil"/>
              <w:right w:val="single" w:sz="6" w:space="0" w:color="000000"/>
            </w:tcBorders>
            <w:vAlign w:val="center"/>
          </w:tcPr>
          <w:p w14:paraId="5918F669"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18,6</w:t>
            </w:r>
          </w:p>
        </w:tc>
        <w:tc>
          <w:tcPr>
            <w:tcW w:w="1726" w:type="dxa"/>
            <w:tcBorders>
              <w:top w:val="single" w:sz="6" w:space="0" w:color="000000"/>
              <w:left w:val="single" w:sz="6" w:space="0" w:color="000000"/>
              <w:bottom w:val="nil"/>
              <w:right w:val="single" w:sz="6" w:space="0" w:color="000000"/>
            </w:tcBorders>
            <w:vAlign w:val="center"/>
          </w:tcPr>
          <w:p w14:paraId="2DB208F7"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20 do 30</w:t>
            </w:r>
          </w:p>
        </w:tc>
      </w:tr>
      <w:tr w:rsidR="000A3B2B" w14:paraId="690EC71A" w14:textId="77777777">
        <w:trPr>
          <w:trHeight w:val="60"/>
          <w:tblCellSpacing w:w="0" w:type="dxa"/>
        </w:trPr>
        <w:tc>
          <w:tcPr>
            <w:tcW w:w="892" w:type="dxa"/>
            <w:tcBorders>
              <w:top w:val="nil"/>
              <w:left w:val="single" w:sz="6" w:space="0" w:color="000000"/>
              <w:bottom w:val="nil"/>
              <w:right w:val="single" w:sz="6" w:space="0" w:color="000000"/>
            </w:tcBorders>
          </w:tcPr>
          <w:p w14:paraId="29B5FB1F" w14:textId="77777777" w:rsidR="000A3B2B" w:rsidRDefault="000A3B2B">
            <w:pPr>
              <w:autoSpaceDE w:val="0"/>
              <w:autoSpaceDN w:val="0"/>
              <w:adjustRightInd w:val="0"/>
              <w:spacing w:after="0" w:line="240" w:lineRule="auto"/>
              <w:rPr>
                <w:rFonts w:ascii="Arial" w:hAnsi="Arial" w:cs="Arial"/>
                <w:sz w:val="18"/>
                <w:szCs w:val="18"/>
                <w:lang w:val="x-none"/>
              </w:rPr>
            </w:pPr>
          </w:p>
        </w:tc>
        <w:tc>
          <w:tcPr>
            <w:tcW w:w="5236" w:type="dxa"/>
            <w:tcBorders>
              <w:top w:val="nil"/>
              <w:left w:val="single" w:sz="6" w:space="0" w:color="000000"/>
              <w:bottom w:val="nil"/>
              <w:right w:val="single" w:sz="6" w:space="0" w:color="000000"/>
            </w:tcBorders>
          </w:tcPr>
          <w:p w14:paraId="456F984C" w14:textId="77777777" w:rsidR="000A3B2B" w:rsidRDefault="000A3B2B">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Gleba uprawna z korzeniami grubości ponad 30 mm</w:t>
            </w:r>
          </w:p>
        </w:tc>
        <w:tc>
          <w:tcPr>
            <w:tcW w:w="1544" w:type="dxa"/>
            <w:tcBorders>
              <w:top w:val="nil"/>
              <w:left w:val="single" w:sz="6" w:space="0" w:color="000000"/>
              <w:bottom w:val="nil"/>
              <w:right w:val="single" w:sz="6" w:space="0" w:color="000000"/>
            </w:tcBorders>
            <w:vAlign w:val="center"/>
          </w:tcPr>
          <w:p w14:paraId="653272C0"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13,7</w:t>
            </w:r>
          </w:p>
        </w:tc>
        <w:tc>
          <w:tcPr>
            <w:tcW w:w="1726" w:type="dxa"/>
            <w:tcBorders>
              <w:top w:val="nil"/>
              <w:left w:val="single" w:sz="6" w:space="0" w:color="000000"/>
              <w:bottom w:val="nil"/>
              <w:right w:val="single" w:sz="6" w:space="0" w:color="000000"/>
            </w:tcBorders>
            <w:vAlign w:val="center"/>
          </w:tcPr>
          <w:p w14:paraId="5B69131B"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20 do 30</w:t>
            </w:r>
          </w:p>
        </w:tc>
      </w:tr>
      <w:tr w:rsidR="000A3B2B" w14:paraId="3DE465A6" w14:textId="77777777">
        <w:trPr>
          <w:trHeight w:val="60"/>
          <w:tblCellSpacing w:w="0" w:type="dxa"/>
        </w:trPr>
        <w:tc>
          <w:tcPr>
            <w:tcW w:w="892" w:type="dxa"/>
            <w:tcBorders>
              <w:top w:val="nil"/>
              <w:left w:val="single" w:sz="6" w:space="0" w:color="000000"/>
              <w:bottom w:val="nil"/>
              <w:right w:val="single" w:sz="6" w:space="0" w:color="000000"/>
            </w:tcBorders>
          </w:tcPr>
          <w:p w14:paraId="76F9178B" w14:textId="77777777" w:rsidR="000A3B2B" w:rsidRDefault="000A3B2B">
            <w:pPr>
              <w:autoSpaceDE w:val="0"/>
              <w:autoSpaceDN w:val="0"/>
              <w:adjustRightInd w:val="0"/>
              <w:spacing w:after="0" w:line="240" w:lineRule="auto"/>
              <w:rPr>
                <w:rFonts w:ascii="Arial" w:hAnsi="Arial" w:cs="Arial"/>
                <w:sz w:val="18"/>
                <w:szCs w:val="18"/>
                <w:lang w:val="x-none"/>
              </w:rPr>
            </w:pPr>
          </w:p>
        </w:tc>
        <w:tc>
          <w:tcPr>
            <w:tcW w:w="5236" w:type="dxa"/>
            <w:tcBorders>
              <w:top w:val="nil"/>
              <w:left w:val="single" w:sz="6" w:space="0" w:color="000000"/>
              <w:bottom w:val="nil"/>
              <w:right w:val="single" w:sz="6" w:space="0" w:color="000000"/>
            </w:tcBorders>
          </w:tcPr>
          <w:p w14:paraId="4D092D4D" w14:textId="77777777" w:rsidR="000A3B2B" w:rsidRDefault="000A3B2B">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Torf z korzeniami grubości ponad 30 mm</w:t>
            </w:r>
          </w:p>
        </w:tc>
        <w:tc>
          <w:tcPr>
            <w:tcW w:w="1544" w:type="dxa"/>
            <w:tcBorders>
              <w:top w:val="nil"/>
              <w:left w:val="single" w:sz="6" w:space="0" w:color="000000"/>
              <w:bottom w:val="nil"/>
              <w:right w:val="single" w:sz="6" w:space="0" w:color="000000"/>
            </w:tcBorders>
            <w:vAlign w:val="center"/>
          </w:tcPr>
          <w:p w14:paraId="741BBBE9"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13,7</w:t>
            </w:r>
          </w:p>
        </w:tc>
        <w:tc>
          <w:tcPr>
            <w:tcW w:w="1726" w:type="dxa"/>
            <w:tcBorders>
              <w:top w:val="nil"/>
              <w:left w:val="single" w:sz="6" w:space="0" w:color="000000"/>
              <w:bottom w:val="nil"/>
              <w:right w:val="single" w:sz="6" w:space="0" w:color="000000"/>
            </w:tcBorders>
            <w:vAlign w:val="center"/>
          </w:tcPr>
          <w:p w14:paraId="6704CAC9"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20 do 30</w:t>
            </w:r>
          </w:p>
        </w:tc>
      </w:tr>
      <w:tr w:rsidR="000A3B2B" w14:paraId="21D1AF19" w14:textId="77777777">
        <w:trPr>
          <w:trHeight w:val="60"/>
          <w:tblCellSpacing w:w="0" w:type="dxa"/>
        </w:trPr>
        <w:tc>
          <w:tcPr>
            <w:tcW w:w="892" w:type="dxa"/>
            <w:tcBorders>
              <w:top w:val="nil"/>
              <w:left w:val="single" w:sz="6" w:space="0" w:color="000000"/>
              <w:bottom w:val="nil"/>
              <w:right w:val="single" w:sz="6" w:space="0" w:color="000000"/>
            </w:tcBorders>
          </w:tcPr>
          <w:p w14:paraId="7E1C68F8" w14:textId="77777777" w:rsidR="000A3B2B" w:rsidRDefault="000A3B2B">
            <w:pPr>
              <w:autoSpaceDE w:val="0"/>
              <w:autoSpaceDN w:val="0"/>
              <w:adjustRightInd w:val="0"/>
              <w:spacing w:after="0" w:line="240" w:lineRule="auto"/>
              <w:rPr>
                <w:rFonts w:ascii="Arial" w:hAnsi="Arial" w:cs="Arial"/>
                <w:sz w:val="18"/>
                <w:szCs w:val="18"/>
                <w:lang w:val="x-none"/>
              </w:rPr>
            </w:pPr>
          </w:p>
        </w:tc>
        <w:tc>
          <w:tcPr>
            <w:tcW w:w="5236" w:type="dxa"/>
            <w:tcBorders>
              <w:top w:val="nil"/>
              <w:left w:val="single" w:sz="6" w:space="0" w:color="000000"/>
              <w:bottom w:val="nil"/>
              <w:right w:val="single" w:sz="6" w:space="0" w:color="000000"/>
            </w:tcBorders>
          </w:tcPr>
          <w:p w14:paraId="22F3DFDE" w14:textId="77777777" w:rsidR="000A3B2B" w:rsidRDefault="000A3B2B">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Nasyp zleżały z piasku gliniastego, pyłu i lessu z gruzem, tłuczniem lub odpadkami drewna</w:t>
            </w:r>
          </w:p>
        </w:tc>
        <w:tc>
          <w:tcPr>
            <w:tcW w:w="1544" w:type="dxa"/>
            <w:tcBorders>
              <w:top w:val="nil"/>
              <w:left w:val="single" w:sz="6" w:space="0" w:color="000000"/>
              <w:bottom w:val="nil"/>
              <w:right w:val="single" w:sz="6" w:space="0" w:color="000000"/>
            </w:tcBorders>
            <w:vAlign w:val="center"/>
          </w:tcPr>
          <w:p w14:paraId="00DFFF2D"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18,6</w:t>
            </w:r>
          </w:p>
        </w:tc>
        <w:tc>
          <w:tcPr>
            <w:tcW w:w="1726" w:type="dxa"/>
            <w:tcBorders>
              <w:top w:val="nil"/>
              <w:left w:val="single" w:sz="6" w:space="0" w:color="000000"/>
              <w:bottom w:val="nil"/>
              <w:right w:val="single" w:sz="6" w:space="0" w:color="000000"/>
            </w:tcBorders>
            <w:vAlign w:val="center"/>
          </w:tcPr>
          <w:p w14:paraId="2C4D0551"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20 do 30</w:t>
            </w:r>
          </w:p>
        </w:tc>
      </w:tr>
      <w:tr w:rsidR="000A3B2B" w14:paraId="098CD416" w14:textId="77777777">
        <w:trPr>
          <w:trHeight w:val="60"/>
          <w:tblCellSpacing w:w="0" w:type="dxa"/>
        </w:trPr>
        <w:tc>
          <w:tcPr>
            <w:tcW w:w="892" w:type="dxa"/>
            <w:tcBorders>
              <w:top w:val="nil"/>
              <w:left w:val="single" w:sz="6" w:space="0" w:color="000000"/>
              <w:bottom w:val="nil"/>
              <w:right w:val="single" w:sz="6" w:space="0" w:color="000000"/>
            </w:tcBorders>
          </w:tcPr>
          <w:p w14:paraId="043719AE" w14:textId="77777777" w:rsidR="000A3B2B" w:rsidRDefault="000A3B2B">
            <w:pPr>
              <w:autoSpaceDE w:val="0"/>
              <w:autoSpaceDN w:val="0"/>
              <w:adjustRightInd w:val="0"/>
              <w:spacing w:after="0" w:line="240" w:lineRule="auto"/>
              <w:rPr>
                <w:rFonts w:ascii="Arial" w:hAnsi="Arial" w:cs="Arial"/>
                <w:sz w:val="18"/>
                <w:szCs w:val="18"/>
                <w:lang w:val="x-none"/>
              </w:rPr>
            </w:pPr>
          </w:p>
        </w:tc>
        <w:tc>
          <w:tcPr>
            <w:tcW w:w="5236" w:type="dxa"/>
            <w:tcBorders>
              <w:top w:val="nil"/>
              <w:left w:val="single" w:sz="6" w:space="0" w:color="000000"/>
              <w:bottom w:val="nil"/>
              <w:right w:val="single" w:sz="6" w:space="0" w:color="000000"/>
            </w:tcBorders>
          </w:tcPr>
          <w:p w14:paraId="50E0DDE5" w14:textId="77777777" w:rsidR="000A3B2B" w:rsidRDefault="000A3B2B">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Rumosz skalny zwietrzelinowy z otoczakami o wymiarach do 40 mm</w:t>
            </w:r>
          </w:p>
        </w:tc>
        <w:tc>
          <w:tcPr>
            <w:tcW w:w="1544" w:type="dxa"/>
            <w:tcBorders>
              <w:top w:val="nil"/>
              <w:left w:val="single" w:sz="6" w:space="0" w:color="000000"/>
              <w:bottom w:val="nil"/>
              <w:right w:val="single" w:sz="6" w:space="0" w:color="000000"/>
            </w:tcBorders>
            <w:vAlign w:val="center"/>
          </w:tcPr>
          <w:p w14:paraId="5DAD8CCB"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17,7</w:t>
            </w:r>
          </w:p>
        </w:tc>
        <w:tc>
          <w:tcPr>
            <w:tcW w:w="1726" w:type="dxa"/>
            <w:tcBorders>
              <w:top w:val="nil"/>
              <w:left w:val="single" w:sz="6" w:space="0" w:color="000000"/>
              <w:bottom w:val="nil"/>
              <w:right w:val="single" w:sz="6" w:space="0" w:color="000000"/>
            </w:tcBorders>
            <w:vAlign w:val="center"/>
          </w:tcPr>
          <w:p w14:paraId="65FF2DCC"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20 do 30</w:t>
            </w:r>
          </w:p>
        </w:tc>
      </w:tr>
      <w:tr w:rsidR="000A3B2B" w14:paraId="3474D2D5" w14:textId="77777777">
        <w:trPr>
          <w:trHeight w:val="60"/>
          <w:tblCellSpacing w:w="0" w:type="dxa"/>
        </w:trPr>
        <w:tc>
          <w:tcPr>
            <w:tcW w:w="892" w:type="dxa"/>
            <w:tcBorders>
              <w:top w:val="nil"/>
              <w:left w:val="single" w:sz="6" w:space="0" w:color="000000"/>
              <w:bottom w:val="nil"/>
              <w:right w:val="single" w:sz="6" w:space="0" w:color="000000"/>
            </w:tcBorders>
          </w:tcPr>
          <w:p w14:paraId="7AB115D2" w14:textId="77777777" w:rsidR="000A3B2B" w:rsidRDefault="000A3B2B">
            <w:pPr>
              <w:autoSpaceDE w:val="0"/>
              <w:autoSpaceDN w:val="0"/>
              <w:adjustRightInd w:val="0"/>
              <w:spacing w:after="0" w:line="240" w:lineRule="auto"/>
              <w:rPr>
                <w:rFonts w:ascii="Arial" w:hAnsi="Arial" w:cs="Arial"/>
                <w:sz w:val="18"/>
                <w:szCs w:val="18"/>
                <w:lang w:val="x-none"/>
              </w:rPr>
            </w:pPr>
          </w:p>
        </w:tc>
        <w:tc>
          <w:tcPr>
            <w:tcW w:w="5236" w:type="dxa"/>
            <w:tcBorders>
              <w:top w:val="nil"/>
              <w:left w:val="single" w:sz="6" w:space="0" w:color="000000"/>
              <w:bottom w:val="nil"/>
              <w:right w:val="single" w:sz="6" w:space="0" w:color="000000"/>
            </w:tcBorders>
          </w:tcPr>
          <w:p w14:paraId="769F2494" w14:textId="77777777" w:rsidR="000A3B2B" w:rsidRDefault="000A3B2B">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Glina, glina ciężka i iły wilgotne, twardoplastyczne i plastyczne, bez głazów</w:t>
            </w:r>
          </w:p>
        </w:tc>
        <w:tc>
          <w:tcPr>
            <w:tcW w:w="1544" w:type="dxa"/>
            <w:tcBorders>
              <w:top w:val="nil"/>
              <w:left w:val="single" w:sz="6" w:space="0" w:color="000000"/>
              <w:bottom w:val="nil"/>
              <w:right w:val="single" w:sz="6" w:space="0" w:color="000000"/>
            </w:tcBorders>
            <w:vAlign w:val="center"/>
          </w:tcPr>
          <w:p w14:paraId="524B3561"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19,6</w:t>
            </w:r>
          </w:p>
        </w:tc>
        <w:tc>
          <w:tcPr>
            <w:tcW w:w="1726" w:type="dxa"/>
            <w:tcBorders>
              <w:top w:val="nil"/>
              <w:left w:val="single" w:sz="6" w:space="0" w:color="000000"/>
              <w:bottom w:val="nil"/>
              <w:right w:val="single" w:sz="6" w:space="0" w:color="000000"/>
            </w:tcBorders>
            <w:vAlign w:val="center"/>
          </w:tcPr>
          <w:p w14:paraId="2A4BAE92"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20 do 30</w:t>
            </w:r>
          </w:p>
        </w:tc>
      </w:tr>
      <w:tr w:rsidR="000A3B2B" w14:paraId="5C6EA98D" w14:textId="77777777">
        <w:trPr>
          <w:trHeight w:val="60"/>
          <w:tblCellSpacing w:w="0" w:type="dxa"/>
        </w:trPr>
        <w:tc>
          <w:tcPr>
            <w:tcW w:w="892" w:type="dxa"/>
            <w:tcBorders>
              <w:top w:val="nil"/>
              <w:left w:val="single" w:sz="6" w:space="0" w:color="000000"/>
              <w:bottom w:val="nil"/>
              <w:right w:val="single" w:sz="6" w:space="0" w:color="000000"/>
            </w:tcBorders>
          </w:tcPr>
          <w:p w14:paraId="00C90D46" w14:textId="77777777" w:rsidR="000A3B2B" w:rsidRDefault="000A3B2B">
            <w:pPr>
              <w:autoSpaceDE w:val="0"/>
              <w:autoSpaceDN w:val="0"/>
              <w:adjustRightInd w:val="0"/>
              <w:spacing w:after="0" w:line="240" w:lineRule="auto"/>
              <w:rPr>
                <w:rFonts w:ascii="Arial" w:hAnsi="Arial" w:cs="Arial"/>
                <w:sz w:val="18"/>
                <w:szCs w:val="18"/>
                <w:lang w:val="x-none"/>
              </w:rPr>
            </w:pPr>
          </w:p>
        </w:tc>
        <w:tc>
          <w:tcPr>
            <w:tcW w:w="5236" w:type="dxa"/>
            <w:tcBorders>
              <w:top w:val="nil"/>
              <w:left w:val="single" w:sz="6" w:space="0" w:color="000000"/>
              <w:bottom w:val="nil"/>
              <w:right w:val="single" w:sz="6" w:space="0" w:color="000000"/>
            </w:tcBorders>
          </w:tcPr>
          <w:p w14:paraId="3C0EEC61" w14:textId="77777777" w:rsidR="000A3B2B" w:rsidRDefault="000A3B2B">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Mady i namuły gliniaste rzeczne</w:t>
            </w:r>
          </w:p>
        </w:tc>
        <w:tc>
          <w:tcPr>
            <w:tcW w:w="1544" w:type="dxa"/>
            <w:tcBorders>
              <w:top w:val="nil"/>
              <w:left w:val="single" w:sz="6" w:space="0" w:color="000000"/>
              <w:bottom w:val="nil"/>
              <w:right w:val="single" w:sz="6" w:space="0" w:color="000000"/>
            </w:tcBorders>
          </w:tcPr>
          <w:p w14:paraId="238F16B0"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17,7</w:t>
            </w:r>
          </w:p>
          <w:p w14:paraId="43662DE3"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19,6</w:t>
            </w:r>
          </w:p>
        </w:tc>
        <w:tc>
          <w:tcPr>
            <w:tcW w:w="1726" w:type="dxa"/>
            <w:tcBorders>
              <w:top w:val="nil"/>
              <w:left w:val="single" w:sz="6" w:space="0" w:color="000000"/>
              <w:bottom w:val="nil"/>
              <w:right w:val="single" w:sz="6" w:space="0" w:color="000000"/>
            </w:tcBorders>
          </w:tcPr>
          <w:p w14:paraId="41FB3009"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20 do 30</w:t>
            </w:r>
          </w:p>
        </w:tc>
      </w:tr>
      <w:tr w:rsidR="000A3B2B" w14:paraId="7DAF2321" w14:textId="77777777">
        <w:trPr>
          <w:trHeight w:val="60"/>
          <w:tblCellSpacing w:w="0" w:type="dxa"/>
        </w:trPr>
        <w:tc>
          <w:tcPr>
            <w:tcW w:w="892" w:type="dxa"/>
            <w:tcBorders>
              <w:top w:val="nil"/>
              <w:left w:val="single" w:sz="6" w:space="0" w:color="000000"/>
              <w:bottom w:val="single" w:sz="6" w:space="0" w:color="000000"/>
              <w:right w:val="single" w:sz="6" w:space="0" w:color="000000"/>
            </w:tcBorders>
          </w:tcPr>
          <w:p w14:paraId="1C6B6FB9" w14:textId="77777777" w:rsidR="000A3B2B" w:rsidRDefault="000A3B2B">
            <w:pPr>
              <w:autoSpaceDE w:val="0"/>
              <w:autoSpaceDN w:val="0"/>
              <w:adjustRightInd w:val="0"/>
              <w:spacing w:after="0" w:line="240" w:lineRule="auto"/>
              <w:rPr>
                <w:rFonts w:ascii="Arial" w:hAnsi="Arial" w:cs="Arial"/>
                <w:sz w:val="18"/>
                <w:szCs w:val="18"/>
                <w:lang w:val="x-none"/>
              </w:rPr>
            </w:pPr>
          </w:p>
        </w:tc>
        <w:tc>
          <w:tcPr>
            <w:tcW w:w="5236" w:type="dxa"/>
            <w:tcBorders>
              <w:top w:val="nil"/>
              <w:left w:val="single" w:sz="6" w:space="0" w:color="000000"/>
              <w:bottom w:val="single" w:sz="6" w:space="0" w:color="000000"/>
              <w:right w:val="single" w:sz="6" w:space="0" w:color="000000"/>
            </w:tcBorders>
          </w:tcPr>
          <w:p w14:paraId="60A9DC74" w14:textId="77777777" w:rsidR="000A3B2B" w:rsidRDefault="000A3B2B">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Popioły lotne zleżałe</w:t>
            </w:r>
          </w:p>
        </w:tc>
        <w:tc>
          <w:tcPr>
            <w:tcW w:w="1544" w:type="dxa"/>
            <w:tcBorders>
              <w:top w:val="nil"/>
              <w:left w:val="single" w:sz="6" w:space="0" w:color="000000"/>
              <w:bottom w:val="single" w:sz="6" w:space="0" w:color="000000"/>
              <w:right w:val="single" w:sz="6" w:space="0" w:color="000000"/>
            </w:tcBorders>
          </w:tcPr>
          <w:p w14:paraId="6F7B3C95"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17,7</w:t>
            </w:r>
          </w:p>
          <w:p w14:paraId="65D0164A"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19,6</w:t>
            </w:r>
          </w:p>
        </w:tc>
        <w:tc>
          <w:tcPr>
            <w:tcW w:w="1726" w:type="dxa"/>
            <w:tcBorders>
              <w:top w:val="nil"/>
              <w:left w:val="single" w:sz="6" w:space="0" w:color="000000"/>
              <w:bottom w:val="single" w:sz="6" w:space="0" w:color="000000"/>
              <w:right w:val="single" w:sz="6" w:space="0" w:color="000000"/>
            </w:tcBorders>
          </w:tcPr>
          <w:p w14:paraId="7AF3FFF4"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20 do 30</w:t>
            </w:r>
          </w:p>
        </w:tc>
      </w:tr>
      <w:tr w:rsidR="000A3B2B" w14:paraId="69A99C0A" w14:textId="77777777">
        <w:trPr>
          <w:trHeight w:val="60"/>
          <w:tblCellSpacing w:w="0" w:type="dxa"/>
        </w:trPr>
        <w:tc>
          <w:tcPr>
            <w:tcW w:w="892" w:type="dxa"/>
            <w:tcBorders>
              <w:top w:val="single" w:sz="6" w:space="0" w:color="000000"/>
              <w:left w:val="single" w:sz="6" w:space="0" w:color="000000"/>
              <w:bottom w:val="nil"/>
              <w:right w:val="single" w:sz="6" w:space="0" w:color="000000"/>
            </w:tcBorders>
          </w:tcPr>
          <w:p w14:paraId="42E3B3FB"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4</w:t>
            </w:r>
          </w:p>
        </w:tc>
        <w:tc>
          <w:tcPr>
            <w:tcW w:w="5236" w:type="dxa"/>
            <w:tcBorders>
              <w:top w:val="single" w:sz="6" w:space="0" w:color="000000"/>
              <w:left w:val="single" w:sz="6" w:space="0" w:color="000000"/>
              <w:bottom w:val="nil"/>
              <w:right w:val="single" w:sz="6" w:space="0" w:color="000000"/>
            </w:tcBorders>
          </w:tcPr>
          <w:p w14:paraId="347C7BED" w14:textId="77777777" w:rsidR="000A3B2B" w:rsidRDefault="000A3B2B">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Less suchy zwarty</w:t>
            </w:r>
          </w:p>
        </w:tc>
        <w:tc>
          <w:tcPr>
            <w:tcW w:w="1544" w:type="dxa"/>
            <w:tcBorders>
              <w:top w:val="single" w:sz="6" w:space="0" w:color="000000"/>
              <w:left w:val="single" w:sz="6" w:space="0" w:color="000000"/>
              <w:bottom w:val="nil"/>
              <w:right w:val="single" w:sz="6" w:space="0" w:color="000000"/>
            </w:tcBorders>
            <w:vAlign w:val="center"/>
          </w:tcPr>
          <w:p w14:paraId="26AB0179"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18,6</w:t>
            </w:r>
          </w:p>
        </w:tc>
        <w:tc>
          <w:tcPr>
            <w:tcW w:w="1726" w:type="dxa"/>
            <w:tcBorders>
              <w:top w:val="single" w:sz="6" w:space="0" w:color="000000"/>
              <w:left w:val="single" w:sz="6" w:space="0" w:color="000000"/>
              <w:bottom w:val="nil"/>
              <w:right w:val="single" w:sz="6" w:space="0" w:color="000000"/>
            </w:tcBorders>
            <w:vAlign w:val="center"/>
          </w:tcPr>
          <w:p w14:paraId="096458A6"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25 do 35</w:t>
            </w:r>
          </w:p>
        </w:tc>
      </w:tr>
      <w:tr w:rsidR="000A3B2B" w14:paraId="5A97F3DB" w14:textId="77777777">
        <w:trPr>
          <w:trHeight w:val="60"/>
          <w:tblCellSpacing w:w="0" w:type="dxa"/>
        </w:trPr>
        <w:tc>
          <w:tcPr>
            <w:tcW w:w="892" w:type="dxa"/>
            <w:tcBorders>
              <w:top w:val="nil"/>
              <w:left w:val="single" w:sz="6" w:space="0" w:color="000000"/>
              <w:bottom w:val="nil"/>
              <w:right w:val="single" w:sz="6" w:space="0" w:color="000000"/>
            </w:tcBorders>
          </w:tcPr>
          <w:p w14:paraId="2AD40D44" w14:textId="77777777" w:rsidR="000A3B2B" w:rsidRDefault="000A3B2B">
            <w:pPr>
              <w:autoSpaceDE w:val="0"/>
              <w:autoSpaceDN w:val="0"/>
              <w:adjustRightInd w:val="0"/>
              <w:spacing w:after="0" w:line="240" w:lineRule="auto"/>
              <w:rPr>
                <w:rFonts w:ascii="Arial" w:hAnsi="Arial" w:cs="Arial"/>
                <w:sz w:val="18"/>
                <w:szCs w:val="18"/>
                <w:lang w:val="x-none"/>
              </w:rPr>
            </w:pPr>
          </w:p>
        </w:tc>
        <w:tc>
          <w:tcPr>
            <w:tcW w:w="5236" w:type="dxa"/>
            <w:tcBorders>
              <w:top w:val="nil"/>
              <w:left w:val="single" w:sz="6" w:space="0" w:color="000000"/>
              <w:bottom w:val="nil"/>
              <w:right w:val="single" w:sz="6" w:space="0" w:color="000000"/>
            </w:tcBorders>
          </w:tcPr>
          <w:p w14:paraId="240DB72E" w14:textId="77777777" w:rsidR="000A3B2B" w:rsidRDefault="000A3B2B">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Nasyp zleżały z gliny lub iłu z gruzem, tłuczniem i odpadkami drewna lub głazami o masie do 25 kg, stanowiącymi do 10% objętości gruntu</w:t>
            </w:r>
          </w:p>
        </w:tc>
        <w:tc>
          <w:tcPr>
            <w:tcW w:w="1544" w:type="dxa"/>
            <w:tcBorders>
              <w:top w:val="nil"/>
              <w:left w:val="single" w:sz="6" w:space="0" w:color="000000"/>
              <w:bottom w:val="nil"/>
              <w:right w:val="single" w:sz="6" w:space="0" w:color="000000"/>
            </w:tcBorders>
            <w:vAlign w:val="center"/>
          </w:tcPr>
          <w:p w14:paraId="3D393282"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19,6</w:t>
            </w:r>
          </w:p>
        </w:tc>
        <w:tc>
          <w:tcPr>
            <w:tcW w:w="1726" w:type="dxa"/>
            <w:tcBorders>
              <w:top w:val="nil"/>
              <w:left w:val="single" w:sz="6" w:space="0" w:color="000000"/>
              <w:bottom w:val="nil"/>
              <w:right w:val="single" w:sz="6" w:space="0" w:color="000000"/>
            </w:tcBorders>
            <w:vAlign w:val="center"/>
          </w:tcPr>
          <w:p w14:paraId="5653740D"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25 do 35</w:t>
            </w:r>
          </w:p>
        </w:tc>
      </w:tr>
      <w:tr w:rsidR="000A3B2B" w14:paraId="5422EA33" w14:textId="77777777">
        <w:trPr>
          <w:trHeight w:val="60"/>
          <w:tblCellSpacing w:w="0" w:type="dxa"/>
        </w:trPr>
        <w:tc>
          <w:tcPr>
            <w:tcW w:w="892" w:type="dxa"/>
            <w:tcBorders>
              <w:top w:val="nil"/>
              <w:left w:val="single" w:sz="6" w:space="0" w:color="000000"/>
              <w:bottom w:val="nil"/>
              <w:right w:val="single" w:sz="6" w:space="0" w:color="000000"/>
            </w:tcBorders>
          </w:tcPr>
          <w:p w14:paraId="1273104C" w14:textId="77777777" w:rsidR="000A3B2B" w:rsidRDefault="000A3B2B">
            <w:pPr>
              <w:autoSpaceDE w:val="0"/>
              <w:autoSpaceDN w:val="0"/>
              <w:adjustRightInd w:val="0"/>
              <w:spacing w:after="0" w:line="240" w:lineRule="auto"/>
              <w:rPr>
                <w:rFonts w:ascii="Arial" w:hAnsi="Arial" w:cs="Arial"/>
                <w:sz w:val="18"/>
                <w:szCs w:val="18"/>
                <w:lang w:val="x-none"/>
              </w:rPr>
            </w:pPr>
          </w:p>
        </w:tc>
        <w:tc>
          <w:tcPr>
            <w:tcW w:w="5236" w:type="dxa"/>
            <w:tcBorders>
              <w:top w:val="nil"/>
              <w:left w:val="single" w:sz="6" w:space="0" w:color="000000"/>
              <w:bottom w:val="nil"/>
              <w:right w:val="single" w:sz="6" w:space="0" w:color="000000"/>
            </w:tcBorders>
          </w:tcPr>
          <w:p w14:paraId="6344F120" w14:textId="77777777" w:rsidR="000A3B2B" w:rsidRDefault="000A3B2B">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 xml:space="preserve">Glina, glina ciężka i iły </w:t>
            </w:r>
            <w:proofErr w:type="spellStart"/>
            <w:r>
              <w:rPr>
                <w:rFonts w:ascii="Arial" w:hAnsi="Arial" w:cs="Arial"/>
                <w:color w:val="000000"/>
                <w:sz w:val="18"/>
                <w:szCs w:val="18"/>
                <w:lang w:val="x-none"/>
              </w:rPr>
              <w:t>małowilgotne</w:t>
            </w:r>
            <w:proofErr w:type="spellEnd"/>
            <w:r>
              <w:rPr>
                <w:rFonts w:ascii="Arial" w:hAnsi="Arial" w:cs="Arial"/>
                <w:color w:val="000000"/>
                <w:sz w:val="18"/>
                <w:szCs w:val="18"/>
                <w:lang w:val="x-none"/>
              </w:rPr>
              <w:t>, półzwarte i zwarte</w:t>
            </w:r>
          </w:p>
        </w:tc>
        <w:tc>
          <w:tcPr>
            <w:tcW w:w="1544" w:type="dxa"/>
            <w:tcBorders>
              <w:top w:val="nil"/>
              <w:left w:val="single" w:sz="6" w:space="0" w:color="000000"/>
              <w:bottom w:val="nil"/>
              <w:right w:val="single" w:sz="6" w:space="0" w:color="000000"/>
            </w:tcBorders>
            <w:vAlign w:val="center"/>
          </w:tcPr>
          <w:p w14:paraId="66E33755"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20,6</w:t>
            </w:r>
          </w:p>
        </w:tc>
        <w:tc>
          <w:tcPr>
            <w:tcW w:w="1726" w:type="dxa"/>
            <w:tcBorders>
              <w:top w:val="nil"/>
              <w:left w:val="single" w:sz="6" w:space="0" w:color="000000"/>
              <w:bottom w:val="nil"/>
              <w:right w:val="single" w:sz="6" w:space="0" w:color="000000"/>
            </w:tcBorders>
            <w:vAlign w:val="center"/>
          </w:tcPr>
          <w:p w14:paraId="35CEA87F"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25 do 35</w:t>
            </w:r>
          </w:p>
        </w:tc>
      </w:tr>
      <w:tr w:rsidR="000A3B2B" w14:paraId="40A0F22B" w14:textId="77777777">
        <w:trPr>
          <w:trHeight w:val="60"/>
          <w:tblCellSpacing w:w="0" w:type="dxa"/>
        </w:trPr>
        <w:tc>
          <w:tcPr>
            <w:tcW w:w="892" w:type="dxa"/>
            <w:tcBorders>
              <w:top w:val="nil"/>
              <w:left w:val="single" w:sz="6" w:space="0" w:color="000000"/>
              <w:bottom w:val="nil"/>
              <w:right w:val="single" w:sz="6" w:space="0" w:color="000000"/>
            </w:tcBorders>
          </w:tcPr>
          <w:p w14:paraId="5A7F8D1A" w14:textId="77777777" w:rsidR="000A3B2B" w:rsidRDefault="000A3B2B">
            <w:pPr>
              <w:autoSpaceDE w:val="0"/>
              <w:autoSpaceDN w:val="0"/>
              <w:adjustRightInd w:val="0"/>
              <w:spacing w:after="0" w:line="240" w:lineRule="auto"/>
              <w:rPr>
                <w:rFonts w:ascii="Arial" w:hAnsi="Arial" w:cs="Arial"/>
                <w:sz w:val="18"/>
                <w:szCs w:val="18"/>
                <w:lang w:val="x-none"/>
              </w:rPr>
            </w:pPr>
          </w:p>
        </w:tc>
        <w:tc>
          <w:tcPr>
            <w:tcW w:w="5236" w:type="dxa"/>
            <w:tcBorders>
              <w:top w:val="nil"/>
              <w:left w:val="single" w:sz="6" w:space="0" w:color="000000"/>
              <w:bottom w:val="nil"/>
              <w:right w:val="single" w:sz="6" w:space="0" w:color="000000"/>
            </w:tcBorders>
          </w:tcPr>
          <w:p w14:paraId="6A5511D5" w14:textId="77777777" w:rsidR="000A3B2B" w:rsidRDefault="000A3B2B">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Glina zwałowa z głazami do 50 kg stanowiącymi do 10% objętości gruntu</w:t>
            </w:r>
          </w:p>
        </w:tc>
        <w:tc>
          <w:tcPr>
            <w:tcW w:w="1544" w:type="dxa"/>
            <w:tcBorders>
              <w:top w:val="nil"/>
              <w:left w:val="single" w:sz="6" w:space="0" w:color="000000"/>
              <w:bottom w:val="nil"/>
              <w:right w:val="single" w:sz="6" w:space="0" w:color="000000"/>
            </w:tcBorders>
            <w:vAlign w:val="center"/>
          </w:tcPr>
          <w:p w14:paraId="5C9A0E17"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20,6</w:t>
            </w:r>
          </w:p>
        </w:tc>
        <w:tc>
          <w:tcPr>
            <w:tcW w:w="1726" w:type="dxa"/>
            <w:tcBorders>
              <w:top w:val="nil"/>
              <w:left w:val="single" w:sz="6" w:space="0" w:color="000000"/>
              <w:bottom w:val="nil"/>
              <w:right w:val="single" w:sz="6" w:space="0" w:color="000000"/>
            </w:tcBorders>
            <w:vAlign w:val="center"/>
          </w:tcPr>
          <w:p w14:paraId="1D1B6FE9"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25 do 35</w:t>
            </w:r>
          </w:p>
        </w:tc>
      </w:tr>
      <w:tr w:rsidR="000A3B2B" w14:paraId="0960E529" w14:textId="77777777">
        <w:trPr>
          <w:trHeight w:val="60"/>
          <w:tblCellSpacing w:w="0" w:type="dxa"/>
        </w:trPr>
        <w:tc>
          <w:tcPr>
            <w:tcW w:w="892" w:type="dxa"/>
            <w:tcBorders>
              <w:top w:val="nil"/>
              <w:left w:val="single" w:sz="6" w:space="0" w:color="000000"/>
              <w:bottom w:val="nil"/>
              <w:right w:val="single" w:sz="6" w:space="0" w:color="000000"/>
            </w:tcBorders>
          </w:tcPr>
          <w:p w14:paraId="7977421F" w14:textId="77777777" w:rsidR="000A3B2B" w:rsidRDefault="000A3B2B">
            <w:pPr>
              <w:autoSpaceDE w:val="0"/>
              <w:autoSpaceDN w:val="0"/>
              <w:adjustRightInd w:val="0"/>
              <w:spacing w:after="0" w:line="240" w:lineRule="auto"/>
              <w:rPr>
                <w:rFonts w:ascii="Arial" w:hAnsi="Arial" w:cs="Arial"/>
                <w:sz w:val="18"/>
                <w:szCs w:val="18"/>
                <w:lang w:val="x-none"/>
              </w:rPr>
            </w:pPr>
          </w:p>
        </w:tc>
        <w:tc>
          <w:tcPr>
            <w:tcW w:w="5236" w:type="dxa"/>
            <w:tcBorders>
              <w:top w:val="nil"/>
              <w:left w:val="single" w:sz="6" w:space="0" w:color="000000"/>
              <w:bottom w:val="nil"/>
              <w:right w:val="single" w:sz="6" w:space="0" w:color="000000"/>
            </w:tcBorders>
          </w:tcPr>
          <w:p w14:paraId="6F308BAE" w14:textId="77777777" w:rsidR="000A3B2B" w:rsidRDefault="000A3B2B">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Gruz ceglany i rumowisko budowlane z blokami do 50 kg</w:t>
            </w:r>
          </w:p>
        </w:tc>
        <w:tc>
          <w:tcPr>
            <w:tcW w:w="1544" w:type="dxa"/>
            <w:tcBorders>
              <w:top w:val="nil"/>
              <w:left w:val="single" w:sz="6" w:space="0" w:color="000000"/>
              <w:bottom w:val="nil"/>
              <w:right w:val="single" w:sz="6" w:space="0" w:color="000000"/>
            </w:tcBorders>
            <w:vAlign w:val="center"/>
          </w:tcPr>
          <w:p w14:paraId="346B8C1F"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16,7</w:t>
            </w:r>
          </w:p>
        </w:tc>
        <w:tc>
          <w:tcPr>
            <w:tcW w:w="1726" w:type="dxa"/>
            <w:tcBorders>
              <w:top w:val="nil"/>
              <w:left w:val="single" w:sz="6" w:space="0" w:color="000000"/>
              <w:bottom w:val="nil"/>
              <w:right w:val="single" w:sz="6" w:space="0" w:color="000000"/>
            </w:tcBorders>
            <w:vAlign w:val="center"/>
          </w:tcPr>
          <w:p w14:paraId="1CEB491F"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25 do 35</w:t>
            </w:r>
          </w:p>
        </w:tc>
      </w:tr>
      <w:tr w:rsidR="000A3B2B" w14:paraId="61E4C895" w14:textId="77777777">
        <w:trPr>
          <w:trHeight w:val="60"/>
          <w:tblCellSpacing w:w="0" w:type="dxa"/>
        </w:trPr>
        <w:tc>
          <w:tcPr>
            <w:tcW w:w="892" w:type="dxa"/>
            <w:tcBorders>
              <w:top w:val="nil"/>
              <w:left w:val="single" w:sz="6" w:space="0" w:color="000000"/>
              <w:bottom w:val="nil"/>
              <w:right w:val="single" w:sz="6" w:space="0" w:color="000000"/>
            </w:tcBorders>
          </w:tcPr>
          <w:p w14:paraId="65440087" w14:textId="77777777" w:rsidR="000A3B2B" w:rsidRDefault="000A3B2B">
            <w:pPr>
              <w:autoSpaceDE w:val="0"/>
              <w:autoSpaceDN w:val="0"/>
              <w:adjustRightInd w:val="0"/>
              <w:spacing w:after="0" w:line="240" w:lineRule="auto"/>
              <w:rPr>
                <w:rFonts w:ascii="Arial" w:hAnsi="Arial" w:cs="Arial"/>
                <w:sz w:val="18"/>
                <w:szCs w:val="18"/>
                <w:lang w:val="x-none"/>
              </w:rPr>
            </w:pPr>
          </w:p>
        </w:tc>
        <w:tc>
          <w:tcPr>
            <w:tcW w:w="5236" w:type="dxa"/>
            <w:tcBorders>
              <w:top w:val="nil"/>
              <w:left w:val="single" w:sz="6" w:space="0" w:color="000000"/>
              <w:bottom w:val="nil"/>
              <w:right w:val="single" w:sz="6" w:space="0" w:color="000000"/>
            </w:tcBorders>
          </w:tcPr>
          <w:p w14:paraId="7CD52271" w14:textId="77777777" w:rsidR="000A3B2B" w:rsidRDefault="000A3B2B">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Iłołupek miękki</w:t>
            </w:r>
          </w:p>
        </w:tc>
        <w:tc>
          <w:tcPr>
            <w:tcW w:w="1544" w:type="dxa"/>
            <w:tcBorders>
              <w:top w:val="nil"/>
              <w:left w:val="single" w:sz="6" w:space="0" w:color="000000"/>
              <w:bottom w:val="nil"/>
              <w:right w:val="single" w:sz="6" w:space="0" w:color="000000"/>
            </w:tcBorders>
            <w:vAlign w:val="center"/>
          </w:tcPr>
          <w:p w14:paraId="17973C5E"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19,6</w:t>
            </w:r>
          </w:p>
        </w:tc>
        <w:tc>
          <w:tcPr>
            <w:tcW w:w="1726" w:type="dxa"/>
            <w:tcBorders>
              <w:top w:val="nil"/>
              <w:left w:val="single" w:sz="6" w:space="0" w:color="000000"/>
              <w:bottom w:val="nil"/>
              <w:right w:val="single" w:sz="6" w:space="0" w:color="000000"/>
            </w:tcBorders>
            <w:vAlign w:val="center"/>
          </w:tcPr>
          <w:p w14:paraId="1FF3AA9B"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25 do 35</w:t>
            </w:r>
          </w:p>
        </w:tc>
      </w:tr>
      <w:tr w:rsidR="000A3B2B" w14:paraId="0F00D046" w14:textId="77777777">
        <w:trPr>
          <w:trHeight w:val="60"/>
          <w:tblCellSpacing w:w="0" w:type="dxa"/>
        </w:trPr>
        <w:tc>
          <w:tcPr>
            <w:tcW w:w="892" w:type="dxa"/>
            <w:tcBorders>
              <w:top w:val="nil"/>
              <w:left w:val="single" w:sz="6" w:space="0" w:color="000000"/>
              <w:bottom w:val="single" w:sz="6" w:space="0" w:color="000000"/>
              <w:right w:val="single" w:sz="6" w:space="0" w:color="000000"/>
            </w:tcBorders>
          </w:tcPr>
          <w:p w14:paraId="20EFF8E3" w14:textId="77777777" w:rsidR="000A3B2B" w:rsidRDefault="000A3B2B">
            <w:pPr>
              <w:autoSpaceDE w:val="0"/>
              <w:autoSpaceDN w:val="0"/>
              <w:adjustRightInd w:val="0"/>
              <w:spacing w:after="0" w:line="240" w:lineRule="auto"/>
              <w:rPr>
                <w:rFonts w:ascii="Arial" w:hAnsi="Arial" w:cs="Arial"/>
                <w:sz w:val="18"/>
                <w:szCs w:val="18"/>
                <w:lang w:val="x-none"/>
              </w:rPr>
            </w:pPr>
          </w:p>
        </w:tc>
        <w:tc>
          <w:tcPr>
            <w:tcW w:w="5236" w:type="dxa"/>
            <w:tcBorders>
              <w:top w:val="nil"/>
              <w:left w:val="single" w:sz="6" w:space="0" w:color="000000"/>
              <w:bottom w:val="single" w:sz="6" w:space="0" w:color="000000"/>
              <w:right w:val="single" w:sz="6" w:space="0" w:color="000000"/>
            </w:tcBorders>
          </w:tcPr>
          <w:p w14:paraId="312BE080" w14:textId="77777777" w:rsidR="000A3B2B" w:rsidRDefault="000A3B2B">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 xml:space="preserve">Grube otoczaki lub rumosz o wymiarach do 90 mm lub z głazami o masie do 10 kg </w:t>
            </w:r>
          </w:p>
        </w:tc>
        <w:tc>
          <w:tcPr>
            <w:tcW w:w="1544" w:type="dxa"/>
            <w:tcBorders>
              <w:top w:val="nil"/>
              <w:left w:val="single" w:sz="6" w:space="0" w:color="000000"/>
              <w:bottom w:val="single" w:sz="6" w:space="0" w:color="000000"/>
              <w:right w:val="single" w:sz="6" w:space="0" w:color="000000"/>
            </w:tcBorders>
            <w:vAlign w:val="center"/>
          </w:tcPr>
          <w:p w14:paraId="7B5065A3"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19,6</w:t>
            </w:r>
          </w:p>
        </w:tc>
        <w:tc>
          <w:tcPr>
            <w:tcW w:w="1726" w:type="dxa"/>
            <w:tcBorders>
              <w:top w:val="nil"/>
              <w:left w:val="single" w:sz="6" w:space="0" w:color="000000"/>
              <w:bottom w:val="single" w:sz="6" w:space="0" w:color="000000"/>
              <w:right w:val="single" w:sz="6" w:space="0" w:color="000000"/>
            </w:tcBorders>
            <w:vAlign w:val="center"/>
          </w:tcPr>
          <w:p w14:paraId="565827EF"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25 do 35</w:t>
            </w:r>
          </w:p>
        </w:tc>
      </w:tr>
      <w:tr w:rsidR="000A3B2B" w14:paraId="2C00DA99" w14:textId="77777777">
        <w:trPr>
          <w:trHeight w:val="30"/>
          <w:tblCellSpacing w:w="0" w:type="dxa"/>
        </w:trPr>
        <w:tc>
          <w:tcPr>
            <w:tcW w:w="892" w:type="dxa"/>
            <w:tcBorders>
              <w:top w:val="single" w:sz="6" w:space="0" w:color="000000"/>
              <w:left w:val="single" w:sz="6" w:space="0" w:color="000000"/>
              <w:bottom w:val="nil"/>
              <w:right w:val="single" w:sz="6" w:space="0" w:color="000000"/>
            </w:tcBorders>
          </w:tcPr>
          <w:p w14:paraId="2D42B5BE"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5</w:t>
            </w:r>
          </w:p>
        </w:tc>
        <w:tc>
          <w:tcPr>
            <w:tcW w:w="5236" w:type="dxa"/>
            <w:tcBorders>
              <w:top w:val="single" w:sz="6" w:space="0" w:color="000000"/>
              <w:left w:val="single" w:sz="6" w:space="0" w:color="000000"/>
              <w:bottom w:val="nil"/>
              <w:right w:val="single" w:sz="6" w:space="0" w:color="000000"/>
            </w:tcBorders>
          </w:tcPr>
          <w:p w14:paraId="73430938" w14:textId="77777777" w:rsidR="000A3B2B" w:rsidRDefault="000A3B2B">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Żużel hutniczy niezwietrzały</w:t>
            </w:r>
          </w:p>
        </w:tc>
        <w:tc>
          <w:tcPr>
            <w:tcW w:w="1544" w:type="dxa"/>
            <w:tcBorders>
              <w:top w:val="single" w:sz="6" w:space="0" w:color="000000"/>
              <w:left w:val="single" w:sz="6" w:space="0" w:color="000000"/>
              <w:bottom w:val="nil"/>
              <w:right w:val="single" w:sz="6" w:space="0" w:color="000000"/>
            </w:tcBorders>
          </w:tcPr>
          <w:p w14:paraId="6DC5A952"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14,7</w:t>
            </w:r>
          </w:p>
          <w:p w14:paraId="52FD91EB"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19,6</w:t>
            </w:r>
          </w:p>
        </w:tc>
        <w:tc>
          <w:tcPr>
            <w:tcW w:w="1726" w:type="dxa"/>
            <w:tcBorders>
              <w:top w:val="single" w:sz="6" w:space="0" w:color="000000"/>
              <w:left w:val="single" w:sz="6" w:space="0" w:color="000000"/>
              <w:bottom w:val="nil"/>
              <w:right w:val="single" w:sz="6" w:space="0" w:color="000000"/>
            </w:tcBorders>
          </w:tcPr>
          <w:p w14:paraId="64D3CA32"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30 do 45</w:t>
            </w:r>
          </w:p>
        </w:tc>
      </w:tr>
      <w:tr w:rsidR="000A3B2B" w14:paraId="5612943B" w14:textId="77777777">
        <w:trPr>
          <w:trHeight w:val="60"/>
          <w:tblCellSpacing w:w="0" w:type="dxa"/>
        </w:trPr>
        <w:tc>
          <w:tcPr>
            <w:tcW w:w="892" w:type="dxa"/>
            <w:tcBorders>
              <w:top w:val="nil"/>
              <w:left w:val="single" w:sz="6" w:space="0" w:color="000000"/>
              <w:bottom w:val="nil"/>
              <w:right w:val="single" w:sz="6" w:space="0" w:color="000000"/>
            </w:tcBorders>
          </w:tcPr>
          <w:p w14:paraId="37CEF1C7" w14:textId="77777777" w:rsidR="000A3B2B" w:rsidRDefault="000A3B2B">
            <w:pPr>
              <w:autoSpaceDE w:val="0"/>
              <w:autoSpaceDN w:val="0"/>
              <w:adjustRightInd w:val="0"/>
              <w:spacing w:after="0" w:line="240" w:lineRule="auto"/>
              <w:rPr>
                <w:rFonts w:ascii="Arial" w:hAnsi="Arial" w:cs="Arial"/>
                <w:sz w:val="18"/>
                <w:szCs w:val="18"/>
                <w:lang w:val="x-none"/>
              </w:rPr>
            </w:pPr>
          </w:p>
        </w:tc>
        <w:tc>
          <w:tcPr>
            <w:tcW w:w="5236" w:type="dxa"/>
            <w:tcBorders>
              <w:top w:val="nil"/>
              <w:left w:val="single" w:sz="6" w:space="0" w:color="000000"/>
              <w:bottom w:val="nil"/>
              <w:right w:val="single" w:sz="6" w:space="0" w:color="000000"/>
            </w:tcBorders>
          </w:tcPr>
          <w:p w14:paraId="191E431A" w14:textId="77777777" w:rsidR="000A3B2B" w:rsidRDefault="000A3B2B">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Glina zwałowa z głazami do 50 kg stanowiącymi 10÷30% objętości gruntu</w:t>
            </w:r>
          </w:p>
        </w:tc>
        <w:tc>
          <w:tcPr>
            <w:tcW w:w="1544" w:type="dxa"/>
            <w:tcBorders>
              <w:top w:val="nil"/>
              <w:left w:val="single" w:sz="6" w:space="0" w:color="000000"/>
              <w:bottom w:val="nil"/>
              <w:right w:val="single" w:sz="6" w:space="0" w:color="000000"/>
            </w:tcBorders>
            <w:vAlign w:val="center"/>
          </w:tcPr>
          <w:p w14:paraId="3900EDD3"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20,6</w:t>
            </w:r>
          </w:p>
        </w:tc>
        <w:tc>
          <w:tcPr>
            <w:tcW w:w="1726" w:type="dxa"/>
            <w:tcBorders>
              <w:top w:val="nil"/>
              <w:left w:val="single" w:sz="6" w:space="0" w:color="000000"/>
              <w:bottom w:val="nil"/>
              <w:right w:val="single" w:sz="6" w:space="0" w:color="000000"/>
            </w:tcBorders>
            <w:vAlign w:val="center"/>
          </w:tcPr>
          <w:p w14:paraId="73B08606"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30 do 45</w:t>
            </w:r>
          </w:p>
        </w:tc>
      </w:tr>
      <w:tr w:rsidR="000A3B2B" w14:paraId="63F79D49" w14:textId="77777777">
        <w:trPr>
          <w:trHeight w:val="60"/>
          <w:tblCellSpacing w:w="0" w:type="dxa"/>
        </w:trPr>
        <w:tc>
          <w:tcPr>
            <w:tcW w:w="892" w:type="dxa"/>
            <w:tcBorders>
              <w:top w:val="nil"/>
              <w:left w:val="single" w:sz="6" w:space="0" w:color="000000"/>
              <w:bottom w:val="nil"/>
              <w:right w:val="single" w:sz="6" w:space="0" w:color="000000"/>
            </w:tcBorders>
          </w:tcPr>
          <w:p w14:paraId="21CD859C" w14:textId="77777777" w:rsidR="000A3B2B" w:rsidRDefault="000A3B2B">
            <w:pPr>
              <w:autoSpaceDE w:val="0"/>
              <w:autoSpaceDN w:val="0"/>
              <w:adjustRightInd w:val="0"/>
              <w:spacing w:after="0" w:line="240" w:lineRule="auto"/>
              <w:rPr>
                <w:rFonts w:ascii="Arial" w:hAnsi="Arial" w:cs="Arial"/>
                <w:sz w:val="18"/>
                <w:szCs w:val="18"/>
                <w:lang w:val="x-none"/>
              </w:rPr>
            </w:pPr>
          </w:p>
        </w:tc>
        <w:tc>
          <w:tcPr>
            <w:tcW w:w="5236" w:type="dxa"/>
            <w:tcBorders>
              <w:top w:val="nil"/>
              <w:left w:val="single" w:sz="6" w:space="0" w:color="000000"/>
              <w:bottom w:val="nil"/>
              <w:right w:val="single" w:sz="6" w:space="0" w:color="000000"/>
            </w:tcBorders>
          </w:tcPr>
          <w:p w14:paraId="648B73E8" w14:textId="77777777" w:rsidR="000A3B2B" w:rsidRDefault="000A3B2B">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Rumosz skalny zwietrzelinowy o wymiarach ponad 90 mm</w:t>
            </w:r>
          </w:p>
        </w:tc>
        <w:tc>
          <w:tcPr>
            <w:tcW w:w="1544" w:type="dxa"/>
            <w:tcBorders>
              <w:top w:val="nil"/>
              <w:left w:val="single" w:sz="6" w:space="0" w:color="000000"/>
              <w:bottom w:val="nil"/>
              <w:right w:val="single" w:sz="6" w:space="0" w:color="000000"/>
            </w:tcBorders>
            <w:vAlign w:val="center"/>
          </w:tcPr>
          <w:p w14:paraId="54EA7B00"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17,7</w:t>
            </w:r>
          </w:p>
        </w:tc>
        <w:tc>
          <w:tcPr>
            <w:tcW w:w="1726" w:type="dxa"/>
            <w:tcBorders>
              <w:top w:val="nil"/>
              <w:left w:val="single" w:sz="6" w:space="0" w:color="000000"/>
              <w:bottom w:val="nil"/>
              <w:right w:val="single" w:sz="6" w:space="0" w:color="000000"/>
            </w:tcBorders>
            <w:vAlign w:val="center"/>
          </w:tcPr>
          <w:p w14:paraId="427D822C"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30 do 45</w:t>
            </w:r>
          </w:p>
        </w:tc>
      </w:tr>
      <w:tr w:rsidR="000A3B2B" w14:paraId="4AC6073C" w14:textId="77777777">
        <w:trPr>
          <w:trHeight w:val="60"/>
          <w:tblCellSpacing w:w="0" w:type="dxa"/>
        </w:trPr>
        <w:tc>
          <w:tcPr>
            <w:tcW w:w="892" w:type="dxa"/>
            <w:tcBorders>
              <w:top w:val="nil"/>
              <w:left w:val="single" w:sz="6" w:space="0" w:color="000000"/>
              <w:bottom w:val="nil"/>
              <w:right w:val="single" w:sz="6" w:space="0" w:color="000000"/>
            </w:tcBorders>
          </w:tcPr>
          <w:p w14:paraId="2D59E86A" w14:textId="77777777" w:rsidR="000A3B2B" w:rsidRDefault="000A3B2B">
            <w:pPr>
              <w:autoSpaceDE w:val="0"/>
              <w:autoSpaceDN w:val="0"/>
              <w:adjustRightInd w:val="0"/>
              <w:spacing w:after="0" w:line="240" w:lineRule="auto"/>
              <w:rPr>
                <w:rFonts w:ascii="Arial" w:hAnsi="Arial" w:cs="Arial"/>
                <w:sz w:val="18"/>
                <w:szCs w:val="18"/>
                <w:lang w:val="x-none"/>
              </w:rPr>
            </w:pPr>
          </w:p>
        </w:tc>
        <w:tc>
          <w:tcPr>
            <w:tcW w:w="5236" w:type="dxa"/>
            <w:tcBorders>
              <w:top w:val="nil"/>
              <w:left w:val="single" w:sz="6" w:space="0" w:color="000000"/>
              <w:bottom w:val="nil"/>
              <w:right w:val="single" w:sz="6" w:space="0" w:color="000000"/>
            </w:tcBorders>
          </w:tcPr>
          <w:p w14:paraId="6D35FDC0" w14:textId="77777777" w:rsidR="000A3B2B" w:rsidRDefault="000A3B2B">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Gruz ceglany i rumowisko budowlane silnie scementowane lub w blokach ponad 50 kg</w:t>
            </w:r>
          </w:p>
        </w:tc>
        <w:tc>
          <w:tcPr>
            <w:tcW w:w="1544" w:type="dxa"/>
            <w:tcBorders>
              <w:top w:val="nil"/>
              <w:left w:val="single" w:sz="6" w:space="0" w:color="000000"/>
              <w:bottom w:val="nil"/>
              <w:right w:val="single" w:sz="6" w:space="0" w:color="000000"/>
            </w:tcBorders>
            <w:vAlign w:val="center"/>
          </w:tcPr>
          <w:p w14:paraId="4B54A762"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17,7</w:t>
            </w:r>
          </w:p>
        </w:tc>
        <w:tc>
          <w:tcPr>
            <w:tcW w:w="1726" w:type="dxa"/>
            <w:tcBorders>
              <w:top w:val="nil"/>
              <w:left w:val="single" w:sz="6" w:space="0" w:color="000000"/>
              <w:bottom w:val="nil"/>
              <w:right w:val="single" w:sz="6" w:space="0" w:color="000000"/>
            </w:tcBorders>
            <w:vAlign w:val="center"/>
          </w:tcPr>
          <w:p w14:paraId="09A64587"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30 do 45</w:t>
            </w:r>
          </w:p>
        </w:tc>
      </w:tr>
      <w:tr w:rsidR="000A3B2B" w14:paraId="1A375C25" w14:textId="77777777">
        <w:trPr>
          <w:trHeight w:val="60"/>
          <w:tblCellSpacing w:w="0" w:type="dxa"/>
        </w:trPr>
        <w:tc>
          <w:tcPr>
            <w:tcW w:w="892" w:type="dxa"/>
            <w:tcBorders>
              <w:top w:val="nil"/>
              <w:left w:val="single" w:sz="6" w:space="0" w:color="000000"/>
              <w:bottom w:val="nil"/>
              <w:right w:val="single" w:sz="6" w:space="0" w:color="000000"/>
            </w:tcBorders>
          </w:tcPr>
          <w:p w14:paraId="2A1075AB" w14:textId="77777777" w:rsidR="000A3B2B" w:rsidRDefault="000A3B2B">
            <w:pPr>
              <w:autoSpaceDE w:val="0"/>
              <w:autoSpaceDN w:val="0"/>
              <w:adjustRightInd w:val="0"/>
              <w:spacing w:after="0" w:line="240" w:lineRule="auto"/>
              <w:rPr>
                <w:rFonts w:ascii="Arial" w:hAnsi="Arial" w:cs="Arial"/>
                <w:sz w:val="18"/>
                <w:szCs w:val="18"/>
                <w:lang w:val="x-none"/>
              </w:rPr>
            </w:pPr>
          </w:p>
        </w:tc>
        <w:tc>
          <w:tcPr>
            <w:tcW w:w="5236" w:type="dxa"/>
            <w:tcBorders>
              <w:top w:val="nil"/>
              <w:left w:val="single" w:sz="6" w:space="0" w:color="000000"/>
              <w:bottom w:val="nil"/>
              <w:right w:val="single" w:sz="6" w:space="0" w:color="000000"/>
            </w:tcBorders>
          </w:tcPr>
          <w:p w14:paraId="547EF809" w14:textId="77777777" w:rsidR="000A3B2B" w:rsidRDefault="000A3B2B">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 xml:space="preserve">Margle miękkie lub </w:t>
            </w:r>
            <w:proofErr w:type="spellStart"/>
            <w:r>
              <w:rPr>
                <w:rFonts w:ascii="Arial" w:hAnsi="Arial" w:cs="Arial"/>
                <w:color w:val="000000"/>
                <w:sz w:val="18"/>
                <w:szCs w:val="18"/>
                <w:lang w:val="x-none"/>
              </w:rPr>
              <w:t>średniotwarde</w:t>
            </w:r>
            <w:proofErr w:type="spellEnd"/>
            <w:r>
              <w:rPr>
                <w:rFonts w:ascii="Arial" w:hAnsi="Arial" w:cs="Arial"/>
                <w:color w:val="000000"/>
                <w:sz w:val="18"/>
                <w:szCs w:val="18"/>
                <w:lang w:val="x-none"/>
              </w:rPr>
              <w:t xml:space="preserve"> słabo spękane</w:t>
            </w:r>
          </w:p>
        </w:tc>
        <w:tc>
          <w:tcPr>
            <w:tcW w:w="1544" w:type="dxa"/>
            <w:tcBorders>
              <w:top w:val="nil"/>
              <w:left w:val="single" w:sz="6" w:space="0" w:color="000000"/>
              <w:bottom w:val="nil"/>
              <w:right w:val="single" w:sz="6" w:space="0" w:color="000000"/>
            </w:tcBorders>
          </w:tcPr>
          <w:p w14:paraId="25FE6616"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16,7</w:t>
            </w:r>
          </w:p>
          <w:p w14:paraId="2B9F144A"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22,6</w:t>
            </w:r>
          </w:p>
        </w:tc>
        <w:tc>
          <w:tcPr>
            <w:tcW w:w="1726" w:type="dxa"/>
            <w:tcBorders>
              <w:top w:val="nil"/>
              <w:left w:val="single" w:sz="6" w:space="0" w:color="000000"/>
              <w:bottom w:val="nil"/>
              <w:right w:val="single" w:sz="6" w:space="0" w:color="000000"/>
            </w:tcBorders>
          </w:tcPr>
          <w:p w14:paraId="10DA1A80"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30 do 45</w:t>
            </w:r>
          </w:p>
        </w:tc>
      </w:tr>
      <w:tr w:rsidR="000A3B2B" w14:paraId="25B6C841" w14:textId="77777777">
        <w:trPr>
          <w:trHeight w:val="60"/>
          <w:tblCellSpacing w:w="0" w:type="dxa"/>
        </w:trPr>
        <w:tc>
          <w:tcPr>
            <w:tcW w:w="892" w:type="dxa"/>
            <w:tcBorders>
              <w:top w:val="nil"/>
              <w:left w:val="single" w:sz="6" w:space="0" w:color="000000"/>
              <w:bottom w:val="nil"/>
              <w:right w:val="single" w:sz="6" w:space="0" w:color="000000"/>
            </w:tcBorders>
          </w:tcPr>
          <w:p w14:paraId="58D6C165" w14:textId="77777777" w:rsidR="000A3B2B" w:rsidRDefault="000A3B2B">
            <w:pPr>
              <w:autoSpaceDE w:val="0"/>
              <w:autoSpaceDN w:val="0"/>
              <w:adjustRightInd w:val="0"/>
              <w:spacing w:after="0" w:line="240" w:lineRule="auto"/>
              <w:rPr>
                <w:rFonts w:ascii="Arial" w:hAnsi="Arial" w:cs="Arial"/>
                <w:sz w:val="18"/>
                <w:szCs w:val="18"/>
                <w:lang w:val="x-none"/>
              </w:rPr>
            </w:pPr>
          </w:p>
        </w:tc>
        <w:tc>
          <w:tcPr>
            <w:tcW w:w="5236" w:type="dxa"/>
            <w:tcBorders>
              <w:top w:val="nil"/>
              <w:left w:val="single" w:sz="6" w:space="0" w:color="000000"/>
              <w:bottom w:val="nil"/>
              <w:right w:val="single" w:sz="6" w:space="0" w:color="000000"/>
            </w:tcBorders>
          </w:tcPr>
          <w:p w14:paraId="41C6243F" w14:textId="77777777" w:rsidR="000A3B2B" w:rsidRDefault="000A3B2B">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Węgiel kamienny i brunatny</w:t>
            </w:r>
          </w:p>
        </w:tc>
        <w:tc>
          <w:tcPr>
            <w:tcW w:w="1544" w:type="dxa"/>
            <w:tcBorders>
              <w:top w:val="nil"/>
              <w:left w:val="single" w:sz="6" w:space="0" w:color="000000"/>
              <w:bottom w:val="nil"/>
              <w:right w:val="single" w:sz="6" w:space="0" w:color="000000"/>
            </w:tcBorders>
          </w:tcPr>
          <w:p w14:paraId="69695595"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41,8</w:t>
            </w:r>
          </w:p>
        </w:tc>
        <w:tc>
          <w:tcPr>
            <w:tcW w:w="1726" w:type="dxa"/>
            <w:tcBorders>
              <w:top w:val="nil"/>
              <w:left w:val="single" w:sz="6" w:space="0" w:color="000000"/>
              <w:bottom w:val="nil"/>
              <w:right w:val="single" w:sz="6" w:space="0" w:color="000000"/>
            </w:tcBorders>
          </w:tcPr>
          <w:p w14:paraId="09052706"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30 do 45</w:t>
            </w:r>
          </w:p>
        </w:tc>
      </w:tr>
      <w:tr w:rsidR="000A3B2B" w14:paraId="7CED1444" w14:textId="77777777">
        <w:trPr>
          <w:trHeight w:val="60"/>
          <w:tblCellSpacing w:w="0" w:type="dxa"/>
        </w:trPr>
        <w:tc>
          <w:tcPr>
            <w:tcW w:w="892" w:type="dxa"/>
            <w:tcBorders>
              <w:top w:val="nil"/>
              <w:left w:val="single" w:sz="6" w:space="0" w:color="000000"/>
              <w:bottom w:val="nil"/>
              <w:right w:val="single" w:sz="6" w:space="0" w:color="000000"/>
            </w:tcBorders>
          </w:tcPr>
          <w:p w14:paraId="702D2C7E" w14:textId="77777777" w:rsidR="000A3B2B" w:rsidRDefault="000A3B2B">
            <w:pPr>
              <w:autoSpaceDE w:val="0"/>
              <w:autoSpaceDN w:val="0"/>
              <w:adjustRightInd w:val="0"/>
              <w:spacing w:after="0" w:line="240" w:lineRule="auto"/>
              <w:rPr>
                <w:rFonts w:ascii="Arial" w:hAnsi="Arial" w:cs="Arial"/>
                <w:sz w:val="18"/>
                <w:szCs w:val="18"/>
                <w:lang w:val="x-none"/>
              </w:rPr>
            </w:pPr>
          </w:p>
        </w:tc>
        <w:tc>
          <w:tcPr>
            <w:tcW w:w="5236" w:type="dxa"/>
            <w:tcBorders>
              <w:top w:val="nil"/>
              <w:left w:val="single" w:sz="6" w:space="0" w:color="000000"/>
              <w:bottom w:val="nil"/>
              <w:right w:val="single" w:sz="6" w:space="0" w:color="000000"/>
            </w:tcBorders>
          </w:tcPr>
          <w:p w14:paraId="1010D789" w14:textId="77777777" w:rsidR="000A3B2B" w:rsidRDefault="000A3B2B">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Iły przewarstwione łupkiem</w:t>
            </w:r>
          </w:p>
        </w:tc>
        <w:tc>
          <w:tcPr>
            <w:tcW w:w="1544" w:type="dxa"/>
            <w:tcBorders>
              <w:top w:val="nil"/>
              <w:left w:val="single" w:sz="6" w:space="0" w:color="000000"/>
              <w:bottom w:val="nil"/>
              <w:right w:val="single" w:sz="6" w:space="0" w:color="000000"/>
            </w:tcBorders>
          </w:tcPr>
          <w:p w14:paraId="71295CB0"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14,7</w:t>
            </w:r>
          </w:p>
          <w:p w14:paraId="5AD5B56F"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19,6</w:t>
            </w:r>
          </w:p>
        </w:tc>
        <w:tc>
          <w:tcPr>
            <w:tcW w:w="1726" w:type="dxa"/>
            <w:tcBorders>
              <w:top w:val="nil"/>
              <w:left w:val="single" w:sz="6" w:space="0" w:color="000000"/>
              <w:bottom w:val="nil"/>
              <w:right w:val="single" w:sz="6" w:space="0" w:color="000000"/>
            </w:tcBorders>
          </w:tcPr>
          <w:p w14:paraId="539E59EF"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30 do 45</w:t>
            </w:r>
          </w:p>
        </w:tc>
      </w:tr>
      <w:tr w:rsidR="000A3B2B" w14:paraId="4937ACDC" w14:textId="77777777">
        <w:trPr>
          <w:trHeight w:val="60"/>
          <w:tblCellSpacing w:w="0" w:type="dxa"/>
        </w:trPr>
        <w:tc>
          <w:tcPr>
            <w:tcW w:w="892" w:type="dxa"/>
            <w:tcBorders>
              <w:top w:val="nil"/>
              <w:left w:val="single" w:sz="6" w:space="0" w:color="000000"/>
              <w:bottom w:val="nil"/>
              <w:right w:val="single" w:sz="6" w:space="0" w:color="000000"/>
            </w:tcBorders>
          </w:tcPr>
          <w:p w14:paraId="2E2F6ADE" w14:textId="77777777" w:rsidR="000A3B2B" w:rsidRDefault="000A3B2B">
            <w:pPr>
              <w:autoSpaceDE w:val="0"/>
              <w:autoSpaceDN w:val="0"/>
              <w:adjustRightInd w:val="0"/>
              <w:spacing w:after="0" w:line="240" w:lineRule="auto"/>
              <w:rPr>
                <w:rFonts w:ascii="Arial" w:hAnsi="Arial" w:cs="Arial"/>
                <w:sz w:val="18"/>
                <w:szCs w:val="18"/>
                <w:lang w:val="x-none"/>
              </w:rPr>
            </w:pPr>
          </w:p>
        </w:tc>
        <w:tc>
          <w:tcPr>
            <w:tcW w:w="5236" w:type="dxa"/>
            <w:tcBorders>
              <w:top w:val="nil"/>
              <w:left w:val="single" w:sz="6" w:space="0" w:color="000000"/>
              <w:bottom w:val="nil"/>
              <w:right w:val="single" w:sz="6" w:space="0" w:color="000000"/>
            </w:tcBorders>
          </w:tcPr>
          <w:p w14:paraId="6C238B5B" w14:textId="77777777" w:rsidR="000A3B2B" w:rsidRDefault="000A3B2B">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 xml:space="preserve">Iłołupek twardy, lecz </w:t>
            </w:r>
            <w:proofErr w:type="spellStart"/>
            <w:r>
              <w:rPr>
                <w:rFonts w:ascii="Arial" w:hAnsi="Arial" w:cs="Arial"/>
                <w:color w:val="000000"/>
                <w:sz w:val="18"/>
                <w:szCs w:val="18"/>
                <w:lang w:val="x-none"/>
              </w:rPr>
              <w:t>rozsypliwy</w:t>
            </w:r>
            <w:proofErr w:type="spellEnd"/>
          </w:p>
        </w:tc>
        <w:tc>
          <w:tcPr>
            <w:tcW w:w="1544" w:type="dxa"/>
            <w:tcBorders>
              <w:top w:val="nil"/>
              <w:left w:val="single" w:sz="6" w:space="0" w:color="000000"/>
              <w:bottom w:val="nil"/>
              <w:right w:val="single" w:sz="6" w:space="0" w:color="000000"/>
            </w:tcBorders>
          </w:tcPr>
          <w:p w14:paraId="2AA6118E"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19,6</w:t>
            </w:r>
          </w:p>
        </w:tc>
        <w:tc>
          <w:tcPr>
            <w:tcW w:w="1726" w:type="dxa"/>
            <w:tcBorders>
              <w:top w:val="nil"/>
              <w:left w:val="single" w:sz="6" w:space="0" w:color="000000"/>
              <w:bottom w:val="nil"/>
              <w:right w:val="single" w:sz="6" w:space="0" w:color="000000"/>
            </w:tcBorders>
          </w:tcPr>
          <w:p w14:paraId="3FFC32DA"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30 do 45</w:t>
            </w:r>
          </w:p>
        </w:tc>
      </w:tr>
      <w:tr w:rsidR="000A3B2B" w14:paraId="17FC080D" w14:textId="77777777">
        <w:trPr>
          <w:trHeight w:val="60"/>
          <w:tblCellSpacing w:w="0" w:type="dxa"/>
        </w:trPr>
        <w:tc>
          <w:tcPr>
            <w:tcW w:w="892" w:type="dxa"/>
            <w:tcBorders>
              <w:top w:val="nil"/>
              <w:left w:val="single" w:sz="6" w:space="0" w:color="000000"/>
              <w:bottom w:val="nil"/>
              <w:right w:val="single" w:sz="6" w:space="0" w:color="000000"/>
            </w:tcBorders>
          </w:tcPr>
          <w:p w14:paraId="77EF61B0" w14:textId="77777777" w:rsidR="000A3B2B" w:rsidRDefault="000A3B2B">
            <w:pPr>
              <w:autoSpaceDE w:val="0"/>
              <w:autoSpaceDN w:val="0"/>
              <w:adjustRightInd w:val="0"/>
              <w:spacing w:after="0" w:line="240" w:lineRule="auto"/>
              <w:rPr>
                <w:rFonts w:ascii="Arial" w:hAnsi="Arial" w:cs="Arial"/>
                <w:sz w:val="18"/>
                <w:szCs w:val="18"/>
                <w:lang w:val="x-none"/>
              </w:rPr>
            </w:pPr>
          </w:p>
        </w:tc>
        <w:tc>
          <w:tcPr>
            <w:tcW w:w="5236" w:type="dxa"/>
            <w:tcBorders>
              <w:top w:val="nil"/>
              <w:left w:val="single" w:sz="6" w:space="0" w:color="000000"/>
              <w:bottom w:val="nil"/>
              <w:right w:val="single" w:sz="6" w:space="0" w:color="000000"/>
            </w:tcBorders>
          </w:tcPr>
          <w:p w14:paraId="3583A11D" w14:textId="77777777" w:rsidR="000A3B2B" w:rsidRDefault="000A3B2B">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Zlepieńce słabo scementowane</w:t>
            </w:r>
          </w:p>
        </w:tc>
        <w:tc>
          <w:tcPr>
            <w:tcW w:w="1544" w:type="dxa"/>
            <w:tcBorders>
              <w:top w:val="nil"/>
              <w:left w:val="single" w:sz="6" w:space="0" w:color="000000"/>
              <w:bottom w:val="nil"/>
              <w:right w:val="single" w:sz="6" w:space="0" w:color="000000"/>
            </w:tcBorders>
          </w:tcPr>
          <w:p w14:paraId="15C898E6"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20,6</w:t>
            </w:r>
          </w:p>
        </w:tc>
        <w:tc>
          <w:tcPr>
            <w:tcW w:w="1726" w:type="dxa"/>
            <w:tcBorders>
              <w:top w:val="nil"/>
              <w:left w:val="single" w:sz="6" w:space="0" w:color="000000"/>
              <w:bottom w:val="nil"/>
              <w:right w:val="single" w:sz="6" w:space="0" w:color="000000"/>
            </w:tcBorders>
          </w:tcPr>
          <w:p w14:paraId="4B9E6E58"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30 do 45</w:t>
            </w:r>
          </w:p>
        </w:tc>
      </w:tr>
      <w:tr w:rsidR="000A3B2B" w14:paraId="2B2C4B18" w14:textId="77777777">
        <w:trPr>
          <w:trHeight w:val="60"/>
          <w:tblCellSpacing w:w="0" w:type="dxa"/>
        </w:trPr>
        <w:tc>
          <w:tcPr>
            <w:tcW w:w="892" w:type="dxa"/>
            <w:tcBorders>
              <w:top w:val="nil"/>
              <w:left w:val="single" w:sz="6" w:space="0" w:color="000000"/>
              <w:bottom w:val="nil"/>
              <w:right w:val="single" w:sz="6" w:space="0" w:color="000000"/>
            </w:tcBorders>
          </w:tcPr>
          <w:p w14:paraId="3ACDABA5" w14:textId="77777777" w:rsidR="000A3B2B" w:rsidRDefault="000A3B2B">
            <w:pPr>
              <w:autoSpaceDE w:val="0"/>
              <w:autoSpaceDN w:val="0"/>
              <w:adjustRightInd w:val="0"/>
              <w:spacing w:after="0" w:line="240" w:lineRule="auto"/>
              <w:rPr>
                <w:rFonts w:ascii="Arial" w:hAnsi="Arial" w:cs="Arial"/>
                <w:sz w:val="18"/>
                <w:szCs w:val="18"/>
                <w:lang w:val="x-none"/>
              </w:rPr>
            </w:pPr>
          </w:p>
        </w:tc>
        <w:tc>
          <w:tcPr>
            <w:tcW w:w="5236" w:type="dxa"/>
            <w:tcBorders>
              <w:top w:val="nil"/>
              <w:left w:val="single" w:sz="6" w:space="0" w:color="000000"/>
              <w:bottom w:val="nil"/>
              <w:right w:val="single" w:sz="6" w:space="0" w:color="000000"/>
            </w:tcBorders>
          </w:tcPr>
          <w:p w14:paraId="7F3EB95F" w14:textId="77777777" w:rsidR="000A3B2B" w:rsidRDefault="000A3B2B">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Gips</w:t>
            </w:r>
          </w:p>
        </w:tc>
        <w:tc>
          <w:tcPr>
            <w:tcW w:w="1544" w:type="dxa"/>
            <w:tcBorders>
              <w:top w:val="nil"/>
              <w:left w:val="single" w:sz="6" w:space="0" w:color="000000"/>
              <w:bottom w:val="nil"/>
              <w:right w:val="single" w:sz="6" w:space="0" w:color="000000"/>
            </w:tcBorders>
          </w:tcPr>
          <w:p w14:paraId="245A68F3"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21,6</w:t>
            </w:r>
          </w:p>
        </w:tc>
        <w:tc>
          <w:tcPr>
            <w:tcW w:w="1726" w:type="dxa"/>
            <w:tcBorders>
              <w:top w:val="nil"/>
              <w:left w:val="single" w:sz="6" w:space="0" w:color="000000"/>
              <w:bottom w:val="nil"/>
              <w:right w:val="single" w:sz="6" w:space="0" w:color="000000"/>
            </w:tcBorders>
          </w:tcPr>
          <w:p w14:paraId="3B78FA6F"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30 do 45</w:t>
            </w:r>
          </w:p>
        </w:tc>
      </w:tr>
      <w:tr w:rsidR="000A3B2B" w14:paraId="10F55299" w14:textId="77777777">
        <w:trPr>
          <w:trHeight w:val="60"/>
          <w:tblCellSpacing w:w="0" w:type="dxa"/>
        </w:trPr>
        <w:tc>
          <w:tcPr>
            <w:tcW w:w="892" w:type="dxa"/>
            <w:tcBorders>
              <w:top w:val="nil"/>
              <w:left w:val="single" w:sz="6" w:space="0" w:color="000000"/>
              <w:bottom w:val="single" w:sz="6" w:space="0" w:color="000000"/>
              <w:right w:val="single" w:sz="6" w:space="0" w:color="000000"/>
            </w:tcBorders>
          </w:tcPr>
          <w:p w14:paraId="5D49983B" w14:textId="77777777" w:rsidR="000A3B2B" w:rsidRDefault="000A3B2B">
            <w:pPr>
              <w:autoSpaceDE w:val="0"/>
              <w:autoSpaceDN w:val="0"/>
              <w:adjustRightInd w:val="0"/>
              <w:spacing w:after="0" w:line="240" w:lineRule="auto"/>
              <w:rPr>
                <w:rFonts w:ascii="Arial" w:hAnsi="Arial" w:cs="Arial"/>
                <w:sz w:val="18"/>
                <w:szCs w:val="18"/>
                <w:lang w:val="x-none"/>
              </w:rPr>
            </w:pPr>
          </w:p>
        </w:tc>
        <w:tc>
          <w:tcPr>
            <w:tcW w:w="5236" w:type="dxa"/>
            <w:tcBorders>
              <w:top w:val="nil"/>
              <w:left w:val="single" w:sz="6" w:space="0" w:color="000000"/>
              <w:bottom w:val="single" w:sz="6" w:space="0" w:color="000000"/>
              <w:right w:val="single" w:sz="6" w:space="0" w:color="000000"/>
            </w:tcBorders>
          </w:tcPr>
          <w:p w14:paraId="6B61F855" w14:textId="77777777" w:rsidR="000A3B2B" w:rsidRDefault="000A3B2B">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Tuf wulkaniczny, częściowo sypki</w:t>
            </w:r>
          </w:p>
        </w:tc>
        <w:tc>
          <w:tcPr>
            <w:tcW w:w="1544" w:type="dxa"/>
            <w:tcBorders>
              <w:top w:val="nil"/>
              <w:left w:val="single" w:sz="6" w:space="0" w:color="000000"/>
              <w:bottom w:val="single" w:sz="6" w:space="0" w:color="000000"/>
              <w:right w:val="single" w:sz="6" w:space="0" w:color="000000"/>
            </w:tcBorders>
          </w:tcPr>
          <w:p w14:paraId="2880BA1C"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15,7</w:t>
            </w:r>
          </w:p>
        </w:tc>
        <w:tc>
          <w:tcPr>
            <w:tcW w:w="1726" w:type="dxa"/>
            <w:tcBorders>
              <w:top w:val="nil"/>
              <w:left w:val="single" w:sz="6" w:space="0" w:color="000000"/>
              <w:bottom w:val="single" w:sz="6" w:space="0" w:color="000000"/>
              <w:right w:val="single" w:sz="6" w:space="0" w:color="000000"/>
            </w:tcBorders>
          </w:tcPr>
          <w:p w14:paraId="6D7086EE"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30 do 45</w:t>
            </w:r>
          </w:p>
        </w:tc>
      </w:tr>
      <w:tr w:rsidR="000A3B2B" w14:paraId="500E65B4" w14:textId="77777777">
        <w:trPr>
          <w:trHeight w:val="60"/>
          <w:tblCellSpacing w:w="0" w:type="dxa"/>
        </w:trPr>
        <w:tc>
          <w:tcPr>
            <w:tcW w:w="892" w:type="dxa"/>
            <w:tcBorders>
              <w:top w:val="single" w:sz="6" w:space="0" w:color="000000"/>
              <w:left w:val="single" w:sz="6" w:space="0" w:color="000000"/>
              <w:bottom w:val="nil"/>
              <w:right w:val="single" w:sz="6" w:space="0" w:color="000000"/>
            </w:tcBorders>
          </w:tcPr>
          <w:p w14:paraId="2E6E6E0E"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6</w:t>
            </w:r>
          </w:p>
        </w:tc>
        <w:tc>
          <w:tcPr>
            <w:tcW w:w="5236" w:type="dxa"/>
            <w:tcBorders>
              <w:top w:val="single" w:sz="6" w:space="0" w:color="000000"/>
              <w:left w:val="single" w:sz="6" w:space="0" w:color="000000"/>
              <w:bottom w:val="nil"/>
              <w:right w:val="single" w:sz="6" w:space="0" w:color="000000"/>
            </w:tcBorders>
          </w:tcPr>
          <w:p w14:paraId="5D80EAF2" w14:textId="77777777" w:rsidR="000A3B2B" w:rsidRDefault="000A3B2B">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Iłołupek twardy</w:t>
            </w:r>
          </w:p>
        </w:tc>
        <w:tc>
          <w:tcPr>
            <w:tcW w:w="1544" w:type="dxa"/>
            <w:tcBorders>
              <w:top w:val="single" w:sz="6" w:space="0" w:color="000000"/>
              <w:left w:val="single" w:sz="6" w:space="0" w:color="000000"/>
              <w:bottom w:val="nil"/>
              <w:right w:val="single" w:sz="6" w:space="0" w:color="000000"/>
            </w:tcBorders>
          </w:tcPr>
          <w:p w14:paraId="35C23A47"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26,5</w:t>
            </w:r>
          </w:p>
        </w:tc>
        <w:tc>
          <w:tcPr>
            <w:tcW w:w="1726" w:type="dxa"/>
            <w:tcBorders>
              <w:top w:val="single" w:sz="6" w:space="0" w:color="000000"/>
              <w:left w:val="single" w:sz="6" w:space="0" w:color="000000"/>
              <w:bottom w:val="nil"/>
              <w:right w:val="single" w:sz="6" w:space="0" w:color="000000"/>
            </w:tcBorders>
          </w:tcPr>
          <w:p w14:paraId="77429300"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30 do 45</w:t>
            </w:r>
          </w:p>
        </w:tc>
      </w:tr>
      <w:tr w:rsidR="000A3B2B" w14:paraId="46774D63" w14:textId="77777777">
        <w:trPr>
          <w:trHeight w:val="60"/>
          <w:tblCellSpacing w:w="0" w:type="dxa"/>
        </w:trPr>
        <w:tc>
          <w:tcPr>
            <w:tcW w:w="892" w:type="dxa"/>
            <w:tcBorders>
              <w:top w:val="nil"/>
              <w:left w:val="single" w:sz="6" w:space="0" w:color="000000"/>
              <w:bottom w:val="nil"/>
              <w:right w:val="single" w:sz="6" w:space="0" w:color="000000"/>
            </w:tcBorders>
          </w:tcPr>
          <w:p w14:paraId="53608A39" w14:textId="77777777" w:rsidR="000A3B2B" w:rsidRDefault="000A3B2B">
            <w:pPr>
              <w:autoSpaceDE w:val="0"/>
              <w:autoSpaceDN w:val="0"/>
              <w:adjustRightInd w:val="0"/>
              <w:spacing w:after="0" w:line="240" w:lineRule="auto"/>
              <w:rPr>
                <w:rFonts w:ascii="Arial" w:hAnsi="Arial" w:cs="Arial"/>
                <w:sz w:val="18"/>
                <w:szCs w:val="18"/>
                <w:lang w:val="x-none"/>
              </w:rPr>
            </w:pPr>
          </w:p>
        </w:tc>
        <w:tc>
          <w:tcPr>
            <w:tcW w:w="5236" w:type="dxa"/>
            <w:tcBorders>
              <w:top w:val="nil"/>
              <w:left w:val="single" w:sz="6" w:space="0" w:color="000000"/>
              <w:bottom w:val="nil"/>
              <w:right w:val="single" w:sz="6" w:space="0" w:color="000000"/>
            </w:tcBorders>
          </w:tcPr>
          <w:p w14:paraId="39A392C3" w14:textId="77777777" w:rsidR="000A3B2B" w:rsidRDefault="000A3B2B">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Łupek mikowy i piaszczysty niespękany</w:t>
            </w:r>
          </w:p>
        </w:tc>
        <w:tc>
          <w:tcPr>
            <w:tcW w:w="1544" w:type="dxa"/>
            <w:tcBorders>
              <w:top w:val="nil"/>
              <w:left w:val="single" w:sz="6" w:space="0" w:color="000000"/>
              <w:bottom w:val="nil"/>
              <w:right w:val="single" w:sz="6" w:space="0" w:color="000000"/>
            </w:tcBorders>
          </w:tcPr>
          <w:p w14:paraId="53420573"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22,6</w:t>
            </w:r>
          </w:p>
        </w:tc>
        <w:tc>
          <w:tcPr>
            <w:tcW w:w="1726" w:type="dxa"/>
            <w:tcBorders>
              <w:top w:val="nil"/>
              <w:left w:val="single" w:sz="6" w:space="0" w:color="000000"/>
              <w:bottom w:val="nil"/>
              <w:right w:val="single" w:sz="6" w:space="0" w:color="000000"/>
            </w:tcBorders>
          </w:tcPr>
          <w:p w14:paraId="26D7F8FA"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45 do 50</w:t>
            </w:r>
          </w:p>
        </w:tc>
      </w:tr>
      <w:tr w:rsidR="000A3B2B" w14:paraId="653AD397" w14:textId="77777777">
        <w:trPr>
          <w:trHeight w:val="60"/>
          <w:tblCellSpacing w:w="0" w:type="dxa"/>
        </w:trPr>
        <w:tc>
          <w:tcPr>
            <w:tcW w:w="892" w:type="dxa"/>
            <w:tcBorders>
              <w:top w:val="nil"/>
              <w:left w:val="single" w:sz="6" w:space="0" w:color="000000"/>
              <w:bottom w:val="nil"/>
              <w:right w:val="single" w:sz="6" w:space="0" w:color="000000"/>
            </w:tcBorders>
          </w:tcPr>
          <w:p w14:paraId="69E09C24" w14:textId="77777777" w:rsidR="000A3B2B" w:rsidRDefault="000A3B2B">
            <w:pPr>
              <w:autoSpaceDE w:val="0"/>
              <w:autoSpaceDN w:val="0"/>
              <w:adjustRightInd w:val="0"/>
              <w:spacing w:after="0" w:line="240" w:lineRule="auto"/>
              <w:rPr>
                <w:rFonts w:ascii="Arial" w:hAnsi="Arial" w:cs="Arial"/>
                <w:sz w:val="18"/>
                <w:szCs w:val="18"/>
                <w:lang w:val="x-none"/>
              </w:rPr>
            </w:pPr>
          </w:p>
        </w:tc>
        <w:tc>
          <w:tcPr>
            <w:tcW w:w="5236" w:type="dxa"/>
            <w:tcBorders>
              <w:top w:val="nil"/>
              <w:left w:val="single" w:sz="6" w:space="0" w:color="000000"/>
              <w:bottom w:val="nil"/>
              <w:right w:val="single" w:sz="6" w:space="0" w:color="000000"/>
            </w:tcBorders>
          </w:tcPr>
          <w:p w14:paraId="68D2EE5D" w14:textId="77777777" w:rsidR="000A3B2B" w:rsidRDefault="000A3B2B">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Margiel twardy</w:t>
            </w:r>
          </w:p>
        </w:tc>
        <w:tc>
          <w:tcPr>
            <w:tcW w:w="1544" w:type="dxa"/>
            <w:tcBorders>
              <w:top w:val="nil"/>
              <w:left w:val="single" w:sz="6" w:space="0" w:color="000000"/>
              <w:bottom w:val="nil"/>
              <w:right w:val="single" w:sz="6" w:space="0" w:color="000000"/>
            </w:tcBorders>
          </w:tcPr>
          <w:p w14:paraId="7F0F4517"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23,5</w:t>
            </w:r>
          </w:p>
        </w:tc>
        <w:tc>
          <w:tcPr>
            <w:tcW w:w="1726" w:type="dxa"/>
            <w:tcBorders>
              <w:top w:val="nil"/>
              <w:left w:val="single" w:sz="6" w:space="0" w:color="000000"/>
              <w:bottom w:val="nil"/>
              <w:right w:val="single" w:sz="6" w:space="0" w:color="000000"/>
            </w:tcBorders>
          </w:tcPr>
          <w:p w14:paraId="07DA855C"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30 do 45</w:t>
            </w:r>
          </w:p>
        </w:tc>
      </w:tr>
      <w:tr w:rsidR="000A3B2B" w14:paraId="1AB157D4" w14:textId="77777777">
        <w:trPr>
          <w:trHeight w:val="60"/>
          <w:tblCellSpacing w:w="0" w:type="dxa"/>
        </w:trPr>
        <w:tc>
          <w:tcPr>
            <w:tcW w:w="892" w:type="dxa"/>
            <w:tcBorders>
              <w:top w:val="nil"/>
              <w:left w:val="single" w:sz="6" w:space="0" w:color="000000"/>
              <w:bottom w:val="nil"/>
              <w:right w:val="single" w:sz="6" w:space="0" w:color="000000"/>
            </w:tcBorders>
          </w:tcPr>
          <w:p w14:paraId="1CD43866" w14:textId="77777777" w:rsidR="000A3B2B" w:rsidRDefault="000A3B2B">
            <w:pPr>
              <w:autoSpaceDE w:val="0"/>
              <w:autoSpaceDN w:val="0"/>
              <w:adjustRightInd w:val="0"/>
              <w:spacing w:after="0" w:line="240" w:lineRule="auto"/>
              <w:rPr>
                <w:rFonts w:ascii="Arial" w:hAnsi="Arial" w:cs="Arial"/>
                <w:sz w:val="18"/>
                <w:szCs w:val="18"/>
                <w:lang w:val="x-none"/>
              </w:rPr>
            </w:pPr>
          </w:p>
        </w:tc>
        <w:tc>
          <w:tcPr>
            <w:tcW w:w="5236" w:type="dxa"/>
            <w:tcBorders>
              <w:top w:val="nil"/>
              <w:left w:val="single" w:sz="6" w:space="0" w:color="000000"/>
              <w:bottom w:val="nil"/>
              <w:right w:val="single" w:sz="6" w:space="0" w:color="000000"/>
            </w:tcBorders>
          </w:tcPr>
          <w:p w14:paraId="14847427" w14:textId="77777777" w:rsidR="000A3B2B" w:rsidRDefault="000A3B2B">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Wapień marglisty</w:t>
            </w:r>
          </w:p>
        </w:tc>
        <w:tc>
          <w:tcPr>
            <w:tcW w:w="1544" w:type="dxa"/>
            <w:tcBorders>
              <w:top w:val="nil"/>
              <w:left w:val="single" w:sz="6" w:space="0" w:color="000000"/>
              <w:bottom w:val="nil"/>
              <w:right w:val="single" w:sz="6" w:space="0" w:color="000000"/>
            </w:tcBorders>
          </w:tcPr>
          <w:p w14:paraId="3868C081"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22,6</w:t>
            </w:r>
          </w:p>
        </w:tc>
        <w:tc>
          <w:tcPr>
            <w:tcW w:w="1726" w:type="dxa"/>
            <w:tcBorders>
              <w:top w:val="nil"/>
              <w:left w:val="single" w:sz="6" w:space="0" w:color="000000"/>
              <w:bottom w:val="nil"/>
              <w:right w:val="single" w:sz="6" w:space="0" w:color="000000"/>
            </w:tcBorders>
          </w:tcPr>
          <w:p w14:paraId="25ADE184"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45 do 50</w:t>
            </w:r>
          </w:p>
        </w:tc>
      </w:tr>
      <w:tr w:rsidR="000A3B2B" w14:paraId="01017CA5" w14:textId="77777777">
        <w:trPr>
          <w:trHeight w:val="60"/>
          <w:tblCellSpacing w:w="0" w:type="dxa"/>
        </w:trPr>
        <w:tc>
          <w:tcPr>
            <w:tcW w:w="892" w:type="dxa"/>
            <w:tcBorders>
              <w:top w:val="nil"/>
              <w:left w:val="single" w:sz="6" w:space="0" w:color="000000"/>
              <w:bottom w:val="nil"/>
              <w:right w:val="single" w:sz="6" w:space="0" w:color="000000"/>
            </w:tcBorders>
          </w:tcPr>
          <w:p w14:paraId="20830F73" w14:textId="77777777" w:rsidR="000A3B2B" w:rsidRDefault="000A3B2B">
            <w:pPr>
              <w:autoSpaceDE w:val="0"/>
              <w:autoSpaceDN w:val="0"/>
              <w:adjustRightInd w:val="0"/>
              <w:spacing w:after="0" w:line="240" w:lineRule="auto"/>
              <w:rPr>
                <w:rFonts w:ascii="Arial" w:hAnsi="Arial" w:cs="Arial"/>
                <w:sz w:val="18"/>
                <w:szCs w:val="18"/>
                <w:lang w:val="x-none"/>
              </w:rPr>
            </w:pPr>
          </w:p>
        </w:tc>
        <w:tc>
          <w:tcPr>
            <w:tcW w:w="5236" w:type="dxa"/>
            <w:tcBorders>
              <w:top w:val="nil"/>
              <w:left w:val="single" w:sz="6" w:space="0" w:color="000000"/>
              <w:bottom w:val="nil"/>
              <w:right w:val="single" w:sz="6" w:space="0" w:color="000000"/>
            </w:tcBorders>
          </w:tcPr>
          <w:p w14:paraId="5EF4616D" w14:textId="77777777" w:rsidR="000A3B2B" w:rsidRDefault="000A3B2B">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Piaskowiec o spoiwie ilastym</w:t>
            </w:r>
          </w:p>
        </w:tc>
        <w:tc>
          <w:tcPr>
            <w:tcW w:w="1544" w:type="dxa"/>
            <w:tcBorders>
              <w:top w:val="nil"/>
              <w:left w:val="single" w:sz="6" w:space="0" w:color="000000"/>
              <w:bottom w:val="nil"/>
              <w:right w:val="single" w:sz="6" w:space="0" w:color="000000"/>
            </w:tcBorders>
          </w:tcPr>
          <w:p w14:paraId="604A8AB5"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21,6</w:t>
            </w:r>
          </w:p>
        </w:tc>
        <w:tc>
          <w:tcPr>
            <w:tcW w:w="1726" w:type="dxa"/>
            <w:tcBorders>
              <w:top w:val="nil"/>
              <w:left w:val="single" w:sz="6" w:space="0" w:color="000000"/>
              <w:bottom w:val="nil"/>
              <w:right w:val="single" w:sz="6" w:space="0" w:color="000000"/>
            </w:tcBorders>
          </w:tcPr>
          <w:p w14:paraId="26B8221D"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30 do 50</w:t>
            </w:r>
          </w:p>
        </w:tc>
      </w:tr>
      <w:tr w:rsidR="000A3B2B" w14:paraId="737595CE" w14:textId="77777777">
        <w:trPr>
          <w:trHeight w:val="60"/>
          <w:tblCellSpacing w:w="0" w:type="dxa"/>
        </w:trPr>
        <w:tc>
          <w:tcPr>
            <w:tcW w:w="892" w:type="dxa"/>
            <w:tcBorders>
              <w:top w:val="nil"/>
              <w:left w:val="single" w:sz="6" w:space="0" w:color="000000"/>
              <w:bottom w:val="nil"/>
              <w:right w:val="single" w:sz="6" w:space="0" w:color="000000"/>
            </w:tcBorders>
          </w:tcPr>
          <w:p w14:paraId="31176BB5" w14:textId="77777777" w:rsidR="000A3B2B" w:rsidRDefault="000A3B2B">
            <w:pPr>
              <w:autoSpaceDE w:val="0"/>
              <w:autoSpaceDN w:val="0"/>
              <w:adjustRightInd w:val="0"/>
              <w:spacing w:after="0" w:line="240" w:lineRule="auto"/>
              <w:rPr>
                <w:rFonts w:ascii="Arial" w:hAnsi="Arial" w:cs="Arial"/>
                <w:sz w:val="18"/>
                <w:szCs w:val="18"/>
                <w:lang w:val="x-none"/>
              </w:rPr>
            </w:pPr>
          </w:p>
        </w:tc>
        <w:tc>
          <w:tcPr>
            <w:tcW w:w="5236" w:type="dxa"/>
            <w:tcBorders>
              <w:top w:val="nil"/>
              <w:left w:val="single" w:sz="6" w:space="0" w:color="000000"/>
              <w:bottom w:val="nil"/>
              <w:right w:val="single" w:sz="6" w:space="0" w:color="000000"/>
            </w:tcBorders>
          </w:tcPr>
          <w:p w14:paraId="6A8BC735" w14:textId="77777777" w:rsidR="000A3B2B" w:rsidRDefault="000A3B2B">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Zlepieńce otoczaków głównie skał osadowych</w:t>
            </w:r>
          </w:p>
        </w:tc>
        <w:tc>
          <w:tcPr>
            <w:tcW w:w="1544" w:type="dxa"/>
            <w:tcBorders>
              <w:top w:val="nil"/>
              <w:left w:val="single" w:sz="6" w:space="0" w:color="000000"/>
              <w:bottom w:val="nil"/>
              <w:right w:val="single" w:sz="6" w:space="0" w:color="000000"/>
            </w:tcBorders>
          </w:tcPr>
          <w:p w14:paraId="0F663A66"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21,6</w:t>
            </w:r>
          </w:p>
        </w:tc>
        <w:tc>
          <w:tcPr>
            <w:tcW w:w="1726" w:type="dxa"/>
            <w:tcBorders>
              <w:top w:val="nil"/>
              <w:left w:val="single" w:sz="6" w:space="0" w:color="000000"/>
              <w:bottom w:val="nil"/>
              <w:right w:val="single" w:sz="6" w:space="0" w:color="000000"/>
            </w:tcBorders>
          </w:tcPr>
          <w:p w14:paraId="5FDB19B1"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30 do 45</w:t>
            </w:r>
          </w:p>
        </w:tc>
      </w:tr>
      <w:tr w:rsidR="000A3B2B" w14:paraId="1C13A723" w14:textId="77777777">
        <w:trPr>
          <w:trHeight w:val="60"/>
          <w:tblCellSpacing w:w="0" w:type="dxa"/>
        </w:trPr>
        <w:tc>
          <w:tcPr>
            <w:tcW w:w="892" w:type="dxa"/>
            <w:tcBorders>
              <w:top w:val="nil"/>
              <w:left w:val="single" w:sz="6" w:space="0" w:color="000000"/>
              <w:bottom w:val="nil"/>
              <w:right w:val="single" w:sz="6" w:space="0" w:color="000000"/>
            </w:tcBorders>
          </w:tcPr>
          <w:p w14:paraId="0100FF5E" w14:textId="77777777" w:rsidR="000A3B2B" w:rsidRDefault="000A3B2B">
            <w:pPr>
              <w:autoSpaceDE w:val="0"/>
              <w:autoSpaceDN w:val="0"/>
              <w:adjustRightInd w:val="0"/>
              <w:spacing w:after="0" w:line="240" w:lineRule="auto"/>
              <w:rPr>
                <w:rFonts w:ascii="Arial" w:hAnsi="Arial" w:cs="Arial"/>
                <w:sz w:val="18"/>
                <w:szCs w:val="18"/>
                <w:lang w:val="x-none"/>
              </w:rPr>
            </w:pPr>
          </w:p>
        </w:tc>
        <w:tc>
          <w:tcPr>
            <w:tcW w:w="5236" w:type="dxa"/>
            <w:tcBorders>
              <w:top w:val="nil"/>
              <w:left w:val="single" w:sz="6" w:space="0" w:color="000000"/>
              <w:bottom w:val="nil"/>
              <w:right w:val="single" w:sz="6" w:space="0" w:color="000000"/>
            </w:tcBorders>
          </w:tcPr>
          <w:p w14:paraId="1E51729F" w14:textId="77777777" w:rsidR="000A3B2B" w:rsidRDefault="000A3B2B">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Anhydryt</w:t>
            </w:r>
          </w:p>
        </w:tc>
        <w:tc>
          <w:tcPr>
            <w:tcW w:w="1544" w:type="dxa"/>
            <w:tcBorders>
              <w:top w:val="nil"/>
              <w:left w:val="single" w:sz="6" w:space="0" w:color="000000"/>
              <w:bottom w:val="nil"/>
              <w:right w:val="single" w:sz="6" w:space="0" w:color="000000"/>
            </w:tcBorders>
          </w:tcPr>
          <w:p w14:paraId="35A6FD74"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24,5</w:t>
            </w:r>
          </w:p>
        </w:tc>
        <w:tc>
          <w:tcPr>
            <w:tcW w:w="1726" w:type="dxa"/>
            <w:tcBorders>
              <w:top w:val="nil"/>
              <w:left w:val="single" w:sz="6" w:space="0" w:color="000000"/>
              <w:bottom w:val="nil"/>
              <w:right w:val="single" w:sz="6" w:space="0" w:color="000000"/>
            </w:tcBorders>
          </w:tcPr>
          <w:p w14:paraId="62561940"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45 do 50</w:t>
            </w:r>
          </w:p>
        </w:tc>
      </w:tr>
      <w:tr w:rsidR="000A3B2B" w14:paraId="64B33E09" w14:textId="77777777">
        <w:trPr>
          <w:trHeight w:val="60"/>
          <w:tblCellSpacing w:w="0" w:type="dxa"/>
        </w:trPr>
        <w:tc>
          <w:tcPr>
            <w:tcW w:w="892" w:type="dxa"/>
            <w:tcBorders>
              <w:top w:val="nil"/>
              <w:left w:val="single" w:sz="6" w:space="0" w:color="000000"/>
              <w:bottom w:val="single" w:sz="6" w:space="0" w:color="000000"/>
              <w:right w:val="single" w:sz="6" w:space="0" w:color="000000"/>
            </w:tcBorders>
          </w:tcPr>
          <w:p w14:paraId="38FF98FF" w14:textId="77777777" w:rsidR="000A3B2B" w:rsidRDefault="000A3B2B">
            <w:pPr>
              <w:autoSpaceDE w:val="0"/>
              <w:autoSpaceDN w:val="0"/>
              <w:adjustRightInd w:val="0"/>
              <w:spacing w:after="0" w:line="240" w:lineRule="auto"/>
              <w:rPr>
                <w:rFonts w:ascii="Arial" w:hAnsi="Arial" w:cs="Arial"/>
                <w:sz w:val="18"/>
                <w:szCs w:val="18"/>
                <w:lang w:val="x-none"/>
              </w:rPr>
            </w:pPr>
          </w:p>
        </w:tc>
        <w:tc>
          <w:tcPr>
            <w:tcW w:w="5236" w:type="dxa"/>
            <w:tcBorders>
              <w:top w:val="nil"/>
              <w:left w:val="single" w:sz="6" w:space="0" w:color="000000"/>
              <w:bottom w:val="single" w:sz="6" w:space="0" w:color="000000"/>
              <w:right w:val="single" w:sz="6" w:space="0" w:color="000000"/>
            </w:tcBorders>
          </w:tcPr>
          <w:p w14:paraId="409D39B7" w14:textId="77777777" w:rsidR="000A3B2B" w:rsidRDefault="000A3B2B">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Tuf wulkaniczny zbity</w:t>
            </w:r>
          </w:p>
        </w:tc>
        <w:tc>
          <w:tcPr>
            <w:tcW w:w="1544" w:type="dxa"/>
            <w:tcBorders>
              <w:top w:val="nil"/>
              <w:left w:val="single" w:sz="6" w:space="0" w:color="000000"/>
              <w:bottom w:val="single" w:sz="6" w:space="0" w:color="000000"/>
              <w:right w:val="single" w:sz="6" w:space="0" w:color="000000"/>
            </w:tcBorders>
          </w:tcPr>
          <w:p w14:paraId="6ABBFB78"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18,6</w:t>
            </w:r>
          </w:p>
        </w:tc>
        <w:tc>
          <w:tcPr>
            <w:tcW w:w="1726" w:type="dxa"/>
            <w:tcBorders>
              <w:top w:val="nil"/>
              <w:left w:val="single" w:sz="6" w:space="0" w:color="000000"/>
              <w:bottom w:val="single" w:sz="6" w:space="0" w:color="000000"/>
              <w:right w:val="single" w:sz="6" w:space="0" w:color="000000"/>
            </w:tcBorders>
          </w:tcPr>
          <w:p w14:paraId="48AB0A34"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45 do 50</w:t>
            </w:r>
          </w:p>
        </w:tc>
      </w:tr>
      <w:tr w:rsidR="000A3B2B" w14:paraId="7F09730D" w14:textId="77777777">
        <w:trPr>
          <w:trHeight w:val="60"/>
          <w:tblCellSpacing w:w="0" w:type="dxa"/>
        </w:trPr>
        <w:tc>
          <w:tcPr>
            <w:tcW w:w="892" w:type="dxa"/>
            <w:tcBorders>
              <w:top w:val="single" w:sz="6" w:space="0" w:color="000000"/>
              <w:left w:val="single" w:sz="6" w:space="0" w:color="000000"/>
              <w:bottom w:val="nil"/>
              <w:right w:val="single" w:sz="6" w:space="0" w:color="000000"/>
            </w:tcBorders>
          </w:tcPr>
          <w:p w14:paraId="4B5FD49B"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7</w:t>
            </w:r>
          </w:p>
        </w:tc>
        <w:tc>
          <w:tcPr>
            <w:tcW w:w="5236" w:type="dxa"/>
            <w:tcBorders>
              <w:top w:val="single" w:sz="6" w:space="0" w:color="000000"/>
              <w:left w:val="single" w:sz="6" w:space="0" w:color="000000"/>
              <w:bottom w:val="nil"/>
              <w:right w:val="single" w:sz="6" w:space="0" w:color="000000"/>
            </w:tcBorders>
          </w:tcPr>
          <w:p w14:paraId="366C2962" w14:textId="77777777" w:rsidR="000A3B2B" w:rsidRDefault="000A3B2B">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Łupek piaszczysto-wapnisty</w:t>
            </w:r>
          </w:p>
        </w:tc>
        <w:tc>
          <w:tcPr>
            <w:tcW w:w="1544" w:type="dxa"/>
            <w:tcBorders>
              <w:top w:val="single" w:sz="6" w:space="0" w:color="000000"/>
              <w:left w:val="single" w:sz="6" w:space="0" w:color="000000"/>
              <w:bottom w:val="nil"/>
              <w:right w:val="single" w:sz="6" w:space="0" w:color="000000"/>
            </w:tcBorders>
          </w:tcPr>
          <w:p w14:paraId="6E7C5DBB"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23,5</w:t>
            </w:r>
          </w:p>
        </w:tc>
        <w:tc>
          <w:tcPr>
            <w:tcW w:w="1726" w:type="dxa"/>
            <w:tcBorders>
              <w:top w:val="single" w:sz="6" w:space="0" w:color="000000"/>
              <w:left w:val="single" w:sz="6" w:space="0" w:color="000000"/>
              <w:bottom w:val="nil"/>
              <w:right w:val="single" w:sz="6" w:space="0" w:color="000000"/>
            </w:tcBorders>
          </w:tcPr>
          <w:p w14:paraId="3424B390"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45 do 50</w:t>
            </w:r>
          </w:p>
        </w:tc>
      </w:tr>
      <w:tr w:rsidR="000A3B2B" w14:paraId="0E115D23" w14:textId="77777777">
        <w:trPr>
          <w:trHeight w:val="240"/>
          <w:tblCellSpacing w:w="0" w:type="dxa"/>
        </w:trPr>
        <w:tc>
          <w:tcPr>
            <w:tcW w:w="892" w:type="dxa"/>
            <w:tcBorders>
              <w:top w:val="nil"/>
              <w:left w:val="single" w:sz="6" w:space="0" w:color="000000"/>
              <w:bottom w:val="nil"/>
              <w:right w:val="single" w:sz="6" w:space="0" w:color="000000"/>
            </w:tcBorders>
          </w:tcPr>
          <w:p w14:paraId="288FAE76" w14:textId="77777777" w:rsidR="000A3B2B" w:rsidRDefault="000A3B2B">
            <w:pPr>
              <w:autoSpaceDE w:val="0"/>
              <w:autoSpaceDN w:val="0"/>
              <w:adjustRightInd w:val="0"/>
              <w:spacing w:after="0" w:line="240" w:lineRule="auto"/>
              <w:rPr>
                <w:rFonts w:ascii="Arial" w:hAnsi="Arial" w:cs="Arial"/>
                <w:sz w:val="18"/>
                <w:szCs w:val="18"/>
                <w:lang w:val="x-none"/>
              </w:rPr>
            </w:pPr>
          </w:p>
        </w:tc>
        <w:tc>
          <w:tcPr>
            <w:tcW w:w="5236" w:type="dxa"/>
            <w:tcBorders>
              <w:top w:val="nil"/>
              <w:left w:val="single" w:sz="6" w:space="0" w:color="000000"/>
              <w:bottom w:val="nil"/>
              <w:right w:val="single" w:sz="6" w:space="0" w:color="000000"/>
            </w:tcBorders>
          </w:tcPr>
          <w:p w14:paraId="2B24BEB5" w14:textId="77777777" w:rsidR="000A3B2B" w:rsidRDefault="000A3B2B">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Piaskowiec ilasto-wapnisty twardy</w:t>
            </w:r>
          </w:p>
        </w:tc>
        <w:tc>
          <w:tcPr>
            <w:tcW w:w="1544" w:type="dxa"/>
            <w:tcBorders>
              <w:top w:val="nil"/>
              <w:left w:val="single" w:sz="6" w:space="0" w:color="000000"/>
              <w:bottom w:val="nil"/>
              <w:right w:val="single" w:sz="6" w:space="0" w:color="000000"/>
            </w:tcBorders>
          </w:tcPr>
          <w:p w14:paraId="3BB4F76D"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23,5</w:t>
            </w:r>
          </w:p>
        </w:tc>
        <w:tc>
          <w:tcPr>
            <w:tcW w:w="1726" w:type="dxa"/>
            <w:tcBorders>
              <w:top w:val="nil"/>
              <w:left w:val="single" w:sz="6" w:space="0" w:color="000000"/>
              <w:bottom w:val="nil"/>
              <w:right w:val="single" w:sz="6" w:space="0" w:color="000000"/>
            </w:tcBorders>
          </w:tcPr>
          <w:p w14:paraId="2884E9FD"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45 do 50</w:t>
            </w:r>
          </w:p>
        </w:tc>
      </w:tr>
      <w:tr w:rsidR="000A3B2B" w14:paraId="48FC6C42" w14:textId="77777777">
        <w:trPr>
          <w:trHeight w:val="60"/>
          <w:tblCellSpacing w:w="0" w:type="dxa"/>
        </w:trPr>
        <w:tc>
          <w:tcPr>
            <w:tcW w:w="892" w:type="dxa"/>
            <w:tcBorders>
              <w:top w:val="nil"/>
              <w:left w:val="single" w:sz="6" w:space="0" w:color="000000"/>
              <w:bottom w:val="nil"/>
              <w:right w:val="single" w:sz="6" w:space="0" w:color="000000"/>
            </w:tcBorders>
          </w:tcPr>
          <w:p w14:paraId="4B2ED378" w14:textId="77777777" w:rsidR="000A3B2B" w:rsidRDefault="000A3B2B">
            <w:pPr>
              <w:autoSpaceDE w:val="0"/>
              <w:autoSpaceDN w:val="0"/>
              <w:adjustRightInd w:val="0"/>
              <w:spacing w:after="0" w:line="240" w:lineRule="auto"/>
              <w:rPr>
                <w:rFonts w:ascii="Arial" w:hAnsi="Arial" w:cs="Arial"/>
                <w:sz w:val="18"/>
                <w:szCs w:val="18"/>
                <w:lang w:val="x-none"/>
              </w:rPr>
            </w:pPr>
          </w:p>
        </w:tc>
        <w:tc>
          <w:tcPr>
            <w:tcW w:w="5236" w:type="dxa"/>
            <w:tcBorders>
              <w:top w:val="nil"/>
              <w:left w:val="single" w:sz="6" w:space="0" w:color="000000"/>
              <w:bottom w:val="nil"/>
              <w:right w:val="single" w:sz="6" w:space="0" w:color="000000"/>
            </w:tcBorders>
          </w:tcPr>
          <w:p w14:paraId="5E736E92" w14:textId="77777777" w:rsidR="000A3B2B" w:rsidRDefault="000A3B2B">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Zlepieńce z otoczaków głównie skał osadowych o spoiwie krzemionkowym</w:t>
            </w:r>
          </w:p>
        </w:tc>
        <w:tc>
          <w:tcPr>
            <w:tcW w:w="1544" w:type="dxa"/>
            <w:tcBorders>
              <w:top w:val="nil"/>
              <w:left w:val="single" w:sz="6" w:space="0" w:color="000000"/>
              <w:bottom w:val="nil"/>
              <w:right w:val="single" w:sz="6" w:space="0" w:color="000000"/>
            </w:tcBorders>
            <w:vAlign w:val="center"/>
          </w:tcPr>
          <w:p w14:paraId="0D65B7ED"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23,5</w:t>
            </w:r>
          </w:p>
        </w:tc>
        <w:tc>
          <w:tcPr>
            <w:tcW w:w="1726" w:type="dxa"/>
            <w:tcBorders>
              <w:top w:val="nil"/>
              <w:left w:val="single" w:sz="6" w:space="0" w:color="000000"/>
              <w:bottom w:val="nil"/>
              <w:right w:val="single" w:sz="6" w:space="0" w:color="000000"/>
            </w:tcBorders>
            <w:vAlign w:val="center"/>
          </w:tcPr>
          <w:p w14:paraId="124DAD42"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45 do 50</w:t>
            </w:r>
          </w:p>
        </w:tc>
      </w:tr>
      <w:tr w:rsidR="000A3B2B" w14:paraId="5E1E9DA2" w14:textId="77777777">
        <w:trPr>
          <w:trHeight w:val="60"/>
          <w:tblCellSpacing w:w="0" w:type="dxa"/>
        </w:trPr>
        <w:tc>
          <w:tcPr>
            <w:tcW w:w="892" w:type="dxa"/>
            <w:tcBorders>
              <w:top w:val="nil"/>
              <w:left w:val="single" w:sz="6" w:space="0" w:color="000000"/>
              <w:bottom w:val="nil"/>
              <w:right w:val="single" w:sz="6" w:space="0" w:color="000000"/>
            </w:tcBorders>
          </w:tcPr>
          <w:p w14:paraId="16D1EB0F" w14:textId="77777777" w:rsidR="000A3B2B" w:rsidRDefault="000A3B2B">
            <w:pPr>
              <w:autoSpaceDE w:val="0"/>
              <w:autoSpaceDN w:val="0"/>
              <w:adjustRightInd w:val="0"/>
              <w:spacing w:after="0" w:line="240" w:lineRule="auto"/>
              <w:rPr>
                <w:rFonts w:ascii="Arial" w:hAnsi="Arial" w:cs="Arial"/>
                <w:sz w:val="18"/>
                <w:szCs w:val="18"/>
                <w:lang w:val="x-none"/>
              </w:rPr>
            </w:pPr>
          </w:p>
        </w:tc>
        <w:tc>
          <w:tcPr>
            <w:tcW w:w="5236" w:type="dxa"/>
            <w:tcBorders>
              <w:top w:val="nil"/>
              <w:left w:val="single" w:sz="6" w:space="0" w:color="000000"/>
              <w:bottom w:val="nil"/>
              <w:right w:val="single" w:sz="6" w:space="0" w:color="000000"/>
            </w:tcBorders>
          </w:tcPr>
          <w:p w14:paraId="0E335214" w14:textId="77777777" w:rsidR="000A3B2B" w:rsidRDefault="000A3B2B">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Wapień niezwietrzały</w:t>
            </w:r>
          </w:p>
        </w:tc>
        <w:tc>
          <w:tcPr>
            <w:tcW w:w="1544" w:type="dxa"/>
            <w:tcBorders>
              <w:top w:val="nil"/>
              <w:left w:val="single" w:sz="6" w:space="0" w:color="000000"/>
              <w:bottom w:val="nil"/>
              <w:right w:val="single" w:sz="6" w:space="0" w:color="000000"/>
            </w:tcBorders>
          </w:tcPr>
          <w:p w14:paraId="61E08282"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23,5</w:t>
            </w:r>
          </w:p>
        </w:tc>
        <w:tc>
          <w:tcPr>
            <w:tcW w:w="1726" w:type="dxa"/>
            <w:tcBorders>
              <w:top w:val="nil"/>
              <w:left w:val="single" w:sz="6" w:space="0" w:color="000000"/>
              <w:bottom w:val="nil"/>
              <w:right w:val="single" w:sz="6" w:space="0" w:color="000000"/>
            </w:tcBorders>
          </w:tcPr>
          <w:p w14:paraId="7CFBACBC"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45 do 50</w:t>
            </w:r>
          </w:p>
        </w:tc>
      </w:tr>
      <w:tr w:rsidR="000A3B2B" w14:paraId="15D1BCD0" w14:textId="77777777">
        <w:trPr>
          <w:trHeight w:val="60"/>
          <w:tblCellSpacing w:w="0" w:type="dxa"/>
        </w:trPr>
        <w:tc>
          <w:tcPr>
            <w:tcW w:w="892" w:type="dxa"/>
            <w:tcBorders>
              <w:top w:val="nil"/>
              <w:left w:val="single" w:sz="6" w:space="0" w:color="000000"/>
              <w:bottom w:val="nil"/>
              <w:right w:val="single" w:sz="6" w:space="0" w:color="000000"/>
            </w:tcBorders>
          </w:tcPr>
          <w:p w14:paraId="57923B13" w14:textId="77777777" w:rsidR="000A3B2B" w:rsidRDefault="000A3B2B">
            <w:pPr>
              <w:autoSpaceDE w:val="0"/>
              <w:autoSpaceDN w:val="0"/>
              <w:adjustRightInd w:val="0"/>
              <w:spacing w:after="0" w:line="240" w:lineRule="auto"/>
              <w:rPr>
                <w:rFonts w:ascii="Arial" w:hAnsi="Arial" w:cs="Arial"/>
                <w:sz w:val="18"/>
                <w:szCs w:val="18"/>
                <w:lang w:val="x-none"/>
              </w:rPr>
            </w:pPr>
          </w:p>
        </w:tc>
        <w:tc>
          <w:tcPr>
            <w:tcW w:w="5236" w:type="dxa"/>
            <w:tcBorders>
              <w:top w:val="nil"/>
              <w:left w:val="single" w:sz="6" w:space="0" w:color="000000"/>
              <w:bottom w:val="nil"/>
              <w:right w:val="single" w:sz="6" w:space="0" w:color="000000"/>
            </w:tcBorders>
          </w:tcPr>
          <w:p w14:paraId="1FF11EF9" w14:textId="77777777" w:rsidR="000A3B2B" w:rsidRDefault="000A3B2B">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Magnezyt</w:t>
            </w:r>
          </w:p>
        </w:tc>
        <w:tc>
          <w:tcPr>
            <w:tcW w:w="1544" w:type="dxa"/>
            <w:tcBorders>
              <w:top w:val="nil"/>
              <w:left w:val="single" w:sz="6" w:space="0" w:color="000000"/>
              <w:bottom w:val="nil"/>
              <w:right w:val="single" w:sz="6" w:space="0" w:color="000000"/>
            </w:tcBorders>
          </w:tcPr>
          <w:p w14:paraId="003DEC7C"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28,4</w:t>
            </w:r>
          </w:p>
        </w:tc>
        <w:tc>
          <w:tcPr>
            <w:tcW w:w="1726" w:type="dxa"/>
            <w:tcBorders>
              <w:top w:val="nil"/>
              <w:left w:val="single" w:sz="6" w:space="0" w:color="000000"/>
              <w:bottom w:val="nil"/>
              <w:right w:val="single" w:sz="6" w:space="0" w:color="000000"/>
            </w:tcBorders>
          </w:tcPr>
          <w:p w14:paraId="62A60319"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45 do 50</w:t>
            </w:r>
          </w:p>
        </w:tc>
      </w:tr>
      <w:tr w:rsidR="000A3B2B" w14:paraId="296B9D3F" w14:textId="77777777">
        <w:trPr>
          <w:trHeight w:val="60"/>
          <w:tblCellSpacing w:w="0" w:type="dxa"/>
        </w:trPr>
        <w:tc>
          <w:tcPr>
            <w:tcW w:w="892" w:type="dxa"/>
            <w:tcBorders>
              <w:top w:val="nil"/>
              <w:left w:val="single" w:sz="6" w:space="0" w:color="000000"/>
              <w:bottom w:val="single" w:sz="6" w:space="0" w:color="000000"/>
              <w:right w:val="single" w:sz="6" w:space="0" w:color="000000"/>
            </w:tcBorders>
          </w:tcPr>
          <w:p w14:paraId="2A453A8D" w14:textId="77777777" w:rsidR="000A3B2B" w:rsidRDefault="000A3B2B">
            <w:pPr>
              <w:autoSpaceDE w:val="0"/>
              <w:autoSpaceDN w:val="0"/>
              <w:adjustRightInd w:val="0"/>
              <w:spacing w:after="0" w:line="240" w:lineRule="auto"/>
              <w:rPr>
                <w:rFonts w:ascii="Arial" w:hAnsi="Arial" w:cs="Arial"/>
                <w:sz w:val="18"/>
                <w:szCs w:val="18"/>
                <w:lang w:val="x-none"/>
              </w:rPr>
            </w:pPr>
          </w:p>
        </w:tc>
        <w:tc>
          <w:tcPr>
            <w:tcW w:w="5236" w:type="dxa"/>
            <w:tcBorders>
              <w:top w:val="nil"/>
              <w:left w:val="single" w:sz="6" w:space="0" w:color="000000"/>
              <w:bottom w:val="single" w:sz="6" w:space="0" w:color="000000"/>
              <w:right w:val="single" w:sz="6" w:space="0" w:color="000000"/>
            </w:tcBorders>
          </w:tcPr>
          <w:p w14:paraId="3CE3F589" w14:textId="77777777" w:rsidR="000A3B2B" w:rsidRDefault="000A3B2B">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Granit i gnejs silnie zwietrzałe</w:t>
            </w:r>
          </w:p>
        </w:tc>
        <w:tc>
          <w:tcPr>
            <w:tcW w:w="1544" w:type="dxa"/>
            <w:tcBorders>
              <w:top w:val="nil"/>
              <w:left w:val="single" w:sz="6" w:space="0" w:color="000000"/>
              <w:bottom w:val="single" w:sz="6" w:space="0" w:color="000000"/>
              <w:right w:val="single" w:sz="6" w:space="0" w:color="000000"/>
            </w:tcBorders>
          </w:tcPr>
          <w:p w14:paraId="104F5919"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23,5</w:t>
            </w:r>
          </w:p>
        </w:tc>
        <w:tc>
          <w:tcPr>
            <w:tcW w:w="1726" w:type="dxa"/>
            <w:tcBorders>
              <w:top w:val="nil"/>
              <w:left w:val="single" w:sz="6" w:space="0" w:color="000000"/>
              <w:bottom w:val="single" w:sz="6" w:space="0" w:color="000000"/>
              <w:right w:val="single" w:sz="6" w:space="0" w:color="000000"/>
            </w:tcBorders>
          </w:tcPr>
          <w:p w14:paraId="4F19BCC4"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45 do 50</w:t>
            </w:r>
          </w:p>
        </w:tc>
      </w:tr>
      <w:tr w:rsidR="000A3B2B" w14:paraId="3D1A9F1E" w14:textId="77777777">
        <w:trPr>
          <w:trHeight w:val="60"/>
          <w:tblCellSpacing w:w="0" w:type="dxa"/>
        </w:trPr>
        <w:tc>
          <w:tcPr>
            <w:tcW w:w="892" w:type="dxa"/>
            <w:tcBorders>
              <w:top w:val="single" w:sz="6" w:space="0" w:color="000000"/>
              <w:left w:val="single" w:sz="6" w:space="0" w:color="000000"/>
              <w:bottom w:val="nil"/>
              <w:right w:val="single" w:sz="6" w:space="0" w:color="000000"/>
            </w:tcBorders>
          </w:tcPr>
          <w:p w14:paraId="207C3EE6"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8</w:t>
            </w:r>
          </w:p>
        </w:tc>
        <w:tc>
          <w:tcPr>
            <w:tcW w:w="5236" w:type="dxa"/>
            <w:tcBorders>
              <w:top w:val="single" w:sz="6" w:space="0" w:color="000000"/>
              <w:left w:val="single" w:sz="6" w:space="0" w:color="000000"/>
              <w:bottom w:val="nil"/>
              <w:right w:val="single" w:sz="6" w:space="0" w:color="000000"/>
            </w:tcBorders>
          </w:tcPr>
          <w:p w14:paraId="5985BC32" w14:textId="77777777" w:rsidR="000A3B2B" w:rsidRDefault="000A3B2B">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Łupek plastyczny twardy niespękany</w:t>
            </w:r>
          </w:p>
        </w:tc>
        <w:tc>
          <w:tcPr>
            <w:tcW w:w="1544" w:type="dxa"/>
            <w:tcBorders>
              <w:top w:val="single" w:sz="6" w:space="0" w:color="000000"/>
              <w:left w:val="single" w:sz="6" w:space="0" w:color="000000"/>
              <w:bottom w:val="nil"/>
              <w:right w:val="single" w:sz="6" w:space="0" w:color="000000"/>
            </w:tcBorders>
          </w:tcPr>
          <w:p w14:paraId="7A919E4E"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24,5</w:t>
            </w:r>
          </w:p>
        </w:tc>
        <w:tc>
          <w:tcPr>
            <w:tcW w:w="1726" w:type="dxa"/>
            <w:tcBorders>
              <w:top w:val="single" w:sz="6" w:space="0" w:color="000000"/>
              <w:left w:val="single" w:sz="6" w:space="0" w:color="000000"/>
              <w:bottom w:val="nil"/>
              <w:right w:val="single" w:sz="6" w:space="0" w:color="000000"/>
            </w:tcBorders>
          </w:tcPr>
          <w:p w14:paraId="3F7315DD"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45 do 50</w:t>
            </w:r>
          </w:p>
        </w:tc>
      </w:tr>
      <w:tr w:rsidR="000A3B2B" w14:paraId="4B242025" w14:textId="77777777">
        <w:trPr>
          <w:trHeight w:val="60"/>
          <w:tblCellSpacing w:w="0" w:type="dxa"/>
        </w:trPr>
        <w:tc>
          <w:tcPr>
            <w:tcW w:w="892" w:type="dxa"/>
            <w:tcBorders>
              <w:top w:val="nil"/>
              <w:left w:val="single" w:sz="6" w:space="0" w:color="000000"/>
              <w:bottom w:val="nil"/>
              <w:right w:val="single" w:sz="6" w:space="0" w:color="000000"/>
            </w:tcBorders>
          </w:tcPr>
          <w:p w14:paraId="415727F3" w14:textId="77777777" w:rsidR="000A3B2B" w:rsidRDefault="000A3B2B">
            <w:pPr>
              <w:autoSpaceDE w:val="0"/>
              <w:autoSpaceDN w:val="0"/>
              <w:adjustRightInd w:val="0"/>
              <w:spacing w:after="0" w:line="240" w:lineRule="auto"/>
              <w:rPr>
                <w:rFonts w:ascii="Arial" w:hAnsi="Arial" w:cs="Arial"/>
                <w:sz w:val="18"/>
                <w:szCs w:val="18"/>
                <w:lang w:val="x-none"/>
              </w:rPr>
            </w:pPr>
          </w:p>
        </w:tc>
        <w:tc>
          <w:tcPr>
            <w:tcW w:w="5236" w:type="dxa"/>
            <w:tcBorders>
              <w:top w:val="nil"/>
              <w:left w:val="single" w:sz="6" w:space="0" w:color="000000"/>
              <w:bottom w:val="nil"/>
              <w:right w:val="single" w:sz="6" w:space="0" w:color="000000"/>
            </w:tcBorders>
          </w:tcPr>
          <w:p w14:paraId="47A47E40" w14:textId="77777777" w:rsidR="000A3B2B" w:rsidRDefault="000A3B2B">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Piaskowiec twardy o spoiwie wapiennym</w:t>
            </w:r>
          </w:p>
        </w:tc>
        <w:tc>
          <w:tcPr>
            <w:tcW w:w="1544" w:type="dxa"/>
            <w:tcBorders>
              <w:top w:val="nil"/>
              <w:left w:val="single" w:sz="6" w:space="0" w:color="000000"/>
              <w:bottom w:val="nil"/>
              <w:right w:val="single" w:sz="6" w:space="0" w:color="000000"/>
            </w:tcBorders>
          </w:tcPr>
          <w:p w14:paraId="0C8C4973"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24,5</w:t>
            </w:r>
          </w:p>
        </w:tc>
        <w:tc>
          <w:tcPr>
            <w:tcW w:w="1726" w:type="dxa"/>
            <w:tcBorders>
              <w:top w:val="nil"/>
              <w:left w:val="single" w:sz="6" w:space="0" w:color="000000"/>
              <w:bottom w:val="nil"/>
              <w:right w:val="single" w:sz="6" w:space="0" w:color="000000"/>
            </w:tcBorders>
          </w:tcPr>
          <w:p w14:paraId="7CEA7F57"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45 do 50</w:t>
            </w:r>
          </w:p>
        </w:tc>
      </w:tr>
      <w:tr w:rsidR="000A3B2B" w14:paraId="4432F831" w14:textId="77777777">
        <w:trPr>
          <w:trHeight w:val="60"/>
          <w:tblCellSpacing w:w="0" w:type="dxa"/>
        </w:trPr>
        <w:tc>
          <w:tcPr>
            <w:tcW w:w="892" w:type="dxa"/>
            <w:tcBorders>
              <w:top w:val="nil"/>
              <w:left w:val="single" w:sz="6" w:space="0" w:color="000000"/>
              <w:bottom w:val="nil"/>
              <w:right w:val="single" w:sz="6" w:space="0" w:color="000000"/>
            </w:tcBorders>
          </w:tcPr>
          <w:p w14:paraId="43F208E1" w14:textId="77777777" w:rsidR="000A3B2B" w:rsidRDefault="000A3B2B">
            <w:pPr>
              <w:autoSpaceDE w:val="0"/>
              <w:autoSpaceDN w:val="0"/>
              <w:adjustRightInd w:val="0"/>
              <w:spacing w:after="0" w:line="240" w:lineRule="auto"/>
              <w:rPr>
                <w:rFonts w:ascii="Arial" w:hAnsi="Arial" w:cs="Arial"/>
                <w:sz w:val="18"/>
                <w:szCs w:val="18"/>
                <w:lang w:val="x-none"/>
              </w:rPr>
            </w:pPr>
          </w:p>
        </w:tc>
        <w:tc>
          <w:tcPr>
            <w:tcW w:w="5236" w:type="dxa"/>
            <w:tcBorders>
              <w:top w:val="nil"/>
              <w:left w:val="single" w:sz="6" w:space="0" w:color="000000"/>
              <w:bottom w:val="nil"/>
              <w:right w:val="single" w:sz="6" w:space="0" w:color="000000"/>
            </w:tcBorders>
          </w:tcPr>
          <w:p w14:paraId="374B669F" w14:textId="77777777" w:rsidR="000A3B2B" w:rsidRDefault="000A3B2B">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Wapień twardy niezwietrzały</w:t>
            </w:r>
          </w:p>
        </w:tc>
        <w:tc>
          <w:tcPr>
            <w:tcW w:w="1544" w:type="dxa"/>
            <w:tcBorders>
              <w:top w:val="nil"/>
              <w:left w:val="single" w:sz="6" w:space="0" w:color="000000"/>
              <w:bottom w:val="nil"/>
              <w:right w:val="single" w:sz="6" w:space="0" w:color="000000"/>
            </w:tcBorders>
          </w:tcPr>
          <w:p w14:paraId="62ACB528"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24,5</w:t>
            </w:r>
          </w:p>
        </w:tc>
        <w:tc>
          <w:tcPr>
            <w:tcW w:w="1726" w:type="dxa"/>
            <w:tcBorders>
              <w:top w:val="nil"/>
              <w:left w:val="single" w:sz="6" w:space="0" w:color="000000"/>
              <w:bottom w:val="nil"/>
              <w:right w:val="single" w:sz="6" w:space="0" w:color="000000"/>
            </w:tcBorders>
          </w:tcPr>
          <w:p w14:paraId="16AE9FBE"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45 do 50</w:t>
            </w:r>
          </w:p>
        </w:tc>
      </w:tr>
      <w:tr w:rsidR="000A3B2B" w14:paraId="6E02698A" w14:textId="77777777">
        <w:trPr>
          <w:trHeight w:val="60"/>
          <w:tblCellSpacing w:w="0" w:type="dxa"/>
        </w:trPr>
        <w:tc>
          <w:tcPr>
            <w:tcW w:w="892" w:type="dxa"/>
            <w:tcBorders>
              <w:top w:val="nil"/>
              <w:left w:val="single" w:sz="6" w:space="0" w:color="000000"/>
              <w:bottom w:val="nil"/>
              <w:right w:val="single" w:sz="6" w:space="0" w:color="000000"/>
            </w:tcBorders>
          </w:tcPr>
          <w:p w14:paraId="7268442B" w14:textId="77777777" w:rsidR="000A3B2B" w:rsidRDefault="000A3B2B">
            <w:pPr>
              <w:autoSpaceDE w:val="0"/>
              <w:autoSpaceDN w:val="0"/>
              <w:adjustRightInd w:val="0"/>
              <w:spacing w:after="0" w:line="240" w:lineRule="auto"/>
              <w:rPr>
                <w:rFonts w:ascii="Arial" w:hAnsi="Arial" w:cs="Arial"/>
                <w:sz w:val="18"/>
                <w:szCs w:val="18"/>
                <w:lang w:val="x-none"/>
              </w:rPr>
            </w:pPr>
          </w:p>
        </w:tc>
        <w:tc>
          <w:tcPr>
            <w:tcW w:w="5236" w:type="dxa"/>
            <w:tcBorders>
              <w:top w:val="nil"/>
              <w:left w:val="single" w:sz="6" w:space="0" w:color="000000"/>
              <w:bottom w:val="nil"/>
              <w:right w:val="single" w:sz="6" w:space="0" w:color="000000"/>
            </w:tcBorders>
          </w:tcPr>
          <w:p w14:paraId="250C13B1" w14:textId="77777777" w:rsidR="000A3B2B" w:rsidRDefault="000A3B2B">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Marmur i wapień krystaliczny</w:t>
            </w:r>
          </w:p>
        </w:tc>
        <w:tc>
          <w:tcPr>
            <w:tcW w:w="1544" w:type="dxa"/>
            <w:tcBorders>
              <w:top w:val="nil"/>
              <w:left w:val="single" w:sz="6" w:space="0" w:color="000000"/>
              <w:bottom w:val="nil"/>
              <w:right w:val="single" w:sz="6" w:space="0" w:color="000000"/>
            </w:tcBorders>
          </w:tcPr>
          <w:p w14:paraId="5B5C40B2"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25,5</w:t>
            </w:r>
          </w:p>
        </w:tc>
        <w:tc>
          <w:tcPr>
            <w:tcW w:w="1726" w:type="dxa"/>
            <w:tcBorders>
              <w:top w:val="nil"/>
              <w:left w:val="single" w:sz="6" w:space="0" w:color="000000"/>
              <w:bottom w:val="nil"/>
              <w:right w:val="single" w:sz="6" w:space="0" w:color="000000"/>
            </w:tcBorders>
          </w:tcPr>
          <w:p w14:paraId="7D2ACCDE"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45 do 50</w:t>
            </w:r>
          </w:p>
        </w:tc>
      </w:tr>
      <w:tr w:rsidR="000A3B2B" w14:paraId="6968794E" w14:textId="77777777">
        <w:trPr>
          <w:trHeight w:val="60"/>
          <w:tblCellSpacing w:w="0" w:type="dxa"/>
        </w:trPr>
        <w:tc>
          <w:tcPr>
            <w:tcW w:w="892" w:type="dxa"/>
            <w:tcBorders>
              <w:top w:val="nil"/>
              <w:left w:val="single" w:sz="6" w:space="0" w:color="000000"/>
              <w:bottom w:val="single" w:sz="6" w:space="0" w:color="000000"/>
              <w:right w:val="single" w:sz="6" w:space="0" w:color="000000"/>
            </w:tcBorders>
          </w:tcPr>
          <w:p w14:paraId="6D97CDF0" w14:textId="77777777" w:rsidR="000A3B2B" w:rsidRDefault="000A3B2B">
            <w:pPr>
              <w:autoSpaceDE w:val="0"/>
              <w:autoSpaceDN w:val="0"/>
              <w:adjustRightInd w:val="0"/>
              <w:spacing w:after="0" w:line="240" w:lineRule="auto"/>
              <w:rPr>
                <w:rFonts w:ascii="Arial" w:hAnsi="Arial" w:cs="Arial"/>
                <w:sz w:val="18"/>
                <w:szCs w:val="18"/>
                <w:lang w:val="x-none"/>
              </w:rPr>
            </w:pPr>
          </w:p>
        </w:tc>
        <w:tc>
          <w:tcPr>
            <w:tcW w:w="5236" w:type="dxa"/>
            <w:tcBorders>
              <w:top w:val="nil"/>
              <w:left w:val="single" w:sz="6" w:space="0" w:color="000000"/>
              <w:bottom w:val="single" w:sz="6" w:space="0" w:color="000000"/>
              <w:right w:val="single" w:sz="6" w:space="0" w:color="000000"/>
            </w:tcBorders>
          </w:tcPr>
          <w:p w14:paraId="73C4654C" w14:textId="77777777" w:rsidR="000A3B2B" w:rsidRDefault="000A3B2B">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Dolomit niezbyt twardy</w:t>
            </w:r>
          </w:p>
        </w:tc>
        <w:tc>
          <w:tcPr>
            <w:tcW w:w="1544" w:type="dxa"/>
            <w:tcBorders>
              <w:top w:val="nil"/>
              <w:left w:val="single" w:sz="6" w:space="0" w:color="000000"/>
              <w:bottom w:val="single" w:sz="6" w:space="0" w:color="000000"/>
              <w:right w:val="single" w:sz="6" w:space="0" w:color="000000"/>
            </w:tcBorders>
          </w:tcPr>
          <w:p w14:paraId="506F1137"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24,5</w:t>
            </w:r>
          </w:p>
        </w:tc>
        <w:tc>
          <w:tcPr>
            <w:tcW w:w="1726" w:type="dxa"/>
            <w:tcBorders>
              <w:top w:val="nil"/>
              <w:left w:val="single" w:sz="6" w:space="0" w:color="000000"/>
              <w:bottom w:val="single" w:sz="6" w:space="0" w:color="000000"/>
              <w:right w:val="single" w:sz="6" w:space="0" w:color="000000"/>
            </w:tcBorders>
          </w:tcPr>
          <w:p w14:paraId="4FF44784"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45 do 50</w:t>
            </w:r>
          </w:p>
        </w:tc>
      </w:tr>
      <w:tr w:rsidR="000A3B2B" w14:paraId="5A9D6650" w14:textId="77777777">
        <w:trPr>
          <w:trHeight w:val="60"/>
          <w:tblCellSpacing w:w="0" w:type="dxa"/>
        </w:trPr>
        <w:tc>
          <w:tcPr>
            <w:tcW w:w="892" w:type="dxa"/>
            <w:tcBorders>
              <w:top w:val="single" w:sz="6" w:space="0" w:color="000000"/>
              <w:left w:val="single" w:sz="6" w:space="0" w:color="000000"/>
              <w:bottom w:val="nil"/>
              <w:right w:val="single" w:sz="6" w:space="0" w:color="000000"/>
            </w:tcBorders>
          </w:tcPr>
          <w:p w14:paraId="680283D2"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9</w:t>
            </w:r>
          </w:p>
        </w:tc>
        <w:tc>
          <w:tcPr>
            <w:tcW w:w="5236" w:type="dxa"/>
            <w:tcBorders>
              <w:top w:val="single" w:sz="6" w:space="0" w:color="000000"/>
              <w:left w:val="single" w:sz="6" w:space="0" w:color="000000"/>
              <w:bottom w:val="nil"/>
              <w:right w:val="single" w:sz="6" w:space="0" w:color="000000"/>
            </w:tcBorders>
          </w:tcPr>
          <w:p w14:paraId="4387EB00" w14:textId="77777777" w:rsidR="000A3B2B" w:rsidRDefault="000A3B2B">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Piaskowiec kwarcytowy lub o spoiwie ilasto-krzemionkowym</w:t>
            </w:r>
          </w:p>
        </w:tc>
        <w:tc>
          <w:tcPr>
            <w:tcW w:w="1544" w:type="dxa"/>
            <w:tcBorders>
              <w:top w:val="single" w:sz="6" w:space="0" w:color="000000"/>
              <w:left w:val="single" w:sz="6" w:space="0" w:color="000000"/>
              <w:bottom w:val="nil"/>
              <w:right w:val="single" w:sz="6" w:space="0" w:color="000000"/>
            </w:tcBorders>
            <w:vAlign w:val="center"/>
          </w:tcPr>
          <w:p w14:paraId="504F456D"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25,5</w:t>
            </w:r>
          </w:p>
        </w:tc>
        <w:tc>
          <w:tcPr>
            <w:tcW w:w="1726" w:type="dxa"/>
            <w:tcBorders>
              <w:top w:val="single" w:sz="6" w:space="0" w:color="000000"/>
              <w:left w:val="single" w:sz="6" w:space="0" w:color="000000"/>
              <w:bottom w:val="nil"/>
              <w:right w:val="single" w:sz="6" w:space="0" w:color="000000"/>
            </w:tcBorders>
            <w:vAlign w:val="center"/>
          </w:tcPr>
          <w:p w14:paraId="0C274C0E"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45 do 50</w:t>
            </w:r>
          </w:p>
        </w:tc>
      </w:tr>
      <w:tr w:rsidR="000A3B2B" w14:paraId="7FC3AB1F" w14:textId="77777777">
        <w:trPr>
          <w:trHeight w:val="60"/>
          <w:tblCellSpacing w:w="0" w:type="dxa"/>
        </w:trPr>
        <w:tc>
          <w:tcPr>
            <w:tcW w:w="892" w:type="dxa"/>
            <w:tcBorders>
              <w:top w:val="nil"/>
              <w:left w:val="single" w:sz="6" w:space="0" w:color="000000"/>
              <w:bottom w:val="nil"/>
              <w:right w:val="single" w:sz="6" w:space="0" w:color="000000"/>
            </w:tcBorders>
          </w:tcPr>
          <w:p w14:paraId="636AF1DD" w14:textId="77777777" w:rsidR="000A3B2B" w:rsidRDefault="000A3B2B">
            <w:pPr>
              <w:autoSpaceDE w:val="0"/>
              <w:autoSpaceDN w:val="0"/>
              <w:adjustRightInd w:val="0"/>
              <w:spacing w:after="0" w:line="240" w:lineRule="auto"/>
              <w:rPr>
                <w:rFonts w:ascii="Arial" w:hAnsi="Arial" w:cs="Arial"/>
                <w:sz w:val="18"/>
                <w:szCs w:val="18"/>
                <w:lang w:val="x-none"/>
              </w:rPr>
            </w:pPr>
          </w:p>
        </w:tc>
        <w:tc>
          <w:tcPr>
            <w:tcW w:w="5236" w:type="dxa"/>
            <w:tcBorders>
              <w:top w:val="nil"/>
              <w:left w:val="single" w:sz="6" w:space="0" w:color="000000"/>
              <w:bottom w:val="nil"/>
              <w:right w:val="single" w:sz="6" w:space="0" w:color="000000"/>
            </w:tcBorders>
          </w:tcPr>
          <w:p w14:paraId="18CD8D38" w14:textId="77777777" w:rsidR="000A3B2B" w:rsidRDefault="000A3B2B">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Zlepieńce z otoczaków skał głównie krystalicznych o spoiwie wapiennym lub krzemionkowym</w:t>
            </w:r>
          </w:p>
        </w:tc>
        <w:tc>
          <w:tcPr>
            <w:tcW w:w="1544" w:type="dxa"/>
            <w:tcBorders>
              <w:top w:val="nil"/>
              <w:left w:val="single" w:sz="6" w:space="0" w:color="000000"/>
              <w:bottom w:val="nil"/>
              <w:right w:val="single" w:sz="6" w:space="0" w:color="000000"/>
            </w:tcBorders>
            <w:vAlign w:val="center"/>
          </w:tcPr>
          <w:p w14:paraId="20AF6055"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25,5</w:t>
            </w:r>
          </w:p>
        </w:tc>
        <w:tc>
          <w:tcPr>
            <w:tcW w:w="1726" w:type="dxa"/>
            <w:tcBorders>
              <w:top w:val="nil"/>
              <w:left w:val="single" w:sz="6" w:space="0" w:color="000000"/>
              <w:bottom w:val="nil"/>
              <w:right w:val="single" w:sz="6" w:space="0" w:color="000000"/>
            </w:tcBorders>
            <w:vAlign w:val="center"/>
          </w:tcPr>
          <w:p w14:paraId="030F5F32"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45 do 50</w:t>
            </w:r>
          </w:p>
        </w:tc>
      </w:tr>
      <w:tr w:rsidR="000A3B2B" w14:paraId="53739DF7" w14:textId="77777777">
        <w:trPr>
          <w:trHeight w:val="60"/>
          <w:tblCellSpacing w:w="0" w:type="dxa"/>
        </w:trPr>
        <w:tc>
          <w:tcPr>
            <w:tcW w:w="892" w:type="dxa"/>
            <w:tcBorders>
              <w:top w:val="nil"/>
              <w:left w:val="single" w:sz="6" w:space="0" w:color="000000"/>
              <w:bottom w:val="nil"/>
              <w:right w:val="single" w:sz="6" w:space="0" w:color="000000"/>
            </w:tcBorders>
          </w:tcPr>
          <w:p w14:paraId="1088B9AE" w14:textId="77777777" w:rsidR="000A3B2B" w:rsidRDefault="000A3B2B">
            <w:pPr>
              <w:autoSpaceDE w:val="0"/>
              <w:autoSpaceDN w:val="0"/>
              <w:adjustRightInd w:val="0"/>
              <w:spacing w:after="0" w:line="240" w:lineRule="auto"/>
              <w:rPr>
                <w:rFonts w:ascii="Arial" w:hAnsi="Arial" w:cs="Arial"/>
                <w:sz w:val="18"/>
                <w:szCs w:val="18"/>
                <w:lang w:val="x-none"/>
              </w:rPr>
            </w:pPr>
          </w:p>
        </w:tc>
        <w:tc>
          <w:tcPr>
            <w:tcW w:w="5236" w:type="dxa"/>
            <w:tcBorders>
              <w:top w:val="nil"/>
              <w:left w:val="single" w:sz="6" w:space="0" w:color="000000"/>
              <w:bottom w:val="nil"/>
              <w:right w:val="single" w:sz="6" w:space="0" w:color="000000"/>
            </w:tcBorders>
          </w:tcPr>
          <w:p w14:paraId="68480487" w14:textId="77777777" w:rsidR="000A3B2B" w:rsidRDefault="000A3B2B">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Dolomit bardzo twardy</w:t>
            </w:r>
          </w:p>
        </w:tc>
        <w:tc>
          <w:tcPr>
            <w:tcW w:w="1544" w:type="dxa"/>
            <w:tcBorders>
              <w:top w:val="nil"/>
              <w:left w:val="single" w:sz="6" w:space="0" w:color="000000"/>
              <w:bottom w:val="nil"/>
              <w:right w:val="single" w:sz="6" w:space="0" w:color="000000"/>
            </w:tcBorders>
          </w:tcPr>
          <w:p w14:paraId="2DE2915A"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25,5</w:t>
            </w:r>
          </w:p>
        </w:tc>
        <w:tc>
          <w:tcPr>
            <w:tcW w:w="1726" w:type="dxa"/>
            <w:tcBorders>
              <w:top w:val="nil"/>
              <w:left w:val="single" w:sz="6" w:space="0" w:color="000000"/>
              <w:bottom w:val="nil"/>
              <w:right w:val="single" w:sz="6" w:space="0" w:color="000000"/>
            </w:tcBorders>
          </w:tcPr>
          <w:p w14:paraId="67EEE928"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45 do 50</w:t>
            </w:r>
          </w:p>
        </w:tc>
      </w:tr>
      <w:tr w:rsidR="000A3B2B" w14:paraId="4AAE7A41" w14:textId="77777777">
        <w:trPr>
          <w:trHeight w:val="60"/>
          <w:tblCellSpacing w:w="0" w:type="dxa"/>
        </w:trPr>
        <w:tc>
          <w:tcPr>
            <w:tcW w:w="892" w:type="dxa"/>
            <w:tcBorders>
              <w:top w:val="nil"/>
              <w:left w:val="single" w:sz="6" w:space="0" w:color="000000"/>
              <w:bottom w:val="nil"/>
              <w:right w:val="single" w:sz="6" w:space="0" w:color="000000"/>
            </w:tcBorders>
          </w:tcPr>
          <w:p w14:paraId="157FDEEE" w14:textId="77777777" w:rsidR="000A3B2B" w:rsidRDefault="000A3B2B">
            <w:pPr>
              <w:autoSpaceDE w:val="0"/>
              <w:autoSpaceDN w:val="0"/>
              <w:adjustRightInd w:val="0"/>
              <w:spacing w:after="0" w:line="240" w:lineRule="auto"/>
              <w:rPr>
                <w:rFonts w:ascii="Arial" w:hAnsi="Arial" w:cs="Arial"/>
                <w:sz w:val="18"/>
                <w:szCs w:val="18"/>
                <w:lang w:val="x-none"/>
              </w:rPr>
            </w:pPr>
          </w:p>
        </w:tc>
        <w:tc>
          <w:tcPr>
            <w:tcW w:w="5236" w:type="dxa"/>
            <w:tcBorders>
              <w:top w:val="nil"/>
              <w:left w:val="single" w:sz="6" w:space="0" w:color="000000"/>
              <w:bottom w:val="nil"/>
              <w:right w:val="single" w:sz="6" w:space="0" w:color="000000"/>
            </w:tcBorders>
          </w:tcPr>
          <w:p w14:paraId="65980DE6" w14:textId="77777777" w:rsidR="000A3B2B" w:rsidRDefault="000A3B2B">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Granit gruboziarnisty niezwietrzały</w:t>
            </w:r>
          </w:p>
        </w:tc>
        <w:tc>
          <w:tcPr>
            <w:tcW w:w="1544" w:type="dxa"/>
            <w:tcBorders>
              <w:top w:val="nil"/>
              <w:left w:val="single" w:sz="6" w:space="0" w:color="000000"/>
              <w:bottom w:val="nil"/>
              <w:right w:val="single" w:sz="6" w:space="0" w:color="000000"/>
            </w:tcBorders>
          </w:tcPr>
          <w:p w14:paraId="155A2EA9"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25,5</w:t>
            </w:r>
          </w:p>
        </w:tc>
        <w:tc>
          <w:tcPr>
            <w:tcW w:w="1726" w:type="dxa"/>
            <w:tcBorders>
              <w:top w:val="nil"/>
              <w:left w:val="single" w:sz="6" w:space="0" w:color="000000"/>
              <w:bottom w:val="nil"/>
              <w:right w:val="single" w:sz="6" w:space="0" w:color="000000"/>
            </w:tcBorders>
          </w:tcPr>
          <w:p w14:paraId="3FBCD7C5"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45 do 50</w:t>
            </w:r>
          </w:p>
        </w:tc>
      </w:tr>
      <w:tr w:rsidR="000A3B2B" w14:paraId="2CAB2179" w14:textId="77777777">
        <w:trPr>
          <w:trHeight w:val="60"/>
          <w:tblCellSpacing w:w="0" w:type="dxa"/>
        </w:trPr>
        <w:tc>
          <w:tcPr>
            <w:tcW w:w="892" w:type="dxa"/>
            <w:tcBorders>
              <w:top w:val="nil"/>
              <w:left w:val="single" w:sz="6" w:space="0" w:color="000000"/>
              <w:bottom w:val="nil"/>
              <w:right w:val="single" w:sz="6" w:space="0" w:color="000000"/>
            </w:tcBorders>
          </w:tcPr>
          <w:p w14:paraId="2294F9B7" w14:textId="77777777" w:rsidR="000A3B2B" w:rsidRDefault="000A3B2B">
            <w:pPr>
              <w:autoSpaceDE w:val="0"/>
              <w:autoSpaceDN w:val="0"/>
              <w:adjustRightInd w:val="0"/>
              <w:spacing w:after="0" w:line="240" w:lineRule="auto"/>
              <w:rPr>
                <w:rFonts w:ascii="Arial" w:hAnsi="Arial" w:cs="Arial"/>
                <w:sz w:val="18"/>
                <w:szCs w:val="18"/>
                <w:lang w:val="x-none"/>
              </w:rPr>
            </w:pPr>
          </w:p>
        </w:tc>
        <w:tc>
          <w:tcPr>
            <w:tcW w:w="5236" w:type="dxa"/>
            <w:tcBorders>
              <w:top w:val="nil"/>
              <w:left w:val="single" w:sz="6" w:space="0" w:color="000000"/>
              <w:bottom w:val="nil"/>
              <w:right w:val="single" w:sz="6" w:space="0" w:color="000000"/>
            </w:tcBorders>
          </w:tcPr>
          <w:p w14:paraId="483C9CC0" w14:textId="77777777" w:rsidR="000A3B2B" w:rsidRDefault="000A3B2B">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Sjenit gruboziarnisty</w:t>
            </w:r>
          </w:p>
        </w:tc>
        <w:tc>
          <w:tcPr>
            <w:tcW w:w="1544" w:type="dxa"/>
            <w:tcBorders>
              <w:top w:val="nil"/>
              <w:left w:val="single" w:sz="6" w:space="0" w:color="000000"/>
              <w:bottom w:val="nil"/>
              <w:right w:val="single" w:sz="6" w:space="0" w:color="000000"/>
            </w:tcBorders>
          </w:tcPr>
          <w:p w14:paraId="58563F3A"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25,5</w:t>
            </w:r>
          </w:p>
        </w:tc>
        <w:tc>
          <w:tcPr>
            <w:tcW w:w="1726" w:type="dxa"/>
            <w:tcBorders>
              <w:top w:val="nil"/>
              <w:left w:val="single" w:sz="6" w:space="0" w:color="000000"/>
              <w:bottom w:val="nil"/>
              <w:right w:val="single" w:sz="6" w:space="0" w:color="000000"/>
            </w:tcBorders>
          </w:tcPr>
          <w:p w14:paraId="7FC466DD"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45 do 50</w:t>
            </w:r>
          </w:p>
        </w:tc>
      </w:tr>
      <w:tr w:rsidR="000A3B2B" w14:paraId="53BD857B" w14:textId="77777777">
        <w:trPr>
          <w:trHeight w:val="60"/>
          <w:tblCellSpacing w:w="0" w:type="dxa"/>
        </w:trPr>
        <w:tc>
          <w:tcPr>
            <w:tcW w:w="892" w:type="dxa"/>
            <w:tcBorders>
              <w:top w:val="nil"/>
              <w:left w:val="single" w:sz="6" w:space="0" w:color="000000"/>
              <w:bottom w:val="nil"/>
              <w:right w:val="single" w:sz="6" w:space="0" w:color="000000"/>
            </w:tcBorders>
          </w:tcPr>
          <w:p w14:paraId="3C2FFC18" w14:textId="77777777" w:rsidR="000A3B2B" w:rsidRDefault="000A3B2B">
            <w:pPr>
              <w:autoSpaceDE w:val="0"/>
              <w:autoSpaceDN w:val="0"/>
              <w:adjustRightInd w:val="0"/>
              <w:spacing w:after="0" w:line="240" w:lineRule="auto"/>
              <w:rPr>
                <w:rFonts w:ascii="Arial" w:hAnsi="Arial" w:cs="Arial"/>
                <w:sz w:val="18"/>
                <w:szCs w:val="18"/>
                <w:lang w:val="x-none"/>
              </w:rPr>
            </w:pPr>
          </w:p>
        </w:tc>
        <w:tc>
          <w:tcPr>
            <w:tcW w:w="5236" w:type="dxa"/>
            <w:tcBorders>
              <w:top w:val="nil"/>
              <w:left w:val="single" w:sz="6" w:space="0" w:color="000000"/>
              <w:bottom w:val="nil"/>
              <w:right w:val="single" w:sz="6" w:space="0" w:color="000000"/>
            </w:tcBorders>
          </w:tcPr>
          <w:p w14:paraId="17E6F618" w14:textId="77777777" w:rsidR="000A3B2B" w:rsidRDefault="000A3B2B">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Serpentyn</w:t>
            </w:r>
          </w:p>
        </w:tc>
        <w:tc>
          <w:tcPr>
            <w:tcW w:w="1544" w:type="dxa"/>
            <w:tcBorders>
              <w:top w:val="nil"/>
              <w:left w:val="single" w:sz="6" w:space="0" w:color="000000"/>
              <w:bottom w:val="nil"/>
              <w:right w:val="single" w:sz="6" w:space="0" w:color="000000"/>
            </w:tcBorders>
          </w:tcPr>
          <w:p w14:paraId="127BB43D"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24,5</w:t>
            </w:r>
          </w:p>
        </w:tc>
        <w:tc>
          <w:tcPr>
            <w:tcW w:w="1726" w:type="dxa"/>
            <w:tcBorders>
              <w:top w:val="nil"/>
              <w:left w:val="single" w:sz="6" w:space="0" w:color="000000"/>
              <w:bottom w:val="nil"/>
              <w:right w:val="single" w:sz="6" w:space="0" w:color="000000"/>
            </w:tcBorders>
          </w:tcPr>
          <w:p w14:paraId="2EBE4082"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45 do 50</w:t>
            </w:r>
          </w:p>
        </w:tc>
      </w:tr>
      <w:tr w:rsidR="000A3B2B" w14:paraId="6CCF2391" w14:textId="77777777">
        <w:trPr>
          <w:trHeight w:val="180"/>
          <w:tblCellSpacing w:w="0" w:type="dxa"/>
        </w:trPr>
        <w:tc>
          <w:tcPr>
            <w:tcW w:w="892" w:type="dxa"/>
            <w:tcBorders>
              <w:top w:val="nil"/>
              <w:left w:val="single" w:sz="6" w:space="0" w:color="000000"/>
              <w:bottom w:val="nil"/>
              <w:right w:val="single" w:sz="6" w:space="0" w:color="000000"/>
            </w:tcBorders>
          </w:tcPr>
          <w:p w14:paraId="28B699C0" w14:textId="77777777" w:rsidR="000A3B2B" w:rsidRDefault="000A3B2B">
            <w:pPr>
              <w:autoSpaceDE w:val="0"/>
              <w:autoSpaceDN w:val="0"/>
              <w:adjustRightInd w:val="0"/>
              <w:spacing w:after="0" w:line="240" w:lineRule="auto"/>
              <w:rPr>
                <w:rFonts w:ascii="Arial" w:hAnsi="Arial" w:cs="Arial"/>
                <w:sz w:val="18"/>
                <w:szCs w:val="18"/>
                <w:lang w:val="x-none"/>
              </w:rPr>
            </w:pPr>
          </w:p>
        </w:tc>
        <w:tc>
          <w:tcPr>
            <w:tcW w:w="5236" w:type="dxa"/>
            <w:tcBorders>
              <w:top w:val="nil"/>
              <w:left w:val="single" w:sz="6" w:space="0" w:color="000000"/>
              <w:bottom w:val="nil"/>
              <w:right w:val="single" w:sz="6" w:space="0" w:color="000000"/>
            </w:tcBorders>
          </w:tcPr>
          <w:p w14:paraId="00351AF8" w14:textId="77777777" w:rsidR="000A3B2B" w:rsidRDefault="000A3B2B">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Wapień bardzo twardy</w:t>
            </w:r>
          </w:p>
        </w:tc>
        <w:tc>
          <w:tcPr>
            <w:tcW w:w="1544" w:type="dxa"/>
            <w:tcBorders>
              <w:top w:val="nil"/>
              <w:left w:val="single" w:sz="6" w:space="0" w:color="000000"/>
              <w:bottom w:val="nil"/>
              <w:right w:val="single" w:sz="6" w:space="0" w:color="000000"/>
            </w:tcBorders>
          </w:tcPr>
          <w:p w14:paraId="105842C3"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24,5</w:t>
            </w:r>
          </w:p>
        </w:tc>
        <w:tc>
          <w:tcPr>
            <w:tcW w:w="1726" w:type="dxa"/>
            <w:tcBorders>
              <w:top w:val="nil"/>
              <w:left w:val="single" w:sz="6" w:space="0" w:color="000000"/>
              <w:bottom w:val="nil"/>
              <w:right w:val="single" w:sz="6" w:space="0" w:color="000000"/>
            </w:tcBorders>
          </w:tcPr>
          <w:p w14:paraId="2505DBD4"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45 do 50</w:t>
            </w:r>
          </w:p>
        </w:tc>
      </w:tr>
      <w:tr w:rsidR="000A3B2B" w14:paraId="3C1DB417" w14:textId="77777777">
        <w:trPr>
          <w:trHeight w:val="60"/>
          <w:tblCellSpacing w:w="0" w:type="dxa"/>
        </w:trPr>
        <w:tc>
          <w:tcPr>
            <w:tcW w:w="892" w:type="dxa"/>
            <w:tcBorders>
              <w:top w:val="nil"/>
              <w:left w:val="single" w:sz="6" w:space="0" w:color="000000"/>
              <w:bottom w:val="single" w:sz="6" w:space="0" w:color="000000"/>
              <w:right w:val="single" w:sz="6" w:space="0" w:color="000000"/>
            </w:tcBorders>
          </w:tcPr>
          <w:p w14:paraId="619475FF" w14:textId="77777777" w:rsidR="000A3B2B" w:rsidRDefault="000A3B2B">
            <w:pPr>
              <w:autoSpaceDE w:val="0"/>
              <w:autoSpaceDN w:val="0"/>
              <w:adjustRightInd w:val="0"/>
              <w:spacing w:after="0" w:line="240" w:lineRule="auto"/>
              <w:rPr>
                <w:rFonts w:ascii="Arial" w:hAnsi="Arial" w:cs="Arial"/>
                <w:sz w:val="18"/>
                <w:szCs w:val="18"/>
                <w:lang w:val="x-none"/>
              </w:rPr>
            </w:pPr>
          </w:p>
        </w:tc>
        <w:tc>
          <w:tcPr>
            <w:tcW w:w="5236" w:type="dxa"/>
            <w:tcBorders>
              <w:top w:val="nil"/>
              <w:left w:val="single" w:sz="6" w:space="0" w:color="000000"/>
              <w:bottom w:val="single" w:sz="6" w:space="0" w:color="000000"/>
              <w:right w:val="single" w:sz="6" w:space="0" w:color="000000"/>
            </w:tcBorders>
          </w:tcPr>
          <w:p w14:paraId="177FAF73" w14:textId="77777777" w:rsidR="000A3B2B" w:rsidRDefault="000A3B2B">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Gnejs</w:t>
            </w:r>
          </w:p>
        </w:tc>
        <w:tc>
          <w:tcPr>
            <w:tcW w:w="1544" w:type="dxa"/>
            <w:tcBorders>
              <w:top w:val="nil"/>
              <w:left w:val="single" w:sz="6" w:space="0" w:color="000000"/>
              <w:bottom w:val="single" w:sz="6" w:space="0" w:color="000000"/>
              <w:right w:val="single" w:sz="6" w:space="0" w:color="000000"/>
            </w:tcBorders>
          </w:tcPr>
          <w:p w14:paraId="187A9344"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25,5</w:t>
            </w:r>
          </w:p>
        </w:tc>
        <w:tc>
          <w:tcPr>
            <w:tcW w:w="1726" w:type="dxa"/>
            <w:tcBorders>
              <w:top w:val="nil"/>
              <w:left w:val="single" w:sz="6" w:space="0" w:color="000000"/>
              <w:bottom w:val="single" w:sz="6" w:space="0" w:color="000000"/>
              <w:right w:val="single" w:sz="6" w:space="0" w:color="000000"/>
            </w:tcBorders>
          </w:tcPr>
          <w:p w14:paraId="31704BEE"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45 do 50</w:t>
            </w:r>
          </w:p>
        </w:tc>
      </w:tr>
      <w:tr w:rsidR="000A3B2B" w14:paraId="72F64B68" w14:textId="77777777">
        <w:trPr>
          <w:trHeight w:val="60"/>
          <w:tblCellSpacing w:w="0" w:type="dxa"/>
        </w:trPr>
        <w:tc>
          <w:tcPr>
            <w:tcW w:w="892" w:type="dxa"/>
            <w:tcBorders>
              <w:top w:val="single" w:sz="6" w:space="0" w:color="000000"/>
              <w:left w:val="single" w:sz="6" w:space="0" w:color="000000"/>
              <w:bottom w:val="nil"/>
              <w:right w:val="single" w:sz="6" w:space="0" w:color="000000"/>
            </w:tcBorders>
          </w:tcPr>
          <w:p w14:paraId="5A92ACE5"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10</w:t>
            </w:r>
          </w:p>
        </w:tc>
        <w:tc>
          <w:tcPr>
            <w:tcW w:w="5236" w:type="dxa"/>
            <w:tcBorders>
              <w:top w:val="single" w:sz="6" w:space="0" w:color="000000"/>
              <w:left w:val="single" w:sz="6" w:space="0" w:color="000000"/>
              <w:bottom w:val="nil"/>
              <w:right w:val="single" w:sz="6" w:space="0" w:color="000000"/>
            </w:tcBorders>
          </w:tcPr>
          <w:p w14:paraId="47FFC587" w14:textId="77777777" w:rsidR="000A3B2B" w:rsidRDefault="000A3B2B">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Granit średnio- i drobnoziarnisty</w:t>
            </w:r>
          </w:p>
        </w:tc>
        <w:tc>
          <w:tcPr>
            <w:tcW w:w="1544" w:type="dxa"/>
            <w:tcBorders>
              <w:top w:val="single" w:sz="6" w:space="0" w:color="000000"/>
              <w:left w:val="single" w:sz="6" w:space="0" w:color="000000"/>
              <w:bottom w:val="nil"/>
              <w:right w:val="single" w:sz="6" w:space="0" w:color="000000"/>
            </w:tcBorders>
          </w:tcPr>
          <w:p w14:paraId="3A499AF1"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25,5</w:t>
            </w:r>
          </w:p>
          <w:p w14:paraId="34C9F3A8"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26,5</w:t>
            </w:r>
          </w:p>
        </w:tc>
        <w:tc>
          <w:tcPr>
            <w:tcW w:w="1726" w:type="dxa"/>
            <w:tcBorders>
              <w:top w:val="single" w:sz="6" w:space="0" w:color="000000"/>
              <w:left w:val="single" w:sz="6" w:space="0" w:color="000000"/>
              <w:bottom w:val="nil"/>
              <w:right w:val="single" w:sz="6" w:space="0" w:color="000000"/>
            </w:tcBorders>
          </w:tcPr>
          <w:p w14:paraId="42954148"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45 do 50</w:t>
            </w:r>
          </w:p>
        </w:tc>
      </w:tr>
      <w:tr w:rsidR="000A3B2B" w14:paraId="507C732B" w14:textId="77777777">
        <w:trPr>
          <w:trHeight w:val="60"/>
          <w:tblCellSpacing w:w="0" w:type="dxa"/>
        </w:trPr>
        <w:tc>
          <w:tcPr>
            <w:tcW w:w="892" w:type="dxa"/>
            <w:tcBorders>
              <w:top w:val="nil"/>
              <w:left w:val="single" w:sz="6" w:space="0" w:color="000000"/>
              <w:bottom w:val="nil"/>
              <w:right w:val="single" w:sz="6" w:space="0" w:color="000000"/>
            </w:tcBorders>
          </w:tcPr>
          <w:p w14:paraId="6DB7D654" w14:textId="77777777" w:rsidR="000A3B2B" w:rsidRDefault="000A3B2B">
            <w:pPr>
              <w:autoSpaceDE w:val="0"/>
              <w:autoSpaceDN w:val="0"/>
              <w:adjustRightInd w:val="0"/>
              <w:spacing w:after="0" w:line="240" w:lineRule="auto"/>
              <w:rPr>
                <w:rFonts w:ascii="Arial" w:hAnsi="Arial" w:cs="Arial"/>
                <w:sz w:val="18"/>
                <w:szCs w:val="18"/>
                <w:lang w:val="x-none"/>
              </w:rPr>
            </w:pPr>
          </w:p>
        </w:tc>
        <w:tc>
          <w:tcPr>
            <w:tcW w:w="5236" w:type="dxa"/>
            <w:tcBorders>
              <w:top w:val="nil"/>
              <w:left w:val="single" w:sz="6" w:space="0" w:color="000000"/>
              <w:bottom w:val="nil"/>
              <w:right w:val="single" w:sz="6" w:space="0" w:color="000000"/>
            </w:tcBorders>
          </w:tcPr>
          <w:p w14:paraId="40A656F7" w14:textId="77777777" w:rsidR="000A3B2B" w:rsidRDefault="000A3B2B">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Sjenit średnioziarnisty</w:t>
            </w:r>
          </w:p>
        </w:tc>
        <w:tc>
          <w:tcPr>
            <w:tcW w:w="1544" w:type="dxa"/>
            <w:tcBorders>
              <w:top w:val="nil"/>
              <w:left w:val="single" w:sz="6" w:space="0" w:color="000000"/>
              <w:bottom w:val="nil"/>
              <w:right w:val="single" w:sz="6" w:space="0" w:color="000000"/>
            </w:tcBorders>
          </w:tcPr>
          <w:p w14:paraId="486324B6"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25,5</w:t>
            </w:r>
          </w:p>
        </w:tc>
        <w:tc>
          <w:tcPr>
            <w:tcW w:w="1726" w:type="dxa"/>
            <w:tcBorders>
              <w:top w:val="nil"/>
              <w:left w:val="single" w:sz="6" w:space="0" w:color="000000"/>
              <w:bottom w:val="nil"/>
              <w:right w:val="single" w:sz="6" w:space="0" w:color="000000"/>
            </w:tcBorders>
          </w:tcPr>
          <w:p w14:paraId="1E8431EF"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45 do 50</w:t>
            </w:r>
          </w:p>
        </w:tc>
      </w:tr>
      <w:tr w:rsidR="000A3B2B" w14:paraId="500BE713" w14:textId="77777777">
        <w:trPr>
          <w:trHeight w:val="60"/>
          <w:tblCellSpacing w:w="0" w:type="dxa"/>
        </w:trPr>
        <w:tc>
          <w:tcPr>
            <w:tcW w:w="892" w:type="dxa"/>
            <w:tcBorders>
              <w:top w:val="nil"/>
              <w:left w:val="single" w:sz="6" w:space="0" w:color="000000"/>
              <w:bottom w:val="nil"/>
              <w:right w:val="single" w:sz="6" w:space="0" w:color="000000"/>
            </w:tcBorders>
          </w:tcPr>
          <w:p w14:paraId="515B0E30" w14:textId="77777777" w:rsidR="000A3B2B" w:rsidRDefault="000A3B2B">
            <w:pPr>
              <w:autoSpaceDE w:val="0"/>
              <w:autoSpaceDN w:val="0"/>
              <w:adjustRightInd w:val="0"/>
              <w:spacing w:after="0" w:line="240" w:lineRule="auto"/>
              <w:rPr>
                <w:rFonts w:ascii="Arial" w:hAnsi="Arial" w:cs="Arial"/>
                <w:sz w:val="18"/>
                <w:szCs w:val="18"/>
                <w:lang w:val="x-none"/>
              </w:rPr>
            </w:pPr>
          </w:p>
        </w:tc>
        <w:tc>
          <w:tcPr>
            <w:tcW w:w="5236" w:type="dxa"/>
            <w:tcBorders>
              <w:top w:val="nil"/>
              <w:left w:val="single" w:sz="6" w:space="0" w:color="000000"/>
              <w:bottom w:val="nil"/>
              <w:right w:val="single" w:sz="6" w:space="0" w:color="000000"/>
            </w:tcBorders>
          </w:tcPr>
          <w:p w14:paraId="2D3C31E9" w14:textId="77777777" w:rsidR="000A3B2B" w:rsidRDefault="000A3B2B">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Gnejs twardy</w:t>
            </w:r>
          </w:p>
        </w:tc>
        <w:tc>
          <w:tcPr>
            <w:tcW w:w="1544" w:type="dxa"/>
            <w:tcBorders>
              <w:top w:val="nil"/>
              <w:left w:val="single" w:sz="6" w:space="0" w:color="000000"/>
              <w:bottom w:val="nil"/>
              <w:right w:val="single" w:sz="6" w:space="0" w:color="000000"/>
            </w:tcBorders>
          </w:tcPr>
          <w:p w14:paraId="795395C0"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26,5</w:t>
            </w:r>
          </w:p>
        </w:tc>
        <w:tc>
          <w:tcPr>
            <w:tcW w:w="1726" w:type="dxa"/>
            <w:tcBorders>
              <w:top w:val="nil"/>
              <w:left w:val="single" w:sz="6" w:space="0" w:color="000000"/>
              <w:bottom w:val="nil"/>
              <w:right w:val="single" w:sz="6" w:space="0" w:color="000000"/>
            </w:tcBorders>
          </w:tcPr>
          <w:p w14:paraId="16A4EC5A"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45 do 50</w:t>
            </w:r>
          </w:p>
        </w:tc>
      </w:tr>
      <w:tr w:rsidR="000A3B2B" w14:paraId="1EDA8DFE" w14:textId="77777777">
        <w:trPr>
          <w:trHeight w:val="60"/>
          <w:tblCellSpacing w:w="0" w:type="dxa"/>
        </w:trPr>
        <w:tc>
          <w:tcPr>
            <w:tcW w:w="892" w:type="dxa"/>
            <w:tcBorders>
              <w:top w:val="nil"/>
              <w:left w:val="single" w:sz="6" w:space="0" w:color="000000"/>
              <w:bottom w:val="nil"/>
              <w:right w:val="single" w:sz="6" w:space="0" w:color="000000"/>
            </w:tcBorders>
          </w:tcPr>
          <w:p w14:paraId="73ACAE73" w14:textId="77777777" w:rsidR="000A3B2B" w:rsidRDefault="000A3B2B">
            <w:pPr>
              <w:autoSpaceDE w:val="0"/>
              <w:autoSpaceDN w:val="0"/>
              <w:adjustRightInd w:val="0"/>
              <w:spacing w:after="0" w:line="240" w:lineRule="auto"/>
              <w:rPr>
                <w:rFonts w:ascii="Arial" w:hAnsi="Arial" w:cs="Arial"/>
                <w:sz w:val="18"/>
                <w:szCs w:val="18"/>
                <w:lang w:val="x-none"/>
              </w:rPr>
            </w:pPr>
          </w:p>
        </w:tc>
        <w:tc>
          <w:tcPr>
            <w:tcW w:w="5236" w:type="dxa"/>
            <w:tcBorders>
              <w:top w:val="nil"/>
              <w:left w:val="single" w:sz="6" w:space="0" w:color="000000"/>
              <w:bottom w:val="nil"/>
              <w:right w:val="single" w:sz="6" w:space="0" w:color="000000"/>
            </w:tcBorders>
          </w:tcPr>
          <w:p w14:paraId="42AD56DB" w14:textId="77777777" w:rsidR="000A3B2B" w:rsidRDefault="000A3B2B">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Porfir</w:t>
            </w:r>
          </w:p>
        </w:tc>
        <w:tc>
          <w:tcPr>
            <w:tcW w:w="1544" w:type="dxa"/>
            <w:tcBorders>
              <w:top w:val="nil"/>
              <w:left w:val="single" w:sz="6" w:space="0" w:color="000000"/>
              <w:bottom w:val="nil"/>
              <w:right w:val="single" w:sz="6" w:space="0" w:color="000000"/>
            </w:tcBorders>
          </w:tcPr>
          <w:p w14:paraId="0EE9EAC0"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24,5</w:t>
            </w:r>
          </w:p>
        </w:tc>
        <w:tc>
          <w:tcPr>
            <w:tcW w:w="1726" w:type="dxa"/>
            <w:tcBorders>
              <w:top w:val="nil"/>
              <w:left w:val="single" w:sz="6" w:space="0" w:color="000000"/>
              <w:bottom w:val="nil"/>
              <w:right w:val="single" w:sz="6" w:space="0" w:color="000000"/>
            </w:tcBorders>
          </w:tcPr>
          <w:p w14:paraId="3EDF7D66"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45 do 50</w:t>
            </w:r>
          </w:p>
        </w:tc>
      </w:tr>
      <w:tr w:rsidR="000A3B2B" w14:paraId="1240F564" w14:textId="77777777">
        <w:trPr>
          <w:trHeight w:val="60"/>
          <w:tblCellSpacing w:w="0" w:type="dxa"/>
        </w:trPr>
        <w:tc>
          <w:tcPr>
            <w:tcW w:w="892" w:type="dxa"/>
            <w:tcBorders>
              <w:top w:val="nil"/>
              <w:left w:val="single" w:sz="6" w:space="0" w:color="000000"/>
              <w:bottom w:val="nil"/>
              <w:right w:val="single" w:sz="6" w:space="0" w:color="000000"/>
            </w:tcBorders>
          </w:tcPr>
          <w:p w14:paraId="41861E3E" w14:textId="77777777" w:rsidR="000A3B2B" w:rsidRDefault="000A3B2B">
            <w:pPr>
              <w:autoSpaceDE w:val="0"/>
              <w:autoSpaceDN w:val="0"/>
              <w:adjustRightInd w:val="0"/>
              <w:spacing w:after="0" w:line="240" w:lineRule="auto"/>
              <w:rPr>
                <w:rFonts w:ascii="Arial" w:hAnsi="Arial" w:cs="Arial"/>
                <w:sz w:val="18"/>
                <w:szCs w:val="18"/>
                <w:lang w:val="x-none"/>
              </w:rPr>
            </w:pPr>
          </w:p>
        </w:tc>
        <w:tc>
          <w:tcPr>
            <w:tcW w:w="5236" w:type="dxa"/>
            <w:tcBorders>
              <w:top w:val="nil"/>
              <w:left w:val="single" w:sz="6" w:space="0" w:color="000000"/>
              <w:bottom w:val="nil"/>
              <w:right w:val="single" w:sz="6" w:space="0" w:color="000000"/>
            </w:tcBorders>
          </w:tcPr>
          <w:p w14:paraId="5143099D" w14:textId="77777777" w:rsidR="000A3B2B" w:rsidRDefault="000A3B2B">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Trachit, liparyt i skały pokruszone</w:t>
            </w:r>
          </w:p>
        </w:tc>
        <w:tc>
          <w:tcPr>
            <w:tcW w:w="1544" w:type="dxa"/>
            <w:tcBorders>
              <w:top w:val="nil"/>
              <w:left w:val="single" w:sz="6" w:space="0" w:color="000000"/>
              <w:bottom w:val="nil"/>
              <w:right w:val="single" w:sz="6" w:space="0" w:color="000000"/>
            </w:tcBorders>
          </w:tcPr>
          <w:p w14:paraId="13D4A4C1"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26,5</w:t>
            </w:r>
          </w:p>
        </w:tc>
        <w:tc>
          <w:tcPr>
            <w:tcW w:w="1726" w:type="dxa"/>
            <w:tcBorders>
              <w:top w:val="nil"/>
              <w:left w:val="single" w:sz="6" w:space="0" w:color="000000"/>
              <w:bottom w:val="nil"/>
              <w:right w:val="single" w:sz="6" w:space="0" w:color="000000"/>
            </w:tcBorders>
          </w:tcPr>
          <w:p w14:paraId="5FC135FC"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45 do 50</w:t>
            </w:r>
          </w:p>
        </w:tc>
      </w:tr>
      <w:tr w:rsidR="000A3B2B" w14:paraId="03A6C6F0" w14:textId="77777777">
        <w:trPr>
          <w:trHeight w:val="60"/>
          <w:tblCellSpacing w:w="0" w:type="dxa"/>
        </w:trPr>
        <w:tc>
          <w:tcPr>
            <w:tcW w:w="892" w:type="dxa"/>
            <w:tcBorders>
              <w:top w:val="nil"/>
              <w:left w:val="single" w:sz="6" w:space="0" w:color="000000"/>
              <w:bottom w:val="nil"/>
              <w:right w:val="single" w:sz="6" w:space="0" w:color="000000"/>
            </w:tcBorders>
          </w:tcPr>
          <w:p w14:paraId="6112C5EF" w14:textId="77777777" w:rsidR="000A3B2B" w:rsidRDefault="000A3B2B">
            <w:pPr>
              <w:autoSpaceDE w:val="0"/>
              <w:autoSpaceDN w:val="0"/>
              <w:adjustRightInd w:val="0"/>
              <w:spacing w:after="0" w:line="240" w:lineRule="auto"/>
              <w:rPr>
                <w:rFonts w:ascii="Arial" w:hAnsi="Arial" w:cs="Arial"/>
                <w:sz w:val="18"/>
                <w:szCs w:val="18"/>
                <w:lang w:val="x-none"/>
              </w:rPr>
            </w:pPr>
          </w:p>
        </w:tc>
        <w:tc>
          <w:tcPr>
            <w:tcW w:w="5236" w:type="dxa"/>
            <w:tcBorders>
              <w:top w:val="nil"/>
              <w:left w:val="single" w:sz="6" w:space="0" w:color="000000"/>
              <w:bottom w:val="nil"/>
              <w:right w:val="single" w:sz="6" w:space="0" w:color="000000"/>
            </w:tcBorders>
          </w:tcPr>
          <w:p w14:paraId="28403C0A" w14:textId="77777777" w:rsidR="000A3B2B" w:rsidRDefault="000A3B2B">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Granitognejs</w:t>
            </w:r>
          </w:p>
        </w:tc>
        <w:tc>
          <w:tcPr>
            <w:tcW w:w="1544" w:type="dxa"/>
            <w:tcBorders>
              <w:top w:val="nil"/>
              <w:left w:val="single" w:sz="6" w:space="0" w:color="000000"/>
              <w:bottom w:val="nil"/>
              <w:right w:val="single" w:sz="6" w:space="0" w:color="000000"/>
            </w:tcBorders>
          </w:tcPr>
          <w:p w14:paraId="434C19C8"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25,5</w:t>
            </w:r>
          </w:p>
        </w:tc>
        <w:tc>
          <w:tcPr>
            <w:tcW w:w="1726" w:type="dxa"/>
            <w:tcBorders>
              <w:top w:val="nil"/>
              <w:left w:val="single" w:sz="6" w:space="0" w:color="000000"/>
              <w:bottom w:val="nil"/>
              <w:right w:val="single" w:sz="6" w:space="0" w:color="000000"/>
            </w:tcBorders>
          </w:tcPr>
          <w:p w14:paraId="5985F8CD"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45 do 50</w:t>
            </w:r>
          </w:p>
        </w:tc>
      </w:tr>
      <w:tr w:rsidR="000A3B2B" w14:paraId="3EB7F712" w14:textId="77777777">
        <w:trPr>
          <w:trHeight w:val="60"/>
          <w:tblCellSpacing w:w="0" w:type="dxa"/>
        </w:trPr>
        <w:tc>
          <w:tcPr>
            <w:tcW w:w="892" w:type="dxa"/>
            <w:tcBorders>
              <w:top w:val="nil"/>
              <w:left w:val="single" w:sz="6" w:space="0" w:color="000000"/>
              <w:bottom w:val="nil"/>
              <w:right w:val="single" w:sz="6" w:space="0" w:color="000000"/>
            </w:tcBorders>
          </w:tcPr>
          <w:p w14:paraId="302A9F55" w14:textId="77777777" w:rsidR="000A3B2B" w:rsidRDefault="000A3B2B">
            <w:pPr>
              <w:autoSpaceDE w:val="0"/>
              <w:autoSpaceDN w:val="0"/>
              <w:adjustRightInd w:val="0"/>
              <w:spacing w:after="0" w:line="240" w:lineRule="auto"/>
              <w:rPr>
                <w:rFonts w:ascii="Arial" w:hAnsi="Arial" w:cs="Arial"/>
                <w:sz w:val="18"/>
                <w:szCs w:val="18"/>
                <w:lang w:val="x-none"/>
              </w:rPr>
            </w:pPr>
          </w:p>
        </w:tc>
        <w:tc>
          <w:tcPr>
            <w:tcW w:w="5236" w:type="dxa"/>
            <w:tcBorders>
              <w:top w:val="nil"/>
              <w:left w:val="single" w:sz="6" w:space="0" w:color="000000"/>
              <w:bottom w:val="nil"/>
              <w:right w:val="single" w:sz="6" w:space="0" w:color="000000"/>
            </w:tcBorders>
          </w:tcPr>
          <w:p w14:paraId="6E2F57EB" w14:textId="77777777" w:rsidR="000A3B2B" w:rsidRDefault="000A3B2B">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Wapień krzemienisty i rogowy bardzo twardy</w:t>
            </w:r>
          </w:p>
        </w:tc>
        <w:tc>
          <w:tcPr>
            <w:tcW w:w="1544" w:type="dxa"/>
            <w:tcBorders>
              <w:top w:val="nil"/>
              <w:left w:val="single" w:sz="6" w:space="0" w:color="000000"/>
              <w:bottom w:val="nil"/>
              <w:right w:val="single" w:sz="6" w:space="0" w:color="000000"/>
            </w:tcBorders>
            <w:vAlign w:val="center"/>
          </w:tcPr>
          <w:p w14:paraId="294CBC9F"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27,4</w:t>
            </w:r>
          </w:p>
        </w:tc>
        <w:tc>
          <w:tcPr>
            <w:tcW w:w="1726" w:type="dxa"/>
            <w:tcBorders>
              <w:top w:val="nil"/>
              <w:left w:val="single" w:sz="6" w:space="0" w:color="000000"/>
              <w:bottom w:val="nil"/>
              <w:right w:val="single" w:sz="6" w:space="0" w:color="000000"/>
            </w:tcBorders>
            <w:vAlign w:val="center"/>
          </w:tcPr>
          <w:p w14:paraId="7FECE91D"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45 do 50</w:t>
            </w:r>
          </w:p>
        </w:tc>
      </w:tr>
      <w:tr w:rsidR="000A3B2B" w14:paraId="6133150A" w14:textId="77777777">
        <w:trPr>
          <w:trHeight w:val="60"/>
          <w:tblCellSpacing w:w="0" w:type="dxa"/>
        </w:trPr>
        <w:tc>
          <w:tcPr>
            <w:tcW w:w="892" w:type="dxa"/>
            <w:tcBorders>
              <w:top w:val="nil"/>
              <w:left w:val="single" w:sz="6" w:space="0" w:color="000000"/>
              <w:bottom w:val="nil"/>
              <w:right w:val="single" w:sz="6" w:space="0" w:color="000000"/>
            </w:tcBorders>
          </w:tcPr>
          <w:p w14:paraId="328E38FE" w14:textId="77777777" w:rsidR="000A3B2B" w:rsidRDefault="000A3B2B">
            <w:pPr>
              <w:autoSpaceDE w:val="0"/>
              <w:autoSpaceDN w:val="0"/>
              <w:adjustRightInd w:val="0"/>
              <w:spacing w:after="0" w:line="240" w:lineRule="auto"/>
              <w:rPr>
                <w:rFonts w:ascii="Arial" w:hAnsi="Arial" w:cs="Arial"/>
                <w:sz w:val="18"/>
                <w:szCs w:val="18"/>
                <w:lang w:val="x-none"/>
              </w:rPr>
            </w:pPr>
          </w:p>
        </w:tc>
        <w:tc>
          <w:tcPr>
            <w:tcW w:w="5236" w:type="dxa"/>
            <w:tcBorders>
              <w:top w:val="nil"/>
              <w:left w:val="single" w:sz="6" w:space="0" w:color="000000"/>
              <w:bottom w:val="nil"/>
              <w:right w:val="single" w:sz="6" w:space="0" w:color="000000"/>
            </w:tcBorders>
          </w:tcPr>
          <w:p w14:paraId="152D3EBE" w14:textId="77777777" w:rsidR="000A3B2B" w:rsidRDefault="000A3B2B">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Andezyt, bazalt, rogowiec w ławicach</w:t>
            </w:r>
          </w:p>
        </w:tc>
        <w:tc>
          <w:tcPr>
            <w:tcW w:w="1544" w:type="dxa"/>
            <w:tcBorders>
              <w:top w:val="nil"/>
              <w:left w:val="single" w:sz="6" w:space="0" w:color="000000"/>
              <w:bottom w:val="nil"/>
              <w:right w:val="single" w:sz="6" w:space="0" w:color="000000"/>
            </w:tcBorders>
          </w:tcPr>
          <w:p w14:paraId="03CCCA08"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26,5</w:t>
            </w:r>
          </w:p>
        </w:tc>
        <w:tc>
          <w:tcPr>
            <w:tcW w:w="1726" w:type="dxa"/>
            <w:tcBorders>
              <w:top w:val="nil"/>
              <w:left w:val="single" w:sz="6" w:space="0" w:color="000000"/>
              <w:bottom w:val="nil"/>
              <w:right w:val="single" w:sz="6" w:space="0" w:color="000000"/>
            </w:tcBorders>
          </w:tcPr>
          <w:p w14:paraId="626F4190"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45 do 50</w:t>
            </w:r>
          </w:p>
        </w:tc>
      </w:tr>
      <w:tr w:rsidR="000A3B2B" w14:paraId="1450D5A7" w14:textId="77777777">
        <w:trPr>
          <w:trHeight w:val="60"/>
          <w:tblCellSpacing w:w="0" w:type="dxa"/>
        </w:trPr>
        <w:tc>
          <w:tcPr>
            <w:tcW w:w="892" w:type="dxa"/>
            <w:tcBorders>
              <w:top w:val="nil"/>
              <w:left w:val="single" w:sz="6" w:space="0" w:color="000000"/>
              <w:bottom w:val="nil"/>
              <w:right w:val="single" w:sz="6" w:space="0" w:color="000000"/>
            </w:tcBorders>
          </w:tcPr>
          <w:p w14:paraId="7FBB17C4" w14:textId="77777777" w:rsidR="000A3B2B" w:rsidRDefault="000A3B2B">
            <w:pPr>
              <w:autoSpaceDE w:val="0"/>
              <w:autoSpaceDN w:val="0"/>
              <w:adjustRightInd w:val="0"/>
              <w:spacing w:after="0" w:line="240" w:lineRule="auto"/>
              <w:rPr>
                <w:rFonts w:ascii="Arial" w:hAnsi="Arial" w:cs="Arial"/>
                <w:sz w:val="18"/>
                <w:szCs w:val="18"/>
                <w:lang w:val="x-none"/>
              </w:rPr>
            </w:pPr>
          </w:p>
        </w:tc>
        <w:tc>
          <w:tcPr>
            <w:tcW w:w="5236" w:type="dxa"/>
            <w:tcBorders>
              <w:top w:val="nil"/>
              <w:left w:val="single" w:sz="6" w:space="0" w:color="000000"/>
              <w:bottom w:val="nil"/>
              <w:right w:val="single" w:sz="6" w:space="0" w:color="000000"/>
            </w:tcBorders>
          </w:tcPr>
          <w:p w14:paraId="478BB310" w14:textId="77777777" w:rsidR="000A3B2B" w:rsidRDefault="000A3B2B">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Gabro</w:t>
            </w:r>
          </w:p>
        </w:tc>
        <w:tc>
          <w:tcPr>
            <w:tcW w:w="1544" w:type="dxa"/>
            <w:tcBorders>
              <w:top w:val="nil"/>
              <w:left w:val="single" w:sz="6" w:space="0" w:color="000000"/>
              <w:bottom w:val="nil"/>
              <w:right w:val="single" w:sz="6" w:space="0" w:color="000000"/>
            </w:tcBorders>
          </w:tcPr>
          <w:p w14:paraId="55614633"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26,5</w:t>
            </w:r>
          </w:p>
        </w:tc>
        <w:tc>
          <w:tcPr>
            <w:tcW w:w="1726" w:type="dxa"/>
            <w:tcBorders>
              <w:top w:val="nil"/>
              <w:left w:val="single" w:sz="6" w:space="0" w:color="000000"/>
              <w:bottom w:val="nil"/>
              <w:right w:val="single" w:sz="6" w:space="0" w:color="000000"/>
            </w:tcBorders>
          </w:tcPr>
          <w:p w14:paraId="0FCF071E"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45 do 50</w:t>
            </w:r>
          </w:p>
        </w:tc>
      </w:tr>
      <w:tr w:rsidR="000A3B2B" w14:paraId="1E20DE76" w14:textId="77777777">
        <w:trPr>
          <w:trHeight w:val="60"/>
          <w:tblCellSpacing w:w="0" w:type="dxa"/>
        </w:trPr>
        <w:tc>
          <w:tcPr>
            <w:tcW w:w="892" w:type="dxa"/>
            <w:tcBorders>
              <w:top w:val="nil"/>
              <w:left w:val="single" w:sz="6" w:space="0" w:color="000000"/>
              <w:bottom w:val="nil"/>
              <w:right w:val="single" w:sz="6" w:space="0" w:color="000000"/>
            </w:tcBorders>
          </w:tcPr>
          <w:p w14:paraId="7C2133A4" w14:textId="77777777" w:rsidR="000A3B2B" w:rsidRDefault="000A3B2B">
            <w:pPr>
              <w:autoSpaceDE w:val="0"/>
              <w:autoSpaceDN w:val="0"/>
              <w:adjustRightInd w:val="0"/>
              <w:spacing w:after="0" w:line="240" w:lineRule="auto"/>
              <w:rPr>
                <w:rFonts w:ascii="Arial" w:hAnsi="Arial" w:cs="Arial"/>
                <w:sz w:val="18"/>
                <w:szCs w:val="18"/>
                <w:lang w:val="x-none"/>
              </w:rPr>
            </w:pPr>
          </w:p>
        </w:tc>
        <w:tc>
          <w:tcPr>
            <w:tcW w:w="5236" w:type="dxa"/>
            <w:tcBorders>
              <w:top w:val="nil"/>
              <w:left w:val="single" w:sz="6" w:space="0" w:color="000000"/>
              <w:bottom w:val="nil"/>
              <w:right w:val="single" w:sz="6" w:space="0" w:color="000000"/>
            </w:tcBorders>
          </w:tcPr>
          <w:p w14:paraId="20C721D3" w14:textId="77777777" w:rsidR="000A3B2B" w:rsidRDefault="000A3B2B">
            <w:pPr>
              <w:autoSpaceDE w:val="0"/>
              <w:autoSpaceDN w:val="0"/>
              <w:adjustRightInd w:val="0"/>
              <w:spacing w:after="0" w:line="240" w:lineRule="auto"/>
              <w:rPr>
                <w:rFonts w:ascii="Arial" w:hAnsi="Arial" w:cs="Arial"/>
                <w:color w:val="000000"/>
                <w:sz w:val="18"/>
                <w:szCs w:val="18"/>
                <w:lang w:val="x-none"/>
              </w:rPr>
            </w:pPr>
            <w:proofErr w:type="spellStart"/>
            <w:r>
              <w:rPr>
                <w:rFonts w:ascii="Arial" w:hAnsi="Arial" w:cs="Arial"/>
                <w:color w:val="000000"/>
                <w:sz w:val="18"/>
                <w:szCs w:val="18"/>
                <w:lang w:val="x-none"/>
              </w:rPr>
              <w:t>Gabrodiabaz</w:t>
            </w:r>
            <w:proofErr w:type="spellEnd"/>
            <w:r>
              <w:rPr>
                <w:rFonts w:ascii="Arial" w:hAnsi="Arial" w:cs="Arial"/>
                <w:color w:val="000000"/>
                <w:sz w:val="18"/>
                <w:szCs w:val="18"/>
                <w:lang w:val="x-none"/>
              </w:rPr>
              <w:t xml:space="preserve"> i kwarcyt</w:t>
            </w:r>
          </w:p>
        </w:tc>
        <w:tc>
          <w:tcPr>
            <w:tcW w:w="1544" w:type="dxa"/>
            <w:tcBorders>
              <w:top w:val="nil"/>
              <w:left w:val="single" w:sz="6" w:space="0" w:color="000000"/>
              <w:bottom w:val="nil"/>
              <w:right w:val="single" w:sz="6" w:space="0" w:color="000000"/>
            </w:tcBorders>
          </w:tcPr>
          <w:p w14:paraId="12697040"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27,4</w:t>
            </w:r>
          </w:p>
        </w:tc>
        <w:tc>
          <w:tcPr>
            <w:tcW w:w="1726" w:type="dxa"/>
            <w:tcBorders>
              <w:top w:val="nil"/>
              <w:left w:val="single" w:sz="6" w:space="0" w:color="000000"/>
              <w:bottom w:val="nil"/>
              <w:right w:val="single" w:sz="6" w:space="0" w:color="000000"/>
            </w:tcBorders>
          </w:tcPr>
          <w:p w14:paraId="7203FD7F"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45 do 50</w:t>
            </w:r>
          </w:p>
        </w:tc>
      </w:tr>
      <w:tr w:rsidR="000A3B2B" w14:paraId="3DE60635" w14:textId="77777777">
        <w:trPr>
          <w:trHeight w:val="465"/>
          <w:tblCellSpacing w:w="0" w:type="dxa"/>
        </w:trPr>
        <w:tc>
          <w:tcPr>
            <w:tcW w:w="892" w:type="dxa"/>
            <w:tcBorders>
              <w:top w:val="nil"/>
              <w:left w:val="single" w:sz="6" w:space="0" w:color="000000"/>
              <w:bottom w:val="single" w:sz="6" w:space="0" w:color="000000"/>
              <w:right w:val="single" w:sz="6" w:space="0" w:color="000000"/>
            </w:tcBorders>
          </w:tcPr>
          <w:p w14:paraId="6E0308F1" w14:textId="77777777" w:rsidR="000A3B2B" w:rsidRDefault="000A3B2B">
            <w:pPr>
              <w:autoSpaceDE w:val="0"/>
              <w:autoSpaceDN w:val="0"/>
              <w:adjustRightInd w:val="0"/>
              <w:spacing w:after="0" w:line="240" w:lineRule="auto"/>
              <w:rPr>
                <w:rFonts w:ascii="Arial" w:hAnsi="Arial" w:cs="Arial"/>
                <w:sz w:val="18"/>
                <w:szCs w:val="18"/>
                <w:lang w:val="x-none"/>
              </w:rPr>
            </w:pPr>
          </w:p>
        </w:tc>
        <w:tc>
          <w:tcPr>
            <w:tcW w:w="5236" w:type="dxa"/>
            <w:tcBorders>
              <w:top w:val="nil"/>
              <w:left w:val="single" w:sz="6" w:space="0" w:color="000000"/>
              <w:bottom w:val="single" w:sz="6" w:space="0" w:color="000000"/>
              <w:right w:val="single" w:sz="6" w:space="0" w:color="000000"/>
            </w:tcBorders>
          </w:tcPr>
          <w:p w14:paraId="057AE89C" w14:textId="77777777" w:rsidR="000A3B2B" w:rsidRDefault="000A3B2B">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Bazalt</w:t>
            </w:r>
          </w:p>
        </w:tc>
        <w:tc>
          <w:tcPr>
            <w:tcW w:w="1544" w:type="dxa"/>
            <w:tcBorders>
              <w:top w:val="nil"/>
              <w:left w:val="single" w:sz="6" w:space="0" w:color="000000"/>
              <w:bottom w:val="single" w:sz="6" w:space="0" w:color="000000"/>
              <w:right w:val="single" w:sz="6" w:space="0" w:color="000000"/>
            </w:tcBorders>
          </w:tcPr>
          <w:p w14:paraId="573A613E"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25,5</w:t>
            </w:r>
          </w:p>
          <w:p w14:paraId="75B166AE"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27,4</w:t>
            </w:r>
          </w:p>
        </w:tc>
        <w:tc>
          <w:tcPr>
            <w:tcW w:w="1726" w:type="dxa"/>
            <w:tcBorders>
              <w:top w:val="nil"/>
              <w:left w:val="single" w:sz="6" w:space="0" w:color="000000"/>
              <w:bottom w:val="single" w:sz="6" w:space="0" w:color="000000"/>
              <w:right w:val="single" w:sz="6" w:space="0" w:color="000000"/>
            </w:tcBorders>
          </w:tcPr>
          <w:p w14:paraId="31BD1547"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45 do 50</w:t>
            </w:r>
          </w:p>
        </w:tc>
      </w:tr>
    </w:tbl>
    <w:p w14:paraId="3C88E8AF" w14:textId="77777777" w:rsidR="000A3B2B" w:rsidRDefault="000A3B2B" w:rsidP="000E4A55">
      <w:pPr>
        <w:autoSpaceDE w:val="0"/>
        <w:autoSpaceDN w:val="0"/>
        <w:adjustRightInd w:val="0"/>
        <w:spacing w:before="60" w:after="30" w:line="240" w:lineRule="auto"/>
        <w:ind w:left="165" w:hanging="165"/>
        <w:jc w:val="both"/>
        <w:rPr>
          <w:rFonts w:ascii="Arial" w:hAnsi="Arial" w:cs="Arial"/>
          <w:color w:val="000000"/>
          <w:sz w:val="16"/>
          <w:szCs w:val="16"/>
          <w:lang w:val="x-none"/>
        </w:rPr>
      </w:pPr>
      <w:r>
        <w:rPr>
          <w:rFonts w:ascii="Arial" w:hAnsi="Arial" w:cs="Arial"/>
          <w:color w:val="000000"/>
          <w:position w:val="4"/>
          <w:sz w:val="8"/>
          <w:szCs w:val="8"/>
          <w:lang w:val="x-none"/>
        </w:rPr>
        <w:t>1)</w:t>
      </w:r>
      <w:r>
        <w:rPr>
          <w:rFonts w:ascii="Arial" w:hAnsi="Arial" w:cs="Arial"/>
          <w:color w:val="000000"/>
          <w:sz w:val="16"/>
          <w:szCs w:val="16"/>
          <w:lang w:val="x-none"/>
        </w:rPr>
        <w:t xml:space="preserve"> Mniejsze wartości stosować przy obliczaniu ilości materiałów na warstwy nasypów przed ich zagęszczeniem, większe wartości przy obliczaniu objętości i ilości środków przewozowych.</w:t>
      </w:r>
    </w:p>
    <w:p w14:paraId="6B535BB6" w14:textId="77777777" w:rsidR="000A3B2B" w:rsidRDefault="000A3B2B" w:rsidP="000E4A55">
      <w:pPr>
        <w:autoSpaceDE w:val="0"/>
        <w:autoSpaceDN w:val="0"/>
        <w:adjustRightInd w:val="0"/>
        <w:spacing w:after="30" w:line="240" w:lineRule="auto"/>
        <w:jc w:val="right"/>
        <w:rPr>
          <w:rFonts w:ascii="Arial" w:hAnsi="Arial" w:cs="Arial"/>
          <w:i/>
          <w:iCs/>
          <w:color w:val="000000"/>
          <w:sz w:val="18"/>
          <w:szCs w:val="18"/>
          <w:lang w:val="x-none"/>
        </w:rPr>
      </w:pPr>
    </w:p>
    <w:p w14:paraId="77F242A9" w14:textId="77777777" w:rsidR="000A3B2B" w:rsidRDefault="000A3B2B" w:rsidP="000E4A55">
      <w:pPr>
        <w:autoSpaceDE w:val="0"/>
        <w:autoSpaceDN w:val="0"/>
        <w:adjustRightInd w:val="0"/>
        <w:spacing w:after="30" w:line="240" w:lineRule="auto"/>
        <w:jc w:val="right"/>
        <w:rPr>
          <w:rFonts w:ascii="Arial" w:hAnsi="Arial" w:cs="Arial"/>
          <w:i/>
          <w:iCs/>
          <w:color w:val="000000"/>
          <w:sz w:val="18"/>
          <w:szCs w:val="18"/>
          <w:lang w:val="x-none"/>
        </w:rPr>
      </w:pPr>
      <w:r>
        <w:rPr>
          <w:rFonts w:ascii="Arial" w:hAnsi="Arial" w:cs="Arial"/>
          <w:i/>
          <w:iCs/>
          <w:color w:val="000000"/>
          <w:sz w:val="18"/>
          <w:szCs w:val="18"/>
          <w:lang w:val="x-none"/>
        </w:rPr>
        <w:t>Załącznik 2</w:t>
      </w:r>
    </w:p>
    <w:p w14:paraId="23F43CD1" w14:textId="77777777" w:rsidR="000A3B2B" w:rsidRDefault="000A3B2B" w:rsidP="000E4A55">
      <w:pPr>
        <w:autoSpaceDE w:val="0"/>
        <w:autoSpaceDN w:val="0"/>
        <w:adjustRightInd w:val="0"/>
        <w:spacing w:after="30" w:line="240" w:lineRule="auto"/>
        <w:jc w:val="both"/>
        <w:rPr>
          <w:rFonts w:ascii="Arial" w:hAnsi="Arial" w:cs="Arial"/>
          <w:b/>
          <w:bCs/>
          <w:color w:val="000000"/>
          <w:sz w:val="18"/>
          <w:szCs w:val="18"/>
          <w:lang w:val="x-none"/>
        </w:rPr>
      </w:pPr>
      <w:r>
        <w:rPr>
          <w:rFonts w:ascii="Arial" w:hAnsi="Arial" w:cs="Arial"/>
          <w:b/>
          <w:bCs/>
          <w:color w:val="000000"/>
          <w:sz w:val="18"/>
          <w:szCs w:val="18"/>
          <w:lang w:val="x-none"/>
        </w:rPr>
        <w:t xml:space="preserve">Tablica 2. Podział gruntów pod względem </w:t>
      </w:r>
      <w:proofErr w:type="spellStart"/>
      <w:r>
        <w:rPr>
          <w:rFonts w:ascii="Arial" w:hAnsi="Arial" w:cs="Arial"/>
          <w:b/>
          <w:bCs/>
          <w:color w:val="000000"/>
          <w:sz w:val="18"/>
          <w:szCs w:val="18"/>
          <w:lang w:val="x-none"/>
        </w:rPr>
        <w:t>wysadzinowości</w:t>
      </w:r>
      <w:proofErr w:type="spellEnd"/>
      <w:r>
        <w:rPr>
          <w:rFonts w:ascii="Arial" w:hAnsi="Arial" w:cs="Arial"/>
          <w:b/>
          <w:bCs/>
          <w:color w:val="000000"/>
          <w:sz w:val="18"/>
          <w:szCs w:val="18"/>
          <w:lang w:val="x-none"/>
        </w:rPr>
        <w:t xml:space="preserve"> wg PN-S-02205</w:t>
      </w:r>
    </w:p>
    <w:tbl>
      <w:tblPr>
        <w:tblW w:w="0" w:type="auto"/>
        <w:tblCellSpacing w:w="0" w:type="dxa"/>
        <w:tblInd w:w="-8" w:type="dxa"/>
        <w:tblLayout w:type="fixed"/>
        <w:tblCellMar>
          <w:left w:w="0" w:type="dxa"/>
          <w:right w:w="0" w:type="dxa"/>
        </w:tblCellMar>
        <w:tblLook w:val="0000" w:firstRow="0" w:lastRow="0" w:firstColumn="0" w:lastColumn="0" w:noHBand="0" w:noVBand="0"/>
      </w:tblPr>
      <w:tblGrid>
        <w:gridCol w:w="442"/>
        <w:gridCol w:w="1906"/>
        <w:gridCol w:w="584"/>
        <w:gridCol w:w="2220"/>
        <w:gridCol w:w="2176"/>
        <w:gridCol w:w="2174"/>
      </w:tblGrid>
      <w:tr w:rsidR="000A3B2B" w14:paraId="303547C2" w14:textId="77777777">
        <w:trPr>
          <w:trHeight w:val="60"/>
          <w:tblCellSpacing w:w="0" w:type="dxa"/>
        </w:trPr>
        <w:tc>
          <w:tcPr>
            <w:tcW w:w="442" w:type="dxa"/>
            <w:vMerge w:val="restart"/>
            <w:tcBorders>
              <w:top w:val="single" w:sz="6" w:space="0" w:color="000000"/>
              <w:left w:val="single" w:sz="6" w:space="0" w:color="000000"/>
              <w:bottom w:val="single" w:sz="6" w:space="0" w:color="000000"/>
              <w:right w:val="single" w:sz="6" w:space="0" w:color="000000"/>
            </w:tcBorders>
            <w:shd w:val="clear" w:color="auto" w:fill="CBCBCB"/>
            <w:vAlign w:val="center"/>
          </w:tcPr>
          <w:p w14:paraId="6BCDD54C"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Lp.</w:t>
            </w:r>
          </w:p>
        </w:tc>
        <w:tc>
          <w:tcPr>
            <w:tcW w:w="1906" w:type="dxa"/>
            <w:vMerge w:val="restart"/>
            <w:tcBorders>
              <w:top w:val="single" w:sz="6" w:space="0" w:color="000000"/>
              <w:left w:val="single" w:sz="6" w:space="0" w:color="000000"/>
              <w:bottom w:val="single" w:sz="6" w:space="0" w:color="000000"/>
              <w:right w:val="single" w:sz="6" w:space="0" w:color="000000"/>
            </w:tcBorders>
            <w:shd w:val="clear" w:color="auto" w:fill="CBCBCB"/>
            <w:vAlign w:val="center"/>
          </w:tcPr>
          <w:p w14:paraId="527CA75D"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Wyszczególnienie właściwości</w:t>
            </w:r>
          </w:p>
        </w:tc>
        <w:tc>
          <w:tcPr>
            <w:tcW w:w="584" w:type="dxa"/>
            <w:vMerge w:val="restart"/>
            <w:tcBorders>
              <w:top w:val="single" w:sz="6" w:space="0" w:color="000000"/>
              <w:left w:val="single" w:sz="6" w:space="0" w:color="000000"/>
              <w:bottom w:val="single" w:sz="6" w:space="0" w:color="000000"/>
              <w:right w:val="single" w:sz="6" w:space="0" w:color="000000"/>
            </w:tcBorders>
            <w:shd w:val="clear" w:color="auto" w:fill="CBCBCB"/>
            <w:vAlign w:val="center"/>
          </w:tcPr>
          <w:p w14:paraId="132D8436"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Jednostki</w:t>
            </w:r>
          </w:p>
        </w:tc>
        <w:tc>
          <w:tcPr>
            <w:tcW w:w="6570" w:type="dxa"/>
            <w:gridSpan w:val="3"/>
            <w:tcBorders>
              <w:top w:val="single" w:sz="6" w:space="0" w:color="000000"/>
              <w:left w:val="single" w:sz="6" w:space="0" w:color="000000"/>
              <w:bottom w:val="single" w:sz="6" w:space="0" w:color="000000"/>
              <w:right w:val="single" w:sz="6" w:space="0" w:color="000000"/>
            </w:tcBorders>
            <w:shd w:val="clear" w:color="auto" w:fill="CBCBCB"/>
            <w:vAlign w:val="center"/>
          </w:tcPr>
          <w:p w14:paraId="5435D4E5"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Grupy gruntów</w:t>
            </w:r>
          </w:p>
        </w:tc>
      </w:tr>
      <w:tr w:rsidR="000A3B2B" w14:paraId="460569B0" w14:textId="77777777">
        <w:trPr>
          <w:trHeight w:val="60"/>
          <w:tblCellSpacing w:w="0" w:type="dxa"/>
        </w:trPr>
        <w:tc>
          <w:tcPr>
            <w:tcW w:w="442" w:type="dxa"/>
            <w:vMerge/>
            <w:tcBorders>
              <w:top w:val="single" w:sz="6" w:space="0" w:color="000000"/>
              <w:left w:val="single" w:sz="6" w:space="0" w:color="000000"/>
              <w:bottom w:val="single" w:sz="6" w:space="0" w:color="000000"/>
              <w:right w:val="single" w:sz="6" w:space="0" w:color="000000"/>
            </w:tcBorders>
            <w:shd w:val="clear" w:color="auto" w:fill="CBCBCB"/>
            <w:vAlign w:val="center"/>
          </w:tcPr>
          <w:p w14:paraId="070EACE8" w14:textId="77777777" w:rsidR="000A3B2B" w:rsidRDefault="000A3B2B">
            <w:pPr>
              <w:autoSpaceDE w:val="0"/>
              <w:autoSpaceDN w:val="0"/>
              <w:adjustRightInd w:val="0"/>
              <w:spacing w:after="0" w:line="240" w:lineRule="auto"/>
              <w:rPr>
                <w:rFonts w:ascii="Arial" w:hAnsi="Arial" w:cs="Arial"/>
                <w:b/>
                <w:bCs/>
                <w:color w:val="000000"/>
                <w:sz w:val="18"/>
                <w:szCs w:val="18"/>
                <w:lang w:val="x-none"/>
              </w:rPr>
            </w:pPr>
          </w:p>
        </w:tc>
        <w:tc>
          <w:tcPr>
            <w:tcW w:w="1906" w:type="dxa"/>
            <w:vMerge/>
            <w:tcBorders>
              <w:top w:val="single" w:sz="6" w:space="0" w:color="000000"/>
              <w:left w:val="single" w:sz="6" w:space="0" w:color="000000"/>
              <w:bottom w:val="single" w:sz="6" w:space="0" w:color="000000"/>
              <w:right w:val="single" w:sz="6" w:space="0" w:color="000000"/>
            </w:tcBorders>
            <w:shd w:val="clear" w:color="auto" w:fill="CBCBCB"/>
            <w:vAlign w:val="center"/>
          </w:tcPr>
          <w:p w14:paraId="590BE213" w14:textId="77777777" w:rsidR="000A3B2B" w:rsidRDefault="000A3B2B">
            <w:pPr>
              <w:autoSpaceDE w:val="0"/>
              <w:autoSpaceDN w:val="0"/>
              <w:adjustRightInd w:val="0"/>
              <w:spacing w:after="0" w:line="240" w:lineRule="auto"/>
              <w:rPr>
                <w:rFonts w:ascii="Arial" w:hAnsi="Arial" w:cs="Arial"/>
                <w:b/>
                <w:bCs/>
                <w:color w:val="000000"/>
                <w:sz w:val="18"/>
                <w:szCs w:val="18"/>
                <w:lang w:val="x-none"/>
              </w:rPr>
            </w:pPr>
          </w:p>
        </w:tc>
        <w:tc>
          <w:tcPr>
            <w:tcW w:w="584" w:type="dxa"/>
            <w:vMerge/>
            <w:tcBorders>
              <w:top w:val="single" w:sz="6" w:space="0" w:color="000000"/>
              <w:left w:val="single" w:sz="6" w:space="0" w:color="000000"/>
              <w:bottom w:val="single" w:sz="6" w:space="0" w:color="000000"/>
              <w:right w:val="single" w:sz="6" w:space="0" w:color="000000"/>
            </w:tcBorders>
            <w:shd w:val="clear" w:color="auto" w:fill="CBCBCB"/>
            <w:vAlign w:val="center"/>
          </w:tcPr>
          <w:p w14:paraId="37ECC9AC" w14:textId="77777777" w:rsidR="000A3B2B" w:rsidRDefault="000A3B2B">
            <w:pPr>
              <w:autoSpaceDE w:val="0"/>
              <w:autoSpaceDN w:val="0"/>
              <w:adjustRightInd w:val="0"/>
              <w:spacing w:after="0" w:line="240" w:lineRule="auto"/>
              <w:rPr>
                <w:rFonts w:ascii="Arial" w:hAnsi="Arial" w:cs="Arial"/>
                <w:b/>
                <w:bCs/>
                <w:color w:val="000000"/>
                <w:sz w:val="18"/>
                <w:szCs w:val="18"/>
                <w:lang w:val="x-none"/>
              </w:rPr>
            </w:pPr>
          </w:p>
        </w:tc>
        <w:tc>
          <w:tcPr>
            <w:tcW w:w="2220" w:type="dxa"/>
            <w:tcBorders>
              <w:top w:val="single" w:sz="6" w:space="0" w:color="000000"/>
              <w:left w:val="single" w:sz="6" w:space="0" w:color="000000"/>
              <w:bottom w:val="single" w:sz="6" w:space="0" w:color="000000"/>
              <w:right w:val="single" w:sz="6" w:space="0" w:color="000000"/>
            </w:tcBorders>
            <w:shd w:val="clear" w:color="auto" w:fill="CBCBCB"/>
            <w:vAlign w:val="center"/>
          </w:tcPr>
          <w:p w14:paraId="12018C00"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proofErr w:type="spellStart"/>
            <w:r>
              <w:rPr>
                <w:rFonts w:ascii="Arial" w:hAnsi="Arial" w:cs="Arial"/>
                <w:color w:val="000000"/>
                <w:sz w:val="18"/>
                <w:szCs w:val="18"/>
                <w:lang w:val="x-none"/>
              </w:rPr>
              <w:t>niewysadzinowe</w:t>
            </w:r>
            <w:proofErr w:type="spellEnd"/>
          </w:p>
        </w:tc>
        <w:tc>
          <w:tcPr>
            <w:tcW w:w="2176" w:type="dxa"/>
            <w:tcBorders>
              <w:top w:val="single" w:sz="6" w:space="0" w:color="000000"/>
              <w:left w:val="single" w:sz="6" w:space="0" w:color="000000"/>
              <w:bottom w:val="single" w:sz="6" w:space="0" w:color="000000"/>
              <w:right w:val="single" w:sz="6" w:space="0" w:color="000000"/>
            </w:tcBorders>
            <w:shd w:val="clear" w:color="auto" w:fill="CBCBCB"/>
            <w:vAlign w:val="center"/>
          </w:tcPr>
          <w:p w14:paraId="60649E89"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wątpliwe</w:t>
            </w:r>
          </w:p>
        </w:tc>
        <w:tc>
          <w:tcPr>
            <w:tcW w:w="2174" w:type="dxa"/>
            <w:tcBorders>
              <w:top w:val="single" w:sz="6" w:space="0" w:color="000000"/>
              <w:left w:val="single" w:sz="6" w:space="0" w:color="000000"/>
              <w:bottom w:val="single" w:sz="6" w:space="0" w:color="000000"/>
              <w:right w:val="single" w:sz="6" w:space="0" w:color="000000"/>
            </w:tcBorders>
            <w:shd w:val="clear" w:color="auto" w:fill="CBCBCB"/>
            <w:vAlign w:val="center"/>
          </w:tcPr>
          <w:p w14:paraId="0F22D300"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proofErr w:type="spellStart"/>
            <w:r>
              <w:rPr>
                <w:rFonts w:ascii="Arial" w:hAnsi="Arial" w:cs="Arial"/>
                <w:color w:val="000000"/>
                <w:sz w:val="18"/>
                <w:szCs w:val="18"/>
                <w:lang w:val="x-none"/>
              </w:rPr>
              <w:t>wysadzinowe</w:t>
            </w:r>
            <w:proofErr w:type="spellEnd"/>
          </w:p>
        </w:tc>
      </w:tr>
      <w:tr w:rsidR="000A3B2B" w14:paraId="1BB64E26" w14:textId="77777777">
        <w:trPr>
          <w:trHeight w:val="60"/>
          <w:tblCellSpacing w:w="0" w:type="dxa"/>
        </w:trPr>
        <w:tc>
          <w:tcPr>
            <w:tcW w:w="442" w:type="dxa"/>
            <w:tcBorders>
              <w:top w:val="single" w:sz="6" w:space="0" w:color="000000"/>
              <w:left w:val="single" w:sz="6" w:space="0" w:color="000000"/>
              <w:bottom w:val="single" w:sz="6" w:space="0" w:color="000000"/>
              <w:right w:val="single" w:sz="6" w:space="0" w:color="000000"/>
            </w:tcBorders>
          </w:tcPr>
          <w:p w14:paraId="58B451BD"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1.</w:t>
            </w:r>
          </w:p>
        </w:tc>
        <w:tc>
          <w:tcPr>
            <w:tcW w:w="1906" w:type="dxa"/>
            <w:tcBorders>
              <w:top w:val="single" w:sz="6" w:space="0" w:color="000000"/>
              <w:left w:val="single" w:sz="6" w:space="0" w:color="000000"/>
              <w:bottom w:val="single" w:sz="6" w:space="0" w:color="000000"/>
              <w:right w:val="single" w:sz="6" w:space="0" w:color="000000"/>
            </w:tcBorders>
          </w:tcPr>
          <w:p w14:paraId="18B0A078" w14:textId="77777777" w:rsidR="000A3B2B" w:rsidRDefault="000A3B2B">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Rodzaj gruntu</w:t>
            </w:r>
          </w:p>
        </w:tc>
        <w:tc>
          <w:tcPr>
            <w:tcW w:w="584" w:type="dxa"/>
            <w:tcBorders>
              <w:top w:val="single" w:sz="6" w:space="0" w:color="000000"/>
              <w:left w:val="single" w:sz="6" w:space="0" w:color="000000"/>
              <w:bottom w:val="single" w:sz="6" w:space="0" w:color="000000"/>
              <w:right w:val="single" w:sz="6" w:space="0" w:color="000000"/>
            </w:tcBorders>
          </w:tcPr>
          <w:p w14:paraId="4B08E925"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2220" w:type="dxa"/>
            <w:tcBorders>
              <w:top w:val="single" w:sz="6" w:space="0" w:color="000000"/>
              <w:left w:val="single" w:sz="6" w:space="0" w:color="000000"/>
              <w:bottom w:val="single" w:sz="6" w:space="0" w:color="000000"/>
              <w:right w:val="single" w:sz="6" w:space="0" w:color="000000"/>
            </w:tcBorders>
          </w:tcPr>
          <w:p w14:paraId="2FE50A35" w14:textId="77777777" w:rsidR="000A3B2B" w:rsidRDefault="000A3B2B">
            <w:pPr>
              <w:autoSpaceDE w:val="0"/>
              <w:autoSpaceDN w:val="0"/>
              <w:adjustRightInd w:val="0"/>
              <w:spacing w:after="0" w:line="240" w:lineRule="auto"/>
              <w:ind w:left="165" w:hanging="165"/>
              <w:rPr>
                <w:rFonts w:ascii="Arial" w:hAnsi="Arial" w:cs="Arial"/>
                <w:color w:val="000000"/>
                <w:sz w:val="18"/>
                <w:szCs w:val="18"/>
                <w:lang w:val="x-none"/>
              </w:rPr>
            </w:pPr>
            <w:r>
              <w:rPr>
                <w:rFonts w:ascii="Arial" w:hAnsi="Arial" w:cs="Arial"/>
                <w:color w:val="000000"/>
                <w:sz w:val="18"/>
                <w:szCs w:val="18"/>
                <w:lang w:val="x-none"/>
              </w:rPr>
              <w:t>– rumosz niegliniasty</w:t>
            </w:r>
          </w:p>
          <w:p w14:paraId="00C55DF6" w14:textId="77777777" w:rsidR="000A3B2B" w:rsidRDefault="000A3B2B">
            <w:pPr>
              <w:autoSpaceDE w:val="0"/>
              <w:autoSpaceDN w:val="0"/>
              <w:adjustRightInd w:val="0"/>
              <w:spacing w:after="0" w:line="240" w:lineRule="auto"/>
              <w:ind w:left="165" w:hanging="165"/>
              <w:rPr>
                <w:rFonts w:ascii="Arial" w:hAnsi="Arial" w:cs="Arial"/>
                <w:color w:val="000000"/>
                <w:sz w:val="18"/>
                <w:szCs w:val="18"/>
                <w:lang w:val="x-none"/>
              </w:rPr>
            </w:pPr>
            <w:r>
              <w:rPr>
                <w:rFonts w:ascii="Arial" w:hAnsi="Arial" w:cs="Arial"/>
                <w:color w:val="000000"/>
                <w:sz w:val="18"/>
                <w:szCs w:val="18"/>
                <w:lang w:val="x-none"/>
              </w:rPr>
              <w:t>– żwir</w:t>
            </w:r>
          </w:p>
          <w:p w14:paraId="2EB25D84" w14:textId="77777777" w:rsidR="000A3B2B" w:rsidRDefault="000A3B2B">
            <w:pPr>
              <w:autoSpaceDE w:val="0"/>
              <w:autoSpaceDN w:val="0"/>
              <w:adjustRightInd w:val="0"/>
              <w:spacing w:after="0" w:line="240" w:lineRule="auto"/>
              <w:ind w:left="165" w:hanging="165"/>
              <w:rPr>
                <w:rFonts w:ascii="Arial" w:hAnsi="Arial" w:cs="Arial"/>
                <w:color w:val="000000"/>
                <w:sz w:val="18"/>
                <w:szCs w:val="18"/>
                <w:lang w:val="x-none"/>
              </w:rPr>
            </w:pPr>
            <w:r>
              <w:rPr>
                <w:rFonts w:ascii="Arial" w:hAnsi="Arial" w:cs="Arial"/>
                <w:color w:val="000000"/>
                <w:sz w:val="18"/>
                <w:szCs w:val="18"/>
                <w:lang w:val="x-none"/>
              </w:rPr>
              <w:t>– pospółka</w:t>
            </w:r>
          </w:p>
          <w:p w14:paraId="0BBA5ECF" w14:textId="77777777" w:rsidR="000A3B2B" w:rsidRDefault="000A3B2B">
            <w:pPr>
              <w:autoSpaceDE w:val="0"/>
              <w:autoSpaceDN w:val="0"/>
              <w:adjustRightInd w:val="0"/>
              <w:spacing w:after="0" w:line="240" w:lineRule="auto"/>
              <w:ind w:left="165" w:hanging="165"/>
              <w:rPr>
                <w:rFonts w:ascii="Arial" w:hAnsi="Arial" w:cs="Arial"/>
                <w:color w:val="000000"/>
                <w:sz w:val="18"/>
                <w:szCs w:val="18"/>
                <w:lang w:val="x-none"/>
              </w:rPr>
            </w:pPr>
            <w:r>
              <w:rPr>
                <w:rFonts w:ascii="Arial" w:hAnsi="Arial" w:cs="Arial"/>
                <w:color w:val="000000"/>
                <w:sz w:val="18"/>
                <w:szCs w:val="18"/>
                <w:lang w:val="x-none"/>
              </w:rPr>
              <w:t>– piasek gruby</w:t>
            </w:r>
          </w:p>
          <w:p w14:paraId="07D3DF9E" w14:textId="77777777" w:rsidR="000A3B2B" w:rsidRDefault="000A3B2B">
            <w:pPr>
              <w:autoSpaceDE w:val="0"/>
              <w:autoSpaceDN w:val="0"/>
              <w:adjustRightInd w:val="0"/>
              <w:spacing w:after="0" w:line="240" w:lineRule="auto"/>
              <w:ind w:left="165" w:hanging="165"/>
              <w:rPr>
                <w:rFonts w:ascii="Arial" w:hAnsi="Arial" w:cs="Arial"/>
                <w:color w:val="000000"/>
                <w:sz w:val="18"/>
                <w:szCs w:val="18"/>
                <w:lang w:val="x-none"/>
              </w:rPr>
            </w:pPr>
            <w:r>
              <w:rPr>
                <w:rFonts w:ascii="Arial" w:hAnsi="Arial" w:cs="Arial"/>
                <w:color w:val="000000"/>
                <w:sz w:val="18"/>
                <w:szCs w:val="18"/>
                <w:lang w:val="x-none"/>
              </w:rPr>
              <w:t>– piasek średni</w:t>
            </w:r>
          </w:p>
          <w:p w14:paraId="663652E7" w14:textId="77777777" w:rsidR="000A3B2B" w:rsidRDefault="000A3B2B">
            <w:pPr>
              <w:autoSpaceDE w:val="0"/>
              <w:autoSpaceDN w:val="0"/>
              <w:adjustRightInd w:val="0"/>
              <w:spacing w:after="0" w:line="240" w:lineRule="auto"/>
              <w:ind w:left="165" w:hanging="165"/>
              <w:rPr>
                <w:rFonts w:ascii="Arial" w:hAnsi="Arial" w:cs="Arial"/>
                <w:color w:val="000000"/>
                <w:sz w:val="18"/>
                <w:szCs w:val="18"/>
                <w:lang w:val="x-none"/>
              </w:rPr>
            </w:pPr>
            <w:r>
              <w:rPr>
                <w:rFonts w:ascii="Arial" w:hAnsi="Arial" w:cs="Arial"/>
                <w:color w:val="000000"/>
                <w:sz w:val="18"/>
                <w:szCs w:val="18"/>
                <w:lang w:val="x-none"/>
              </w:rPr>
              <w:t>– piasek drobny</w:t>
            </w:r>
          </w:p>
          <w:p w14:paraId="4D174757" w14:textId="77777777" w:rsidR="000A3B2B" w:rsidRDefault="000A3B2B">
            <w:pPr>
              <w:autoSpaceDE w:val="0"/>
              <w:autoSpaceDN w:val="0"/>
              <w:adjustRightInd w:val="0"/>
              <w:spacing w:after="0" w:line="240" w:lineRule="auto"/>
              <w:ind w:left="165" w:hanging="165"/>
              <w:rPr>
                <w:rFonts w:ascii="Arial" w:hAnsi="Arial" w:cs="Arial"/>
                <w:color w:val="000000"/>
                <w:sz w:val="18"/>
                <w:szCs w:val="18"/>
                <w:lang w:val="x-none"/>
              </w:rPr>
            </w:pPr>
            <w:r>
              <w:rPr>
                <w:rFonts w:ascii="Arial" w:hAnsi="Arial" w:cs="Arial"/>
                <w:color w:val="000000"/>
                <w:sz w:val="18"/>
                <w:szCs w:val="18"/>
                <w:lang w:val="x-none"/>
              </w:rPr>
              <w:t xml:space="preserve">– żużel </w:t>
            </w:r>
            <w:proofErr w:type="spellStart"/>
            <w:r>
              <w:rPr>
                <w:rFonts w:ascii="Arial" w:hAnsi="Arial" w:cs="Arial"/>
                <w:color w:val="000000"/>
                <w:sz w:val="18"/>
                <w:szCs w:val="18"/>
                <w:lang w:val="x-none"/>
              </w:rPr>
              <w:t>nierozpadowy</w:t>
            </w:r>
            <w:proofErr w:type="spellEnd"/>
          </w:p>
        </w:tc>
        <w:tc>
          <w:tcPr>
            <w:tcW w:w="2176" w:type="dxa"/>
            <w:tcBorders>
              <w:top w:val="single" w:sz="6" w:space="0" w:color="000000"/>
              <w:left w:val="single" w:sz="6" w:space="0" w:color="000000"/>
              <w:bottom w:val="single" w:sz="6" w:space="0" w:color="000000"/>
              <w:right w:val="single" w:sz="6" w:space="0" w:color="000000"/>
            </w:tcBorders>
          </w:tcPr>
          <w:p w14:paraId="1118A77B" w14:textId="77777777" w:rsidR="000A3B2B" w:rsidRDefault="000A3B2B">
            <w:pPr>
              <w:autoSpaceDE w:val="0"/>
              <w:autoSpaceDN w:val="0"/>
              <w:adjustRightInd w:val="0"/>
              <w:spacing w:after="0" w:line="240" w:lineRule="auto"/>
              <w:ind w:left="165" w:hanging="165"/>
              <w:rPr>
                <w:rFonts w:ascii="Arial" w:hAnsi="Arial" w:cs="Arial"/>
                <w:color w:val="000000"/>
                <w:sz w:val="18"/>
                <w:szCs w:val="18"/>
                <w:lang w:val="x-none"/>
              </w:rPr>
            </w:pPr>
            <w:r>
              <w:rPr>
                <w:rFonts w:ascii="Arial" w:hAnsi="Arial" w:cs="Arial"/>
                <w:color w:val="000000"/>
                <w:sz w:val="18"/>
                <w:szCs w:val="18"/>
                <w:lang w:val="x-none"/>
              </w:rPr>
              <w:t>– piasek pylasty</w:t>
            </w:r>
          </w:p>
          <w:p w14:paraId="79DDC91C" w14:textId="77777777" w:rsidR="000A3B2B" w:rsidRDefault="000A3B2B">
            <w:pPr>
              <w:autoSpaceDE w:val="0"/>
              <w:autoSpaceDN w:val="0"/>
              <w:adjustRightInd w:val="0"/>
              <w:spacing w:after="0" w:line="240" w:lineRule="auto"/>
              <w:ind w:left="165" w:hanging="165"/>
              <w:rPr>
                <w:rFonts w:ascii="Arial" w:hAnsi="Arial" w:cs="Arial"/>
                <w:color w:val="000000"/>
                <w:sz w:val="18"/>
                <w:szCs w:val="18"/>
                <w:lang w:val="x-none"/>
              </w:rPr>
            </w:pPr>
            <w:r>
              <w:rPr>
                <w:rFonts w:ascii="Arial" w:hAnsi="Arial" w:cs="Arial"/>
                <w:color w:val="000000"/>
                <w:sz w:val="18"/>
                <w:szCs w:val="18"/>
                <w:lang w:val="x-none"/>
              </w:rPr>
              <w:t>– zwietrzelina gliniasta</w:t>
            </w:r>
          </w:p>
          <w:p w14:paraId="4C79368D" w14:textId="77777777" w:rsidR="000A3B2B" w:rsidRDefault="000A3B2B">
            <w:pPr>
              <w:autoSpaceDE w:val="0"/>
              <w:autoSpaceDN w:val="0"/>
              <w:adjustRightInd w:val="0"/>
              <w:spacing w:after="0" w:line="240" w:lineRule="auto"/>
              <w:ind w:left="165" w:hanging="165"/>
              <w:rPr>
                <w:rFonts w:ascii="Arial" w:hAnsi="Arial" w:cs="Arial"/>
                <w:color w:val="000000"/>
                <w:sz w:val="18"/>
                <w:szCs w:val="18"/>
                <w:lang w:val="x-none"/>
              </w:rPr>
            </w:pPr>
            <w:r>
              <w:rPr>
                <w:rFonts w:ascii="Arial" w:hAnsi="Arial" w:cs="Arial"/>
                <w:color w:val="000000"/>
                <w:sz w:val="18"/>
                <w:szCs w:val="18"/>
                <w:lang w:val="x-none"/>
              </w:rPr>
              <w:t>– żwir gliniasty</w:t>
            </w:r>
          </w:p>
          <w:p w14:paraId="612E90F8" w14:textId="77777777" w:rsidR="000A3B2B" w:rsidRDefault="000A3B2B">
            <w:pPr>
              <w:autoSpaceDE w:val="0"/>
              <w:autoSpaceDN w:val="0"/>
              <w:adjustRightInd w:val="0"/>
              <w:spacing w:after="0" w:line="240" w:lineRule="auto"/>
              <w:ind w:left="165" w:hanging="165"/>
              <w:rPr>
                <w:rFonts w:ascii="Arial" w:hAnsi="Arial" w:cs="Arial"/>
                <w:color w:val="000000"/>
                <w:sz w:val="18"/>
                <w:szCs w:val="18"/>
                <w:lang w:val="x-none"/>
              </w:rPr>
            </w:pPr>
            <w:r>
              <w:rPr>
                <w:rFonts w:ascii="Arial" w:hAnsi="Arial" w:cs="Arial"/>
                <w:color w:val="000000"/>
                <w:sz w:val="18"/>
                <w:szCs w:val="18"/>
                <w:lang w:val="x-none"/>
              </w:rPr>
              <w:t>– pospółka gliniasta</w:t>
            </w:r>
          </w:p>
        </w:tc>
        <w:tc>
          <w:tcPr>
            <w:tcW w:w="2174" w:type="dxa"/>
            <w:tcBorders>
              <w:top w:val="single" w:sz="6" w:space="0" w:color="000000"/>
              <w:left w:val="single" w:sz="6" w:space="0" w:color="000000"/>
              <w:bottom w:val="single" w:sz="6" w:space="0" w:color="000000"/>
              <w:right w:val="single" w:sz="6" w:space="0" w:color="000000"/>
            </w:tcBorders>
          </w:tcPr>
          <w:p w14:paraId="527C5A73" w14:textId="77777777" w:rsidR="000A3B2B" w:rsidRDefault="000A3B2B">
            <w:pPr>
              <w:autoSpaceDE w:val="0"/>
              <w:autoSpaceDN w:val="0"/>
              <w:adjustRightInd w:val="0"/>
              <w:spacing w:after="0" w:line="240" w:lineRule="auto"/>
              <w:rPr>
                <w:rFonts w:ascii="Arial" w:hAnsi="Arial" w:cs="Arial"/>
                <w:b/>
                <w:bCs/>
                <w:color w:val="000000"/>
                <w:sz w:val="18"/>
                <w:szCs w:val="18"/>
                <w:lang w:val="x-none"/>
              </w:rPr>
            </w:pPr>
            <w:r>
              <w:rPr>
                <w:rFonts w:ascii="Arial" w:hAnsi="Arial" w:cs="Arial"/>
                <w:b/>
                <w:bCs/>
                <w:color w:val="000000"/>
                <w:sz w:val="18"/>
                <w:szCs w:val="18"/>
                <w:lang w:val="x-none"/>
              </w:rPr>
              <w:t xml:space="preserve">mało </w:t>
            </w:r>
            <w:r>
              <w:rPr>
                <w:rFonts w:ascii="Arial" w:hAnsi="Arial" w:cs="Arial"/>
                <w:b/>
                <w:bCs/>
                <w:color w:val="000000"/>
                <w:sz w:val="18"/>
                <w:szCs w:val="18"/>
                <w:lang w:val="x-none"/>
              </w:rPr>
              <w:br/>
            </w:r>
            <w:proofErr w:type="spellStart"/>
            <w:r>
              <w:rPr>
                <w:rFonts w:ascii="Arial" w:hAnsi="Arial" w:cs="Arial"/>
                <w:b/>
                <w:bCs/>
                <w:color w:val="000000"/>
                <w:sz w:val="18"/>
                <w:szCs w:val="18"/>
                <w:lang w:val="x-none"/>
              </w:rPr>
              <w:t>wysadzinowe</w:t>
            </w:r>
            <w:proofErr w:type="spellEnd"/>
          </w:p>
          <w:p w14:paraId="07A6DE40" w14:textId="77777777" w:rsidR="000A3B2B" w:rsidRDefault="000A3B2B">
            <w:pPr>
              <w:autoSpaceDE w:val="0"/>
              <w:autoSpaceDN w:val="0"/>
              <w:adjustRightInd w:val="0"/>
              <w:spacing w:after="0" w:line="240" w:lineRule="auto"/>
              <w:ind w:left="165" w:hanging="165"/>
              <w:rPr>
                <w:rFonts w:ascii="Arial" w:hAnsi="Arial" w:cs="Arial"/>
                <w:color w:val="000000"/>
                <w:sz w:val="18"/>
                <w:szCs w:val="18"/>
                <w:lang w:val="x-none"/>
              </w:rPr>
            </w:pPr>
            <w:r>
              <w:rPr>
                <w:rFonts w:ascii="Arial" w:hAnsi="Arial" w:cs="Arial"/>
                <w:color w:val="000000"/>
                <w:sz w:val="18"/>
                <w:szCs w:val="18"/>
                <w:lang w:val="x-none"/>
              </w:rPr>
              <w:t>– glina piaszczysta zwięzła, glina zwięzła, glina pylasta zwięzła</w:t>
            </w:r>
          </w:p>
          <w:p w14:paraId="27A8E304" w14:textId="77777777" w:rsidR="000A3B2B" w:rsidRDefault="000A3B2B">
            <w:pPr>
              <w:autoSpaceDE w:val="0"/>
              <w:autoSpaceDN w:val="0"/>
              <w:adjustRightInd w:val="0"/>
              <w:spacing w:after="0" w:line="240" w:lineRule="auto"/>
              <w:ind w:left="165" w:hanging="165"/>
              <w:rPr>
                <w:rFonts w:ascii="Arial" w:hAnsi="Arial" w:cs="Arial"/>
                <w:color w:val="000000"/>
                <w:sz w:val="18"/>
                <w:szCs w:val="18"/>
                <w:lang w:val="x-none"/>
              </w:rPr>
            </w:pPr>
            <w:r>
              <w:rPr>
                <w:rFonts w:ascii="Arial" w:hAnsi="Arial" w:cs="Arial"/>
                <w:color w:val="000000"/>
                <w:sz w:val="18"/>
                <w:szCs w:val="18"/>
                <w:lang w:val="x-none"/>
              </w:rPr>
              <w:t>– ił, ił piaszczysty, ił pylasty</w:t>
            </w:r>
          </w:p>
          <w:p w14:paraId="1519D8E9" w14:textId="77777777" w:rsidR="000A3B2B" w:rsidRDefault="000A3B2B">
            <w:pPr>
              <w:autoSpaceDE w:val="0"/>
              <w:autoSpaceDN w:val="0"/>
              <w:adjustRightInd w:val="0"/>
              <w:spacing w:after="0" w:line="240" w:lineRule="auto"/>
              <w:rPr>
                <w:rFonts w:ascii="Arial" w:hAnsi="Arial" w:cs="Arial"/>
                <w:b/>
                <w:bCs/>
                <w:color w:val="000000"/>
                <w:sz w:val="18"/>
                <w:szCs w:val="18"/>
                <w:lang w:val="x-none"/>
              </w:rPr>
            </w:pPr>
            <w:r>
              <w:rPr>
                <w:rFonts w:ascii="Arial" w:hAnsi="Arial" w:cs="Arial"/>
                <w:b/>
                <w:bCs/>
                <w:color w:val="000000"/>
                <w:sz w:val="18"/>
                <w:szCs w:val="18"/>
                <w:lang w:val="x-none"/>
              </w:rPr>
              <w:lastRenderedPageBreak/>
              <w:t xml:space="preserve">bardzo </w:t>
            </w:r>
            <w:r>
              <w:rPr>
                <w:rFonts w:ascii="Arial" w:hAnsi="Arial" w:cs="Arial"/>
                <w:b/>
                <w:bCs/>
                <w:color w:val="000000"/>
                <w:sz w:val="18"/>
                <w:szCs w:val="18"/>
                <w:lang w:val="x-none"/>
              </w:rPr>
              <w:br/>
            </w:r>
            <w:proofErr w:type="spellStart"/>
            <w:r>
              <w:rPr>
                <w:rFonts w:ascii="Arial" w:hAnsi="Arial" w:cs="Arial"/>
                <w:b/>
                <w:bCs/>
                <w:color w:val="000000"/>
                <w:sz w:val="18"/>
                <w:szCs w:val="18"/>
                <w:lang w:val="x-none"/>
              </w:rPr>
              <w:t>wysadzinowe</w:t>
            </w:r>
            <w:proofErr w:type="spellEnd"/>
          </w:p>
          <w:p w14:paraId="1BA32EED" w14:textId="77777777" w:rsidR="000A3B2B" w:rsidRDefault="000A3B2B">
            <w:pPr>
              <w:autoSpaceDE w:val="0"/>
              <w:autoSpaceDN w:val="0"/>
              <w:adjustRightInd w:val="0"/>
              <w:spacing w:after="0" w:line="240" w:lineRule="auto"/>
              <w:ind w:left="165" w:hanging="165"/>
              <w:rPr>
                <w:rFonts w:ascii="Arial" w:hAnsi="Arial" w:cs="Arial"/>
                <w:color w:val="000000"/>
                <w:sz w:val="18"/>
                <w:szCs w:val="18"/>
                <w:lang w:val="x-none"/>
              </w:rPr>
            </w:pPr>
            <w:r>
              <w:rPr>
                <w:rFonts w:ascii="Arial" w:hAnsi="Arial" w:cs="Arial"/>
                <w:color w:val="000000"/>
                <w:sz w:val="18"/>
                <w:szCs w:val="18"/>
                <w:lang w:val="x-none"/>
              </w:rPr>
              <w:t>– piasek gliniasty</w:t>
            </w:r>
          </w:p>
          <w:p w14:paraId="5E4BEA20" w14:textId="77777777" w:rsidR="000A3B2B" w:rsidRDefault="000A3B2B">
            <w:pPr>
              <w:autoSpaceDE w:val="0"/>
              <w:autoSpaceDN w:val="0"/>
              <w:adjustRightInd w:val="0"/>
              <w:spacing w:after="0" w:line="240" w:lineRule="auto"/>
              <w:ind w:left="165" w:hanging="165"/>
              <w:rPr>
                <w:rFonts w:ascii="Arial" w:hAnsi="Arial" w:cs="Arial"/>
                <w:color w:val="000000"/>
                <w:sz w:val="18"/>
                <w:szCs w:val="18"/>
                <w:lang w:val="x-none"/>
              </w:rPr>
            </w:pPr>
            <w:r>
              <w:rPr>
                <w:rFonts w:ascii="Arial" w:hAnsi="Arial" w:cs="Arial"/>
                <w:color w:val="000000"/>
                <w:sz w:val="18"/>
                <w:szCs w:val="18"/>
                <w:lang w:val="x-none"/>
              </w:rPr>
              <w:t>– pył, pył piaszczysty</w:t>
            </w:r>
          </w:p>
          <w:p w14:paraId="2161B806" w14:textId="77777777" w:rsidR="000A3B2B" w:rsidRDefault="000A3B2B">
            <w:pPr>
              <w:autoSpaceDE w:val="0"/>
              <w:autoSpaceDN w:val="0"/>
              <w:adjustRightInd w:val="0"/>
              <w:spacing w:after="0" w:line="240" w:lineRule="auto"/>
              <w:ind w:left="165" w:hanging="165"/>
              <w:rPr>
                <w:rFonts w:ascii="Arial" w:hAnsi="Arial" w:cs="Arial"/>
                <w:color w:val="000000"/>
                <w:sz w:val="18"/>
                <w:szCs w:val="18"/>
                <w:lang w:val="x-none"/>
              </w:rPr>
            </w:pPr>
            <w:r>
              <w:rPr>
                <w:rFonts w:ascii="Arial" w:hAnsi="Arial" w:cs="Arial"/>
                <w:color w:val="000000"/>
                <w:sz w:val="18"/>
                <w:szCs w:val="18"/>
                <w:lang w:val="x-none"/>
              </w:rPr>
              <w:t>– glina piaszczysta, glina pylasta</w:t>
            </w:r>
          </w:p>
          <w:p w14:paraId="3CDD9552" w14:textId="77777777" w:rsidR="000A3B2B" w:rsidRDefault="000A3B2B">
            <w:pPr>
              <w:autoSpaceDE w:val="0"/>
              <w:autoSpaceDN w:val="0"/>
              <w:adjustRightInd w:val="0"/>
              <w:spacing w:after="0" w:line="240" w:lineRule="auto"/>
              <w:ind w:left="165" w:hanging="165"/>
              <w:rPr>
                <w:rFonts w:ascii="Arial" w:hAnsi="Arial" w:cs="Arial"/>
                <w:color w:val="000000"/>
                <w:sz w:val="18"/>
                <w:szCs w:val="18"/>
                <w:lang w:val="x-none"/>
              </w:rPr>
            </w:pPr>
            <w:r>
              <w:rPr>
                <w:rFonts w:ascii="Arial" w:hAnsi="Arial" w:cs="Arial"/>
                <w:color w:val="000000"/>
                <w:sz w:val="18"/>
                <w:szCs w:val="18"/>
                <w:lang w:val="x-none"/>
              </w:rPr>
              <w:t>– ił warstwowy</w:t>
            </w:r>
          </w:p>
        </w:tc>
      </w:tr>
      <w:tr w:rsidR="000A3B2B" w14:paraId="5FCF7298" w14:textId="77777777">
        <w:trPr>
          <w:trHeight w:val="60"/>
          <w:tblCellSpacing w:w="0" w:type="dxa"/>
        </w:trPr>
        <w:tc>
          <w:tcPr>
            <w:tcW w:w="442" w:type="dxa"/>
            <w:tcBorders>
              <w:top w:val="single" w:sz="6" w:space="0" w:color="000000"/>
              <w:left w:val="single" w:sz="6" w:space="0" w:color="000000"/>
              <w:bottom w:val="single" w:sz="6" w:space="0" w:color="000000"/>
              <w:right w:val="single" w:sz="6" w:space="0" w:color="000000"/>
            </w:tcBorders>
          </w:tcPr>
          <w:p w14:paraId="3BE0B5BC"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lastRenderedPageBreak/>
              <w:t>2.</w:t>
            </w:r>
          </w:p>
        </w:tc>
        <w:tc>
          <w:tcPr>
            <w:tcW w:w="1906" w:type="dxa"/>
            <w:tcBorders>
              <w:top w:val="single" w:sz="6" w:space="0" w:color="000000"/>
              <w:left w:val="single" w:sz="6" w:space="0" w:color="000000"/>
              <w:bottom w:val="single" w:sz="6" w:space="0" w:color="000000"/>
              <w:right w:val="single" w:sz="6" w:space="0" w:color="000000"/>
            </w:tcBorders>
          </w:tcPr>
          <w:p w14:paraId="36A8D466" w14:textId="77777777" w:rsidR="000A3B2B" w:rsidRDefault="000A3B2B">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Zawartość cząstek</w:t>
            </w:r>
          </w:p>
          <w:p w14:paraId="05E92480" w14:textId="77777777" w:rsidR="000A3B2B" w:rsidRDefault="000A3B2B">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 0,075 mm</w:t>
            </w:r>
          </w:p>
          <w:p w14:paraId="5C29F500" w14:textId="77777777" w:rsidR="000A3B2B" w:rsidRDefault="000A3B2B">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 0,02 mm</w:t>
            </w:r>
          </w:p>
        </w:tc>
        <w:tc>
          <w:tcPr>
            <w:tcW w:w="584" w:type="dxa"/>
            <w:tcBorders>
              <w:top w:val="single" w:sz="6" w:space="0" w:color="000000"/>
              <w:left w:val="single" w:sz="6" w:space="0" w:color="000000"/>
              <w:bottom w:val="single" w:sz="6" w:space="0" w:color="000000"/>
              <w:right w:val="single" w:sz="6" w:space="0" w:color="000000"/>
            </w:tcBorders>
            <w:vAlign w:val="bottom"/>
          </w:tcPr>
          <w:p w14:paraId="50A8EB2C"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w:t>
            </w:r>
          </w:p>
        </w:tc>
        <w:tc>
          <w:tcPr>
            <w:tcW w:w="2220" w:type="dxa"/>
            <w:tcBorders>
              <w:top w:val="single" w:sz="6" w:space="0" w:color="000000"/>
              <w:left w:val="single" w:sz="6" w:space="0" w:color="000000"/>
              <w:bottom w:val="single" w:sz="6" w:space="0" w:color="000000"/>
              <w:right w:val="single" w:sz="6" w:space="0" w:color="000000"/>
            </w:tcBorders>
            <w:vAlign w:val="bottom"/>
          </w:tcPr>
          <w:p w14:paraId="7B52DF95"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 xml:space="preserve">&lt; 15 </w:t>
            </w:r>
          </w:p>
          <w:p w14:paraId="355846D9"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&lt; 3</w:t>
            </w:r>
          </w:p>
        </w:tc>
        <w:tc>
          <w:tcPr>
            <w:tcW w:w="2176" w:type="dxa"/>
            <w:tcBorders>
              <w:top w:val="single" w:sz="6" w:space="0" w:color="000000"/>
              <w:left w:val="single" w:sz="6" w:space="0" w:color="000000"/>
              <w:bottom w:val="single" w:sz="6" w:space="0" w:color="000000"/>
              <w:right w:val="single" w:sz="6" w:space="0" w:color="000000"/>
            </w:tcBorders>
            <w:vAlign w:val="bottom"/>
          </w:tcPr>
          <w:p w14:paraId="16A2C615"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 xml:space="preserve">od 15 do 30 </w:t>
            </w:r>
          </w:p>
          <w:p w14:paraId="7D95BF89"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3 do 10</w:t>
            </w:r>
          </w:p>
        </w:tc>
        <w:tc>
          <w:tcPr>
            <w:tcW w:w="2174" w:type="dxa"/>
            <w:tcBorders>
              <w:top w:val="single" w:sz="6" w:space="0" w:color="000000"/>
              <w:left w:val="single" w:sz="6" w:space="0" w:color="000000"/>
              <w:bottom w:val="single" w:sz="6" w:space="0" w:color="000000"/>
              <w:right w:val="single" w:sz="6" w:space="0" w:color="000000"/>
            </w:tcBorders>
            <w:vAlign w:val="bottom"/>
          </w:tcPr>
          <w:p w14:paraId="74E1D58A"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&gt; 30</w:t>
            </w:r>
          </w:p>
          <w:p w14:paraId="16CA0932"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&gt; 10</w:t>
            </w:r>
          </w:p>
        </w:tc>
      </w:tr>
      <w:tr w:rsidR="000A3B2B" w14:paraId="7C430B15" w14:textId="77777777">
        <w:trPr>
          <w:trHeight w:val="60"/>
          <w:tblCellSpacing w:w="0" w:type="dxa"/>
        </w:trPr>
        <w:tc>
          <w:tcPr>
            <w:tcW w:w="442" w:type="dxa"/>
            <w:tcBorders>
              <w:top w:val="single" w:sz="6" w:space="0" w:color="000000"/>
              <w:left w:val="single" w:sz="6" w:space="0" w:color="000000"/>
              <w:bottom w:val="single" w:sz="6" w:space="0" w:color="000000"/>
              <w:right w:val="single" w:sz="6" w:space="0" w:color="000000"/>
            </w:tcBorders>
          </w:tcPr>
          <w:p w14:paraId="346C0A3C"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3.</w:t>
            </w:r>
          </w:p>
        </w:tc>
        <w:tc>
          <w:tcPr>
            <w:tcW w:w="1906" w:type="dxa"/>
            <w:tcBorders>
              <w:top w:val="single" w:sz="6" w:space="0" w:color="000000"/>
              <w:left w:val="single" w:sz="6" w:space="0" w:color="000000"/>
              <w:bottom w:val="single" w:sz="6" w:space="0" w:color="000000"/>
              <w:right w:val="single" w:sz="6" w:space="0" w:color="000000"/>
            </w:tcBorders>
          </w:tcPr>
          <w:p w14:paraId="2FD1718C" w14:textId="77777777" w:rsidR="000A3B2B" w:rsidRDefault="000A3B2B">
            <w:pPr>
              <w:autoSpaceDE w:val="0"/>
              <w:autoSpaceDN w:val="0"/>
              <w:adjustRightInd w:val="0"/>
              <w:spacing w:after="0" w:line="240" w:lineRule="auto"/>
              <w:rPr>
                <w:rFonts w:ascii="Arial" w:hAnsi="Arial" w:cs="Arial"/>
                <w:color w:val="000000"/>
                <w:position w:val="-2"/>
                <w:sz w:val="8"/>
                <w:szCs w:val="8"/>
                <w:lang w:val="x-none"/>
              </w:rPr>
            </w:pPr>
            <w:r>
              <w:rPr>
                <w:rFonts w:ascii="Arial" w:hAnsi="Arial" w:cs="Arial"/>
                <w:color w:val="000000"/>
                <w:sz w:val="18"/>
                <w:szCs w:val="18"/>
                <w:lang w:val="x-none"/>
              </w:rPr>
              <w:t>Kapilarność bierna H</w:t>
            </w:r>
            <w:proofErr w:type="spellStart"/>
            <w:r>
              <w:rPr>
                <w:rFonts w:ascii="Arial" w:hAnsi="Arial" w:cs="Arial"/>
                <w:color w:val="000000"/>
                <w:position w:val="-2"/>
                <w:sz w:val="8"/>
                <w:szCs w:val="8"/>
                <w:lang w:val="x-none"/>
              </w:rPr>
              <w:t>kb</w:t>
            </w:r>
            <w:proofErr w:type="spellEnd"/>
          </w:p>
        </w:tc>
        <w:tc>
          <w:tcPr>
            <w:tcW w:w="584" w:type="dxa"/>
            <w:tcBorders>
              <w:top w:val="single" w:sz="6" w:space="0" w:color="000000"/>
              <w:left w:val="single" w:sz="6" w:space="0" w:color="000000"/>
              <w:bottom w:val="single" w:sz="6" w:space="0" w:color="000000"/>
              <w:right w:val="single" w:sz="6" w:space="0" w:color="000000"/>
            </w:tcBorders>
            <w:vAlign w:val="bottom"/>
          </w:tcPr>
          <w:p w14:paraId="10FDC1DB"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m</w:t>
            </w:r>
          </w:p>
        </w:tc>
        <w:tc>
          <w:tcPr>
            <w:tcW w:w="2220" w:type="dxa"/>
            <w:tcBorders>
              <w:top w:val="single" w:sz="6" w:space="0" w:color="000000"/>
              <w:left w:val="single" w:sz="6" w:space="0" w:color="000000"/>
              <w:bottom w:val="single" w:sz="6" w:space="0" w:color="000000"/>
              <w:right w:val="single" w:sz="6" w:space="0" w:color="000000"/>
            </w:tcBorders>
            <w:vAlign w:val="bottom"/>
          </w:tcPr>
          <w:p w14:paraId="7202B8A9"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&lt; 1,0</w:t>
            </w:r>
          </w:p>
        </w:tc>
        <w:tc>
          <w:tcPr>
            <w:tcW w:w="2176" w:type="dxa"/>
            <w:tcBorders>
              <w:top w:val="single" w:sz="6" w:space="0" w:color="000000"/>
              <w:left w:val="single" w:sz="6" w:space="0" w:color="000000"/>
              <w:bottom w:val="single" w:sz="6" w:space="0" w:color="000000"/>
              <w:right w:val="single" w:sz="6" w:space="0" w:color="000000"/>
            </w:tcBorders>
            <w:vAlign w:val="bottom"/>
          </w:tcPr>
          <w:p w14:paraId="6D731DE2"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 1,0</w:t>
            </w:r>
          </w:p>
        </w:tc>
        <w:tc>
          <w:tcPr>
            <w:tcW w:w="2174" w:type="dxa"/>
            <w:tcBorders>
              <w:top w:val="single" w:sz="6" w:space="0" w:color="000000"/>
              <w:left w:val="single" w:sz="6" w:space="0" w:color="000000"/>
              <w:bottom w:val="single" w:sz="6" w:space="0" w:color="000000"/>
              <w:right w:val="single" w:sz="6" w:space="0" w:color="000000"/>
            </w:tcBorders>
            <w:vAlign w:val="bottom"/>
          </w:tcPr>
          <w:p w14:paraId="744E55EB"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&gt; 1,0</w:t>
            </w:r>
          </w:p>
        </w:tc>
      </w:tr>
      <w:tr w:rsidR="000A3B2B" w14:paraId="7F454520" w14:textId="77777777">
        <w:trPr>
          <w:trHeight w:val="60"/>
          <w:tblCellSpacing w:w="0" w:type="dxa"/>
        </w:trPr>
        <w:tc>
          <w:tcPr>
            <w:tcW w:w="442" w:type="dxa"/>
            <w:tcBorders>
              <w:top w:val="single" w:sz="6" w:space="0" w:color="000000"/>
              <w:left w:val="single" w:sz="6" w:space="0" w:color="000000"/>
              <w:bottom w:val="single" w:sz="6" w:space="0" w:color="000000"/>
              <w:right w:val="single" w:sz="6" w:space="0" w:color="000000"/>
            </w:tcBorders>
          </w:tcPr>
          <w:p w14:paraId="330D286E"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4.</w:t>
            </w:r>
          </w:p>
        </w:tc>
        <w:tc>
          <w:tcPr>
            <w:tcW w:w="1906" w:type="dxa"/>
            <w:tcBorders>
              <w:top w:val="single" w:sz="6" w:space="0" w:color="000000"/>
              <w:left w:val="single" w:sz="6" w:space="0" w:color="000000"/>
              <w:bottom w:val="single" w:sz="6" w:space="0" w:color="000000"/>
              <w:right w:val="single" w:sz="6" w:space="0" w:color="000000"/>
            </w:tcBorders>
          </w:tcPr>
          <w:p w14:paraId="1AD4CAEC" w14:textId="77777777" w:rsidR="000A3B2B" w:rsidRDefault="000A3B2B">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Wskaźnik piaskowy WP</w:t>
            </w:r>
          </w:p>
        </w:tc>
        <w:tc>
          <w:tcPr>
            <w:tcW w:w="584" w:type="dxa"/>
            <w:tcBorders>
              <w:top w:val="single" w:sz="6" w:space="0" w:color="000000"/>
              <w:left w:val="single" w:sz="6" w:space="0" w:color="000000"/>
              <w:bottom w:val="single" w:sz="6" w:space="0" w:color="000000"/>
              <w:right w:val="single" w:sz="6" w:space="0" w:color="000000"/>
            </w:tcBorders>
            <w:vAlign w:val="bottom"/>
          </w:tcPr>
          <w:p w14:paraId="707973BB"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2220" w:type="dxa"/>
            <w:tcBorders>
              <w:top w:val="single" w:sz="6" w:space="0" w:color="000000"/>
              <w:left w:val="single" w:sz="6" w:space="0" w:color="000000"/>
              <w:bottom w:val="single" w:sz="6" w:space="0" w:color="000000"/>
              <w:right w:val="single" w:sz="6" w:space="0" w:color="000000"/>
            </w:tcBorders>
            <w:vAlign w:val="bottom"/>
          </w:tcPr>
          <w:p w14:paraId="7E59CF61"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&gt; 35</w:t>
            </w:r>
          </w:p>
        </w:tc>
        <w:tc>
          <w:tcPr>
            <w:tcW w:w="2176" w:type="dxa"/>
            <w:tcBorders>
              <w:top w:val="single" w:sz="6" w:space="0" w:color="000000"/>
              <w:left w:val="single" w:sz="6" w:space="0" w:color="000000"/>
              <w:bottom w:val="single" w:sz="6" w:space="0" w:color="000000"/>
              <w:right w:val="single" w:sz="6" w:space="0" w:color="000000"/>
            </w:tcBorders>
            <w:vAlign w:val="bottom"/>
          </w:tcPr>
          <w:p w14:paraId="5675C595"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25 do 35</w:t>
            </w:r>
          </w:p>
        </w:tc>
        <w:tc>
          <w:tcPr>
            <w:tcW w:w="2174" w:type="dxa"/>
            <w:tcBorders>
              <w:top w:val="single" w:sz="6" w:space="0" w:color="000000"/>
              <w:left w:val="single" w:sz="6" w:space="0" w:color="000000"/>
              <w:bottom w:val="single" w:sz="6" w:space="0" w:color="000000"/>
              <w:right w:val="single" w:sz="6" w:space="0" w:color="000000"/>
            </w:tcBorders>
            <w:vAlign w:val="bottom"/>
          </w:tcPr>
          <w:p w14:paraId="7F29BD04"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&lt; 25</w:t>
            </w:r>
          </w:p>
        </w:tc>
      </w:tr>
    </w:tbl>
    <w:p w14:paraId="1F79D470" w14:textId="77777777" w:rsidR="000A3B2B" w:rsidRDefault="000A3B2B" w:rsidP="000E4A55">
      <w:pPr>
        <w:autoSpaceDE w:val="0"/>
        <w:autoSpaceDN w:val="0"/>
        <w:adjustRightInd w:val="0"/>
        <w:spacing w:after="0" w:line="288" w:lineRule="auto"/>
        <w:rPr>
          <w:rFonts w:ascii="Arial" w:hAnsi="Arial" w:cs="Arial"/>
          <w:b/>
          <w:bCs/>
          <w:color w:val="000000"/>
          <w:sz w:val="16"/>
          <w:szCs w:val="16"/>
          <w:lang w:val="x-none"/>
        </w:rPr>
      </w:pPr>
    </w:p>
    <w:p w14:paraId="1FD79140" w14:textId="77777777" w:rsidR="000A3B2B" w:rsidRPr="009B4648" w:rsidRDefault="000A3B2B" w:rsidP="006904B4">
      <w:pPr>
        <w:pStyle w:val="Styl1"/>
      </w:pPr>
      <w:r>
        <w:rPr>
          <w:sz w:val="16"/>
          <w:szCs w:val="16"/>
        </w:rPr>
        <w:br w:type="page"/>
      </w:r>
      <w:r>
        <w:lastRenderedPageBreak/>
        <w:t xml:space="preserve"> </w:t>
      </w:r>
      <w:r w:rsidRPr="009B4648">
        <w:t xml:space="preserve">ROBOTY ZIEMNE PRZY WYKONYWANIU WYKOPÓW </w:t>
      </w:r>
      <w:r>
        <w:t xml:space="preserve"> </w:t>
      </w:r>
      <w:r w:rsidRPr="009B4648">
        <w:t>POD FUNDAMENTY OBIEKTÓW KUBATUROWYCH</w:t>
      </w:r>
      <w:r>
        <w:t xml:space="preserve"> </w:t>
      </w:r>
      <w:r w:rsidRPr="009B4648">
        <w:t>W GRUNTACH KAT. I-V</w:t>
      </w:r>
    </w:p>
    <w:p w14:paraId="2BEBFF72" w14:textId="77777777" w:rsidR="000A3B2B" w:rsidRDefault="000A3B2B" w:rsidP="006904B4">
      <w:pPr>
        <w:autoSpaceDE w:val="0"/>
        <w:autoSpaceDN w:val="0"/>
        <w:adjustRightInd w:val="0"/>
        <w:spacing w:after="30" w:line="240" w:lineRule="auto"/>
        <w:ind w:left="285" w:hanging="285"/>
        <w:jc w:val="both"/>
        <w:rPr>
          <w:rFonts w:ascii="Arial" w:hAnsi="Arial" w:cs="Arial"/>
          <w:b/>
          <w:bCs/>
          <w:color w:val="000000"/>
          <w:sz w:val="18"/>
          <w:szCs w:val="18"/>
          <w:lang w:val="x-none"/>
        </w:rPr>
      </w:pPr>
    </w:p>
    <w:p w14:paraId="17B37EED" w14:textId="77777777" w:rsidR="000A3B2B" w:rsidRDefault="000A3B2B" w:rsidP="006904B4">
      <w:pPr>
        <w:autoSpaceDE w:val="0"/>
        <w:autoSpaceDN w:val="0"/>
        <w:adjustRightInd w:val="0"/>
        <w:spacing w:after="3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1.</w:t>
      </w:r>
      <w:r>
        <w:rPr>
          <w:rFonts w:ascii="Arial" w:hAnsi="Arial" w:cs="Arial"/>
          <w:b/>
          <w:bCs/>
          <w:color w:val="000000"/>
          <w:sz w:val="18"/>
          <w:szCs w:val="18"/>
          <w:lang w:val="x-none"/>
        </w:rPr>
        <w:tab/>
        <w:t>CZĘŚĆ OGÓLNA</w:t>
      </w:r>
    </w:p>
    <w:p w14:paraId="5C18FAA6" w14:textId="77777777" w:rsidR="000A3B2B" w:rsidRDefault="000A3B2B" w:rsidP="006904B4">
      <w:pPr>
        <w:autoSpaceDE w:val="0"/>
        <w:autoSpaceDN w:val="0"/>
        <w:adjustRightInd w:val="0"/>
        <w:spacing w:after="60" w:line="240" w:lineRule="auto"/>
        <w:ind w:left="390" w:hanging="390"/>
        <w:jc w:val="both"/>
        <w:rPr>
          <w:rFonts w:ascii="Arial" w:hAnsi="Arial" w:cs="Arial"/>
          <w:color w:val="000000"/>
          <w:sz w:val="18"/>
          <w:szCs w:val="18"/>
          <w:lang w:val="x-none"/>
        </w:rPr>
      </w:pPr>
      <w:r>
        <w:rPr>
          <w:rFonts w:ascii="Arial" w:hAnsi="Arial" w:cs="Arial"/>
          <w:b/>
          <w:bCs/>
          <w:color w:val="000000"/>
          <w:sz w:val="18"/>
          <w:szCs w:val="18"/>
          <w:lang w:val="x-none"/>
        </w:rPr>
        <w:t>1.1.</w:t>
      </w:r>
      <w:r>
        <w:rPr>
          <w:rFonts w:ascii="Arial" w:hAnsi="Arial" w:cs="Arial"/>
          <w:b/>
          <w:bCs/>
          <w:color w:val="000000"/>
          <w:sz w:val="18"/>
          <w:szCs w:val="18"/>
          <w:lang w:val="x-none"/>
        </w:rPr>
        <w:tab/>
      </w:r>
      <w:r w:rsidRPr="00D8129F">
        <w:rPr>
          <w:rFonts w:ascii="Arial" w:hAnsi="Arial" w:cs="Arial"/>
          <w:b/>
          <w:bCs/>
          <w:noProof/>
          <w:color w:val="000000"/>
          <w:sz w:val="18"/>
          <w:szCs w:val="18"/>
          <w:lang w:val="x-none"/>
        </w:rPr>
        <w:t>Termomodernizacja budynku Szkoły Podstawowej nr 3 przy ul. Marii Konopnickiej 2 w Reszlu.</w:t>
      </w:r>
    </w:p>
    <w:p w14:paraId="4554A71E" w14:textId="77777777" w:rsidR="000A3B2B" w:rsidRDefault="000A3B2B" w:rsidP="006904B4">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1.2.</w:t>
      </w:r>
      <w:r>
        <w:rPr>
          <w:rFonts w:ascii="Arial" w:hAnsi="Arial" w:cs="Arial"/>
          <w:b/>
          <w:bCs/>
          <w:color w:val="000000"/>
          <w:sz w:val="18"/>
          <w:szCs w:val="18"/>
          <w:lang w:val="x-none"/>
        </w:rPr>
        <w:tab/>
        <w:t>Przedmiot ST</w:t>
      </w:r>
    </w:p>
    <w:p w14:paraId="5B9C0A8E"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Przedmiotem niniejszej standardowej specyfikacji technicznej (ST) są wymagania dotyczące wykonania i odbioru robót ziemnych i małej architektury realizowanych w obrębie placu budowy.</w:t>
      </w:r>
    </w:p>
    <w:p w14:paraId="0C4DCF91"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p>
    <w:p w14:paraId="2020A952" w14:textId="77777777" w:rsidR="000A3B2B" w:rsidRDefault="000A3B2B" w:rsidP="006904B4">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1.3.</w:t>
      </w:r>
      <w:r>
        <w:rPr>
          <w:rFonts w:ascii="Arial" w:hAnsi="Arial" w:cs="Arial"/>
          <w:b/>
          <w:bCs/>
          <w:color w:val="000000"/>
          <w:sz w:val="18"/>
          <w:szCs w:val="18"/>
          <w:lang w:val="x-none"/>
        </w:rPr>
        <w:tab/>
        <w:t>Zakres stosowania ST</w:t>
      </w:r>
    </w:p>
    <w:p w14:paraId="200C78BF"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Specyfikacja techniczna (ST) stanowi podstawę opracowania szczegółowej specyfikacji technicznej (SST) stosowanej jako dokument przetargowy i kontraktowy przy zlecaniu i realizacji robót ziemnych przy wykonywaniu wykopów pod fundamenty obiektów budowlanych kubaturowych.</w:t>
      </w:r>
    </w:p>
    <w:p w14:paraId="1980F594" w14:textId="77777777" w:rsidR="000A3B2B" w:rsidRDefault="000A3B2B" w:rsidP="006904B4">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Niniejsza specyfikacja nie ma zastosowania do robót ziemnych związanych z budową kolei, dróg samochodowych, budowli wodnych i robót melioracyjnych oraz robót związanych z zakładaniem rurociągów lub instalacji – wykonywanych poza placem budowy.</w:t>
      </w:r>
    </w:p>
    <w:p w14:paraId="0359FF78"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p>
    <w:p w14:paraId="2EAA43C2" w14:textId="77777777" w:rsidR="000A3B2B" w:rsidRDefault="000A3B2B" w:rsidP="006904B4">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1.4.</w:t>
      </w:r>
      <w:r>
        <w:rPr>
          <w:rFonts w:ascii="Arial" w:hAnsi="Arial" w:cs="Arial"/>
          <w:b/>
          <w:bCs/>
          <w:color w:val="000000"/>
          <w:sz w:val="18"/>
          <w:szCs w:val="18"/>
          <w:lang w:val="x-none"/>
        </w:rPr>
        <w:tab/>
        <w:t>Zakres robót objętych ST</w:t>
      </w:r>
    </w:p>
    <w:p w14:paraId="54F646E9"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Ustalenia zawarte w niniejszej specyfikacji dotyczą zasad prowadzenia robót ziemnych w czasie budowy lub modernizacji obiektów kubaturowych i obejmują:</w:t>
      </w:r>
    </w:p>
    <w:p w14:paraId="070B45E5" w14:textId="77777777" w:rsidR="000A3B2B" w:rsidRDefault="000A3B2B" w:rsidP="006904B4">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a)</w:t>
      </w:r>
      <w:r>
        <w:rPr>
          <w:rFonts w:ascii="Arial" w:hAnsi="Arial" w:cs="Arial"/>
          <w:color w:val="000000"/>
          <w:sz w:val="18"/>
          <w:szCs w:val="18"/>
          <w:lang w:val="x-none"/>
        </w:rPr>
        <w:tab/>
        <w:t>wykonanie wykopów w gruntach nieskalistych (kat. I-V),</w:t>
      </w:r>
    </w:p>
    <w:p w14:paraId="56850F39" w14:textId="77777777" w:rsidR="000A3B2B" w:rsidRDefault="000A3B2B" w:rsidP="006904B4">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b)</w:t>
      </w:r>
      <w:r>
        <w:rPr>
          <w:rFonts w:ascii="Arial" w:hAnsi="Arial" w:cs="Arial"/>
          <w:color w:val="000000"/>
          <w:sz w:val="18"/>
          <w:szCs w:val="18"/>
          <w:lang w:val="x-none"/>
        </w:rPr>
        <w:tab/>
        <w:t xml:space="preserve">pozyskiwanie gruntu z ukopu lub </w:t>
      </w:r>
      <w:proofErr w:type="spellStart"/>
      <w:r>
        <w:rPr>
          <w:rFonts w:ascii="Arial" w:hAnsi="Arial" w:cs="Arial"/>
          <w:color w:val="000000"/>
          <w:sz w:val="18"/>
          <w:szCs w:val="18"/>
          <w:lang w:val="x-none"/>
        </w:rPr>
        <w:t>dokopu</w:t>
      </w:r>
      <w:proofErr w:type="spellEnd"/>
      <w:r>
        <w:rPr>
          <w:rFonts w:ascii="Arial" w:hAnsi="Arial" w:cs="Arial"/>
          <w:color w:val="000000"/>
          <w:sz w:val="18"/>
          <w:szCs w:val="18"/>
          <w:lang w:val="x-none"/>
        </w:rPr>
        <w:t>,</w:t>
      </w:r>
    </w:p>
    <w:p w14:paraId="49A5DDEA"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p>
    <w:p w14:paraId="7B3F3C89" w14:textId="77777777" w:rsidR="000A3B2B" w:rsidRDefault="000A3B2B" w:rsidP="006904B4">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1.5.</w:t>
      </w:r>
      <w:r>
        <w:rPr>
          <w:rFonts w:ascii="Arial" w:hAnsi="Arial" w:cs="Arial"/>
          <w:b/>
          <w:bCs/>
          <w:color w:val="000000"/>
          <w:sz w:val="18"/>
          <w:szCs w:val="18"/>
          <w:lang w:val="x-none"/>
        </w:rPr>
        <w:tab/>
        <w:t>Określenia podstawowe</w:t>
      </w:r>
    </w:p>
    <w:p w14:paraId="44024E81"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Określenia podane w niniejszej Specyfikacji są zgodne z odpowiednimi normami oraz określeniami podanymi w ST „Wymagania ogólne” Kod CPV 45000000-7, pkt 1.7., a także zdefiniowanymi poniżej.</w:t>
      </w:r>
    </w:p>
    <w:p w14:paraId="278A72B9" w14:textId="77777777" w:rsidR="000A3B2B" w:rsidRDefault="000A3B2B" w:rsidP="006904B4">
      <w:pPr>
        <w:autoSpaceDE w:val="0"/>
        <w:autoSpaceDN w:val="0"/>
        <w:adjustRightInd w:val="0"/>
        <w:spacing w:after="30" w:line="240" w:lineRule="auto"/>
        <w:ind w:left="630" w:hanging="630"/>
        <w:jc w:val="both"/>
        <w:rPr>
          <w:rFonts w:ascii="Arial" w:hAnsi="Arial" w:cs="Arial"/>
          <w:color w:val="000000"/>
          <w:sz w:val="18"/>
          <w:szCs w:val="18"/>
          <w:lang w:val="x-none"/>
        </w:rPr>
      </w:pPr>
      <w:r>
        <w:rPr>
          <w:rFonts w:ascii="Arial" w:hAnsi="Arial" w:cs="Arial"/>
          <w:b/>
          <w:bCs/>
          <w:color w:val="000000"/>
          <w:sz w:val="18"/>
          <w:szCs w:val="18"/>
          <w:lang w:val="x-none"/>
        </w:rPr>
        <w:t>1.5.1.</w:t>
      </w:r>
      <w:r>
        <w:rPr>
          <w:rFonts w:ascii="Arial" w:hAnsi="Arial" w:cs="Arial"/>
          <w:b/>
          <w:bCs/>
          <w:color w:val="000000"/>
          <w:sz w:val="18"/>
          <w:szCs w:val="18"/>
          <w:lang w:val="x-none"/>
        </w:rPr>
        <w:tab/>
      </w:r>
      <w:r>
        <w:rPr>
          <w:rFonts w:ascii="Arial" w:hAnsi="Arial" w:cs="Arial"/>
          <w:color w:val="000000"/>
          <w:sz w:val="18"/>
          <w:szCs w:val="18"/>
          <w:lang w:val="x-none"/>
        </w:rPr>
        <w:t>Wykop fundamentowy dla obiektów budowlanych kubaturowych określa dokumentacja, która powinna zawierać:</w:t>
      </w:r>
    </w:p>
    <w:p w14:paraId="055FDE1B" w14:textId="77777777" w:rsidR="000A3B2B" w:rsidRDefault="000A3B2B" w:rsidP="006904B4">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 xml:space="preserve">– </w:t>
      </w:r>
      <w:r>
        <w:rPr>
          <w:rFonts w:ascii="Arial" w:hAnsi="Arial" w:cs="Arial"/>
          <w:color w:val="000000"/>
          <w:sz w:val="18"/>
          <w:szCs w:val="18"/>
          <w:lang w:val="x-none"/>
        </w:rPr>
        <w:tab/>
        <w:t>rzuty i przekroje obiektów,</w:t>
      </w:r>
    </w:p>
    <w:p w14:paraId="49D85C71" w14:textId="77777777" w:rsidR="000A3B2B" w:rsidRDefault="000A3B2B" w:rsidP="006904B4">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 xml:space="preserve">– </w:t>
      </w:r>
      <w:r>
        <w:rPr>
          <w:rFonts w:ascii="Arial" w:hAnsi="Arial" w:cs="Arial"/>
          <w:color w:val="000000"/>
          <w:sz w:val="18"/>
          <w:szCs w:val="18"/>
          <w:lang w:val="x-none"/>
        </w:rPr>
        <w:tab/>
        <w:t>plan sytuacyjno-wysokościowy,</w:t>
      </w:r>
    </w:p>
    <w:p w14:paraId="0C5F4275" w14:textId="77777777" w:rsidR="000A3B2B" w:rsidRDefault="000A3B2B" w:rsidP="006904B4">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 xml:space="preserve">– </w:t>
      </w:r>
      <w:r>
        <w:rPr>
          <w:rFonts w:ascii="Arial" w:hAnsi="Arial" w:cs="Arial"/>
          <w:color w:val="000000"/>
          <w:sz w:val="18"/>
          <w:szCs w:val="18"/>
          <w:lang w:val="x-none"/>
        </w:rPr>
        <w:tab/>
        <w:t>nachylenie skarp stałych i roboczych w wykopach i nasypach,</w:t>
      </w:r>
    </w:p>
    <w:p w14:paraId="3D852918" w14:textId="77777777" w:rsidR="000A3B2B" w:rsidRDefault="000A3B2B" w:rsidP="006904B4">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 xml:space="preserve">– </w:t>
      </w:r>
      <w:r>
        <w:rPr>
          <w:rFonts w:ascii="Arial" w:hAnsi="Arial" w:cs="Arial"/>
          <w:color w:val="000000"/>
          <w:sz w:val="18"/>
          <w:szCs w:val="18"/>
          <w:lang w:val="x-none"/>
        </w:rPr>
        <w:tab/>
        <w:t>sposób zabezpieczenia i odwodnienia wykopów,</w:t>
      </w:r>
    </w:p>
    <w:p w14:paraId="3886461A" w14:textId="77777777" w:rsidR="000A3B2B" w:rsidRDefault="000A3B2B" w:rsidP="006904B4">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 xml:space="preserve">– </w:t>
      </w:r>
      <w:r>
        <w:rPr>
          <w:rFonts w:ascii="Arial" w:hAnsi="Arial" w:cs="Arial"/>
          <w:color w:val="000000"/>
          <w:sz w:val="18"/>
          <w:szCs w:val="18"/>
          <w:lang w:val="x-none"/>
        </w:rPr>
        <w:tab/>
        <w:t>wyniki techniczne badań podłoża gruntowego,</w:t>
      </w:r>
    </w:p>
    <w:p w14:paraId="123C18C2" w14:textId="77777777" w:rsidR="000A3B2B" w:rsidRDefault="000A3B2B" w:rsidP="006904B4">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 xml:space="preserve">– </w:t>
      </w:r>
      <w:r>
        <w:rPr>
          <w:rFonts w:ascii="Arial" w:hAnsi="Arial" w:cs="Arial"/>
          <w:color w:val="000000"/>
          <w:sz w:val="18"/>
          <w:szCs w:val="18"/>
          <w:lang w:val="x-none"/>
        </w:rPr>
        <w:tab/>
        <w:t>szczegółowe warunki techniczne wykonania robót (np. wymagane zagęszczenie zasypki, nasypu itp.).</w:t>
      </w:r>
    </w:p>
    <w:p w14:paraId="268E7EA1" w14:textId="77777777" w:rsidR="000A3B2B" w:rsidRDefault="000A3B2B" w:rsidP="006904B4">
      <w:pPr>
        <w:autoSpaceDE w:val="0"/>
        <w:autoSpaceDN w:val="0"/>
        <w:adjustRightInd w:val="0"/>
        <w:spacing w:after="30" w:line="240" w:lineRule="auto"/>
        <w:ind w:left="630" w:hanging="630"/>
        <w:jc w:val="both"/>
        <w:rPr>
          <w:rFonts w:ascii="Arial" w:hAnsi="Arial" w:cs="Arial"/>
          <w:color w:val="000000"/>
          <w:sz w:val="18"/>
          <w:szCs w:val="18"/>
          <w:lang w:val="x-none"/>
        </w:rPr>
      </w:pPr>
      <w:r>
        <w:rPr>
          <w:rFonts w:ascii="Arial" w:hAnsi="Arial" w:cs="Arial"/>
          <w:b/>
          <w:bCs/>
          <w:color w:val="000000"/>
          <w:sz w:val="18"/>
          <w:szCs w:val="18"/>
          <w:lang w:val="x-none"/>
        </w:rPr>
        <w:t>1.5.2.</w:t>
      </w:r>
      <w:r>
        <w:rPr>
          <w:rFonts w:ascii="Arial" w:hAnsi="Arial" w:cs="Arial"/>
          <w:color w:val="000000"/>
          <w:sz w:val="18"/>
          <w:szCs w:val="18"/>
          <w:lang w:val="x-none"/>
        </w:rPr>
        <w:tab/>
        <w:t>Głębokość wykopu – różnica rzędnej terenu i rzędnej dna robót ziemnych po wykonaniu zdjęcia warstwy ziemi urodzajnej.</w:t>
      </w:r>
    </w:p>
    <w:p w14:paraId="439CAA26" w14:textId="77777777" w:rsidR="000A3B2B" w:rsidRDefault="000A3B2B" w:rsidP="006904B4">
      <w:pPr>
        <w:autoSpaceDE w:val="0"/>
        <w:autoSpaceDN w:val="0"/>
        <w:adjustRightInd w:val="0"/>
        <w:spacing w:after="30" w:line="240" w:lineRule="auto"/>
        <w:ind w:left="630" w:hanging="630"/>
        <w:jc w:val="both"/>
        <w:rPr>
          <w:rFonts w:ascii="Arial" w:hAnsi="Arial" w:cs="Arial"/>
          <w:color w:val="000000"/>
          <w:sz w:val="18"/>
          <w:szCs w:val="18"/>
          <w:lang w:val="x-none"/>
        </w:rPr>
      </w:pPr>
      <w:r>
        <w:rPr>
          <w:rFonts w:ascii="Arial" w:hAnsi="Arial" w:cs="Arial"/>
          <w:b/>
          <w:bCs/>
          <w:color w:val="000000"/>
          <w:sz w:val="18"/>
          <w:szCs w:val="18"/>
          <w:lang w:val="x-none"/>
        </w:rPr>
        <w:t>1.5.3.</w:t>
      </w:r>
      <w:r>
        <w:rPr>
          <w:rFonts w:ascii="Arial" w:hAnsi="Arial" w:cs="Arial"/>
          <w:b/>
          <w:bCs/>
          <w:color w:val="000000"/>
          <w:sz w:val="18"/>
          <w:szCs w:val="18"/>
          <w:lang w:val="x-none"/>
        </w:rPr>
        <w:tab/>
      </w:r>
      <w:r>
        <w:rPr>
          <w:rFonts w:ascii="Arial" w:hAnsi="Arial" w:cs="Arial"/>
          <w:color w:val="000000"/>
          <w:sz w:val="18"/>
          <w:szCs w:val="18"/>
          <w:lang w:val="x-none"/>
        </w:rPr>
        <w:t>Wykop płytki – wykop, którego głębokość jest mniejsza niż 1 m.</w:t>
      </w:r>
    </w:p>
    <w:p w14:paraId="6C384E77" w14:textId="77777777" w:rsidR="000A3B2B" w:rsidRDefault="000A3B2B" w:rsidP="006904B4">
      <w:pPr>
        <w:autoSpaceDE w:val="0"/>
        <w:autoSpaceDN w:val="0"/>
        <w:adjustRightInd w:val="0"/>
        <w:spacing w:after="30" w:line="240" w:lineRule="auto"/>
        <w:ind w:left="630" w:hanging="630"/>
        <w:jc w:val="both"/>
        <w:rPr>
          <w:rFonts w:ascii="Arial" w:hAnsi="Arial" w:cs="Arial"/>
          <w:color w:val="000000"/>
          <w:sz w:val="18"/>
          <w:szCs w:val="18"/>
          <w:lang w:val="x-none"/>
        </w:rPr>
      </w:pPr>
      <w:r>
        <w:rPr>
          <w:rFonts w:ascii="Arial" w:hAnsi="Arial" w:cs="Arial"/>
          <w:b/>
          <w:bCs/>
          <w:color w:val="000000"/>
          <w:sz w:val="18"/>
          <w:szCs w:val="18"/>
          <w:lang w:val="x-none"/>
        </w:rPr>
        <w:t>1.5.4.</w:t>
      </w:r>
      <w:r>
        <w:rPr>
          <w:rFonts w:ascii="Arial" w:hAnsi="Arial" w:cs="Arial"/>
          <w:b/>
          <w:bCs/>
          <w:color w:val="000000"/>
          <w:sz w:val="18"/>
          <w:szCs w:val="18"/>
          <w:lang w:val="x-none"/>
        </w:rPr>
        <w:tab/>
      </w:r>
      <w:r>
        <w:rPr>
          <w:rFonts w:ascii="Arial" w:hAnsi="Arial" w:cs="Arial"/>
          <w:color w:val="000000"/>
          <w:sz w:val="18"/>
          <w:szCs w:val="18"/>
          <w:lang w:val="x-none"/>
        </w:rPr>
        <w:t>Wykop średni – wykop, którego głębokość jest zawarta w granicach od 1 do 3 m.</w:t>
      </w:r>
    </w:p>
    <w:p w14:paraId="47272331" w14:textId="77777777" w:rsidR="000A3B2B" w:rsidRDefault="000A3B2B" w:rsidP="006904B4">
      <w:pPr>
        <w:autoSpaceDE w:val="0"/>
        <w:autoSpaceDN w:val="0"/>
        <w:adjustRightInd w:val="0"/>
        <w:spacing w:after="30" w:line="240" w:lineRule="auto"/>
        <w:ind w:left="630" w:hanging="630"/>
        <w:jc w:val="both"/>
        <w:rPr>
          <w:rFonts w:ascii="Arial" w:hAnsi="Arial" w:cs="Arial"/>
          <w:color w:val="000000"/>
          <w:sz w:val="18"/>
          <w:szCs w:val="18"/>
          <w:lang w:val="x-none"/>
        </w:rPr>
      </w:pPr>
      <w:r>
        <w:rPr>
          <w:rFonts w:ascii="Arial" w:hAnsi="Arial" w:cs="Arial"/>
          <w:b/>
          <w:bCs/>
          <w:color w:val="000000"/>
          <w:sz w:val="18"/>
          <w:szCs w:val="18"/>
          <w:lang w:val="x-none"/>
        </w:rPr>
        <w:t>1.5.5.</w:t>
      </w:r>
      <w:r>
        <w:rPr>
          <w:rFonts w:ascii="Arial" w:hAnsi="Arial" w:cs="Arial"/>
          <w:b/>
          <w:bCs/>
          <w:color w:val="000000"/>
          <w:sz w:val="18"/>
          <w:szCs w:val="18"/>
          <w:lang w:val="x-none"/>
        </w:rPr>
        <w:tab/>
      </w:r>
      <w:r>
        <w:rPr>
          <w:rFonts w:ascii="Arial" w:hAnsi="Arial" w:cs="Arial"/>
          <w:color w:val="000000"/>
          <w:sz w:val="18"/>
          <w:szCs w:val="18"/>
          <w:lang w:val="x-none"/>
        </w:rPr>
        <w:t>Wykop głęboki – wykop, którego głębokość przekracza 3 m.</w:t>
      </w:r>
    </w:p>
    <w:p w14:paraId="437DE14C" w14:textId="77777777" w:rsidR="000A3B2B" w:rsidRDefault="000A3B2B" w:rsidP="006904B4">
      <w:pPr>
        <w:autoSpaceDE w:val="0"/>
        <w:autoSpaceDN w:val="0"/>
        <w:adjustRightInd w:val="0"/>
        <w:spacing w:after="30" w:line="240" w:lineRule="auto"/>
        <w:ind w:left="630" w:hanging="630"/>
        <w:jc w:val="both"/>
        <w:rPr>
          <w:rFonts w:ascii="Arial" w:hAnsi="Arial" w:cs="Arial"/>
          <w:color w:val="000000"/>
          <w:sz w:val="18"/>
          <w:szCs w:val="18"/>
          <w:lang w:val="x-none"/>
        </w:rPr>
      </w:pPr>
      <w:r>
        <w:rPr>
          <w:rFonts w:ascii="Arial" w:hAnsi="Arial" w:cs="Arial"/>
          <w:b/>
          <w:bCs/>
          <w:color w:val="000000"/>
          <w:sz w:val="18"/>
          <w:szCs w:val="18"/>
          <w:lang w:val="x-none"/>
        </w:rPr>
        <w:t>1.5.6.</w:t>
      </w:r>
      <w:r>
        <w:rPr>
          <w:rFonts w:ascii="Arial" w:hAnsi="Arial" w:cs="Arial"/>
          <w:b/>
          <w:bCs/>
          <w:color w:val="000000"/>
          <w:sz w:val="18"/>
          <w:szCs w:val="18"/>
          <w:lang w:val="x-none"/>
        </w:rPr>
        <w:tab/>
      </w:r>
      <w:r>
        <w:rPr>
          <w:rFonts w:ascii="Arial" w:hAnsi="Arial" w:cs="Arial"/>
          <w:color w:val="000000"/>
          <w:sz w:val="18"/>
          <w:szCs w:val="18"/>
          <w:lang w:val="x-none"/>
        </w:rPr>
        <w:t>Grunt skalisty – grunt rodzimy, lity lub spękany o nieprzesuniętych blokach, którego próbki nie wykazują zmian objętości ani nie rozpadają się pod działaniem wody destylowanej; mają wytrzymałość na ściskanie R</w:t>
      </w:r>
      <w:r>
        <w:rPr>
          <w:rFonts w:ascii="Arial" w:hAnsi="Arial" w:cs="Arial"/>
          <w:color w:val="000000"/>
          <w:position w:val="-2"/>
          <w:sz w:val="8"/>
          <w:szCs w:val="8"/>
          <w:lang w:val="x-none"/>
        </w:rPr>
        <w:t>c</w:t>
      </w:r>
      <w:r>
        <w:rPr>
          <w:rFonts w:ascii="Arial" w:hAnsi="Arial" w:cs="Arial"/>
          <w:color w:val="000000"/>
          <w:sz w:val="18"/>
          <w:szCs w:val="18"/>
          <w:lang w:val="x-none"/>
        </w:rPr>
        <w:t xml:space="preserve"> ponad 0,2 </w:t>
      </w:r>
      <w:proofErr w:type="spellStart"/>
      <w:r>
        <w:rPr>
          <w:rFonts w:ascii="Arial" w:hAnsi="Arial" w:cs="Arial"/>
          <w:color w:val="000000"/>
          <w:sz w:val="18"/>
          <w:szCs w:val="18"/>
          <w:lang w:val="x-none"/>
        </w:rPr>
        <w:t>Mpa</w:t>
      </w:r>
      <w:proofErr w:type="spellEnd"/>
      <w:r>
        <w:rPr>
          <w:rFonts w:ascii="Arial" w:hAnsi="Arial" w:cs="Arial"/>
          <w:color w:val="000000"/>
          <w:sz w:val="18"/>
          <w:szCs w:val="18"/>
          <w:lang w:val="x-none"/>
        </w:rPr>
        <w:t>; wymaga użycia środków wybuchowych albo narzędzi pneumatycznych lub hydraulicznych do odspojenia.</w:t>
      </w:r>
    </w:p>
    <w:p w14:paraId="4F38F9EC" w14:textId="77777777" w:rsidR="000A3B2B" w:rsidRDefault="000A3B2B" w:rsidP="006904B4">
      <w:pPr>
        <w:autoSpaceDE w:val="0"/>
        <w:autoSpaceDN w:val="0"/>
        <w:adjustRightInd w:val="0"/>
        <w:spacing w:after="30" w:line="240" w:lineRule="auto"/>
        <w:ind w:left="630" w:hanging="630"/>
        <w:jc w:val="both"/>
        <w:rPr>
          <w:rFonts w:ascii="Arial" w:hAnsi="Arial" w:cs="Arial"/>
          <w:color w:val="000000"/>
          <w:sz w:val="18"/>
          <w:szCs w:val="18"/>
          <w:lang w:val="x-none"/>
        </w:rPr>
      </w:pPr>
      <w:r>
        <w:rPr>
          <w:rFonts w:ascii="Arial" w:hAnsi="Arial" w:cs="Arial"/>
          <w:b/>
          <w:bCs/>
          <w:color w:val="000000"/>
          <w:sz w:val="18"/>
          <w:szCs w:val="18"/>
          <w:lang w:val="x-none"/>
        </w:rPr>
        <w:t>1.5.7.</w:t>
      </w:r>
      <w:r>
        <w:rPr>
          <w:rFonts w:ascii="Arial" w:hAnsi="Arial" w:cs="Arial"/>
          <w:color w:val="000000"/>
          <w:sz w:val="18"/>
          <w:szCs w:val="18"/>
          <w:lang w:val="x-none"/>
        </w:rPr>
        <w:tab/>
        <w:t>Ukop – miejsce pozyskania gruntu do wykonania zasypki lub nasypów, położony w obrębie obiektu kubaturowego.</w:t>
      </w:r>
    </w:p>
    <w:p w14:paraId="57D8C05A" w14:textId="77777777" w:rsidR="000A3B2B" w:rsidRDefault="000A3B2B" w:rsidP="006904B4">
      <w:pPr>
        <w:autoSpaceDE w:val="0"/>
        <w:autoSpaceDN w:val="0"/>
        <w:adjustRightInd w:val="0"/>
        <w:spacing w:after="30" w:line="240" w:lineRule="auto"/>
        <w:ind w:left="630" w:hanging="630"/>
        <w:jc w:val="both"/>
        <w:rPr>
          <w:rFonts w:ascii="Arial" w:hAnsi="Arial" w:cs="Arial"/>
          <w:color w:val="000000"/>
          <w:sz w:val="18"/>
          <w:szCs w:val="18"/>
          <w:lang w:val="x-none"/>
        </w:rPr>
      </w:pPr>
      <w:r>
        <w:rPr>
          <w:rFonts w:ascii="Arial" w:hAnsi="Arial" w:cs="Arial"/>
          <w:b/>
          <w:bCs/>
          <w:color w:val="000000"/>
          <w:sz w:val="18"/>
          <w:szCs w:val="18"/>
          <w:lang w:val="x-none"/>
        </w:rPr>
        <w:t>1.5.8.</w:t>
      </w:r>
      <w:r>
        <w:rPr>
          <w:rFonts w:ascii="Arial" w:hAnsi="Arial" w:cs="Arial"/>
          <w:b/>
          <w:bCs/>
          <w:color w:val="000000"/>
          <w:sz w:val="18"/>
          <w:szCs w:val="18"/>
          <w:lang w:val="x-none"/>
        </w:rPr>
        <w:tab/>
      </w:r>
      <w:r>
        <w:rPr>
          <w:rFonts w:ascii="Arial" w:hAnsi="Arial" w:cs="Arial"/>
          <w:color w:val="000000"/>
          <w:sz w:val="18"/>
          <w:szCs w:val="18"/>
          <w:lang w:val="x-none"/>
        </w:rPr>
        <w:t>Dokop – miejsce pozyskania gruntu do wykonania zasypki wykopu fundamentowego lub wykonania nasypów, położone poza placem budowy.</w:t>
      </w:r>
    </w:p>
    <w:p w14:paraId="315832EF" w14:textId="77777777" w:rsidR="000A3B2B" w:rsidRDefault="000A3B2B" w:rsidP="006904B4">
      <w:pPr>
        <w:autoSpaceDE w:val="0"/>
        <w:autoSpaceDN w:val="0"/>
        <w:adjustRightInd w:val="0"/>
        <w:spacing w:after="30" w:line="240" w:lineRule="auto"/>
        <w:ind w:left="630" w:hanging="630"/>
        <w:jc w:val="both"/>
        <w:rPr>
          <w:rFonts w:ascii="Arial" w:hAnsi="Arial" w:cs="Arial"/>
          <w:color w:val="000000"/>
          <w:sz w:val="18"/>
          <w:szCs w:val="18"/>
          <w:lang w:val="x-none"/>
        </w:rPr>
      </w:pPr>
      <w:r>
        <w:rPr>
          <w:rFonts w:ascii="Arial" w:hAnsi="Arial" w:cs="Arial"/>
          <w:b/>
          <w:bCs/>
          <w:color w:val="000000"/>
          <w:sz w:val="18"/>
          <w:szCs w:val="18"/>
          <w:lang w:val="x-none"/>
        </w:rPr>
        <w:t>1.5.9.</w:t>
      </w:r>
      <w:r>
        <w:rPr>
          <w:rFonts w:ascii="Arial" w:hAnsi="Arial" w:cs="Arial"/>
          <w:b/>
          <w:bCs/>
          <w:color w:val="000000"/>
          <w:sz w:val="18"/>
          <w:szCs w:val="18"/>
          <w:lang w:val="x-none"/>
        </w:rPr>
        <w:tab/>
      </w:r>
      <w:r>
        <w:rPr>
          <w:rFonts w:ascii="Arial" w:hAnsi="Arial" w:cs="Arial"/>
          <w:color w:val="000000"/>
          <w:sz w:val="18"/>
          <w:szCs w:val="18"/>
          <w:lang w:val="x-none"/>
        </w:rPr>
        <w:t>Odkład – miejsce wbudowania lub składowania (odwiezienia) gruntów pozyskanych w czasie wykonywania wykopów, a nie wykorzystanych do budowy obiektu oraz innych prac związanych z tym obiektem.</w:t>
      </w:r>
    </w:p>
    <w:p w14:paraId="1FA6C66E" w14:textId="77777777" w:rsidR="000A3B2B" w:rsidRDefault="000A3B2B" w:rsidP="006904B4">
      <w:pPr>
        <w:autoSpaceDE w:val="0"/>
        <w:autoSpaceDN w:val="0"/>
        <w:adjustRightInd w:val="0"/>
        <w:spacing w:after="30" w:line="240" w:lineRule="auto"/>
        <w:ind w:left="630" w:hanging="630"/>
        <w:jc w:val="both"/>
        <w:rPr>
          <w:rFonts w:ascii="Arial" w:hAnsi="Arial" w:cs="Arial"/>
          <w:color w:val="000000"/>
          <w:sz w:val="18"/>
          <w:szCs w:val="18"/>
          <w:lang w:val="x-none"/>
        </w:rPr>
      </w:pPr>
      <w:r>
        <w:rPr>
          <w:rFonts w:ascii="Arial" w:hAnsi="Arial" w:cs="Arial"/>
          <w:b/>
          <w:bCs/>
          <w:color w:val="000000"/>
          <w:sz w:val="18"/>
          <w:szCs w:val="18"/>
          <w:lang w:val="x-none"/>
        </w:rPr>
        <w:t>1.5.10.</w:t>
      </w:r>
      <w:r>
        <w:rPr>
          <w:rFonts w:ascii="Arial" w:hAnsi="Arial" w:cs="Arial"/>
          <w:b/>
          <w:bCs/>
          <w:color w:val="000000"/>
          <w:sz w:val="18"/>
          <w:szCs w:val="18"/>
          <w:lang w:val="x-none"/>
        </w:rPr>
        <w:tab/>
      </w:r>
      <w:r>
        <w:rPr>
          <w:rFonts w:ascii="Arial" w:hAnsi="Arial" w:cs="Arial"/>
          <w:color w:val="000000"/>
          <w:sz w:val="18"/>
          <w:szCs w:val="18"/>
          <w:lang w:val="x-none"/>
        </w:rPr>
        <w:t>Wskaźnik zagęszczenia gruntu – wielkość charakteryzująca stan zagęszczenia gruntu, określona wg wzoru:</w:t>
      </w:r>
    </w:p>
    <w:tbl>
      <w:tblPr>
        <w:tblW w:w="0" w:type="auto"/>
        <w:jc w:val="center"/>
        <w:tblCellSpacing w:w="0" w:type="dxa"/>
        <w:tblLayout w:type="fixed"/>
        <w:tblCellMar>
          <w:left w:w="0" w:type="dxa"/>
          <w:right w:w="0" w:type="dxa"/>
        </w:tblCellMar>
        <w:tblLook w:val="0000" w:firstRow="0" w:lastRow="0" w:firstColumn="0" w:lastColumn="0" w:noHBand="0" w:noVBand="0"/>
      </w:tblPr>
      <w:tblGrid>
        <w:gridCol w:w="922"/>
        <w:gridCol w:w="526"/>
      </w:tblGrid>
      <w:tr w:rsidR="000A3B2B" w14:paraId="180EAC66" w14:textId="77777777" w:rsidTr="006904B4">
        <w:trPr>
          <w:trHeight w:val="60"/>
          <w:tblCellSpacing w:w="0" w:type="dxa"/>
          <w:jc w:val="center"/>
        </w:trPr>
        <w:tc>
          <w:tcPr>
            <w:tcW w:w="922" w:type="dxa"/>
            <w:vMerge w:val="restart"/>
            <w:tcBorders>
              <w:top w:val="nil"/>
              <w:left w:val="nil"/>
              <w:bottom w:val="nil"/>
              <w:right w:val="nil"/>
            </w:tcBorders>
            <w:vAlign w:val="center"/>
          </w:tcPr>
          <w:p w14:paraId="5C172800" w14:textId="77777777" w:rsidR="000A3B2B" w:rsidRDefault="000A3B2B" w:rsidP="006904B4">
            <w:pPr>
              <w:autoSpaceDE w:val="0"/>
              <w:autoSpaceDN w:val="0"/>
              <w:adjustRightInd w:val="0"/>
              <w:spacing w:after="30" w:line="240" w:lineRule="auto"/>
              <w:jc w:val="center"/>
              <w:rPr>
                <w:rFonts w:ascii="Arial" w:hAnsi="Arial" w:cs="Arial"/>
                <w:color w:val="000000"/>
                <w:sz w:val="20"/>
                <w:szCs w:val="20"/>
                <w:lang w:val="x-none"/>
              </w:rPr>
            </w:pPr>
            <w:r>
              <w:rPr>
                <w:rFonts w:ascii="Arial" w:hAnsi="Arial" w:cs="Arial"/>
                <w:b/>
                <w:bCs/>
                <w:i/>
                <w:iCs/>
                <w:color w:val="000000"/>
                <w:sz w:val="20"/>
                <w:szCs w:val="20"/>
                <w:lang w:val="x-none"/>
              </w:rPr>
              <w:t>I</w:t>
            </w:r>
            <w:r>
              <w:rPr>
                <w:rFonts w:ascii="Arial" w:hAnsi="Arial" w:cs="Arial"/>
                <w:b/>
                <w:bCs/>
                <w:i/>
                <w:iCs/>
                <w:color w:val="000000"/>
                <w:position w:val="-2"/>
                <w:sz w:val="10"/>
                <w:szCs w:val="10"/>
                <w:lang w:val="x-none"/>
              </w:rPr>
              <w:t>s</w:t>
            </w:r>
            <w:r>
              <w:rPr>
                <w:rFonts w:ascii="Arial" w:hAnsi="Arial" w:cs="Arial"/>
                <w:b/>
                <w:bCs/>
                <w:i/>
                <w:iCs/>
                <w:color w:val="000000"/>
                <w:sz w:val="20"/>
                <w:szCs w:val="20"/>
                <w:lang w:val="x-none"/>
              </w:rPr>
              <w:t xml:space="preserve"> </w:t>
            </w:r>
            <w:r>
              <w:rPr>
                <w:rFonts w:ascii="Arial" w:hAnsi="Arial" w:cs="Arial"/>
                <w:color w:val="000000"/>
                <w:sz w:val="20"/>
                <w:szCs w:val="20"/>
                <w:lang w:val="x-none"/>
              </w:rPr>
              <w:t>=</w:t>
            </w:r>
          </w:p>
        </w:tc>
        <w:tc>
          <w:tcPr>
            <w:tcW w:w="526" w:type="dxa"/>
            <w:tcBorders>
              <w:top w:val="nil"/>
              <w:left w:val="nil"/>
              <w:bottom w:val="single" w:sz="6" w:space="0" w:color="auto"/>
              <w:right w:val="nil"/>
            </w:tcBorders>
            <w:vAlign w:val="center"/>
          </w:tcPr>
          <w:p w14:paraId="7F66711F" w14:textId="77777777" w:rsidR="000A3B2B" w:rsidRDefault="000A3B2B" w:rsidP="006904B4">
            <w:pPr>
              <w:autoSpaceDE w:val="0"/>
              <w:autoSpaceDN w:val="0"/>
              <w:adjustRightInd w:val="0"/>
              <w:spacing w:after="30" w:line="240" w:lineRule="auto"/>
              <w:jc w:val="center"/>
              <w:rPr>
                <w:rFonts w:ascii="Arial" w:hAnsi="Arial" w:cs="Arial"/>
                <w:b/>
                <w:bCs/>
                <w:i/>
                <w:iCs/>
                <w:color w:val="000000"/>
                <w:position w:val="-2"/>
                <w:sz w:val="10"/>
                <w:szCs w:val="10"/>
                <w:lang w:val="x-none"/>
              </w:rPr>
            </w:pPr>
            <w:r>
              <w:rPr>
                <w:rFonts w:ascii="Arial" w:hAnsi="Arial" w:cs="Arial"/>
                <w:b/>
                <w:bCs/>
                <w:i/>
                <w:iCs/>
                <w:color w:val="000000"/>
                <w:sz w:val="20"/>
                <w:szCs w:val="20"/>
                <w:lang w:val="x-none"/>
              </w:rPr>
              <w:t>p</w:t>
            </w:r>
            <w:r>
              <w:rPr>
                <w:rFonts w:ascii="Arial" w:hAnsi="Arial" w:cs="Arial"/>
                <w:b/>
                <w:bCs/>
                <w:i/>
                <w:iCs/>
                <w:color w:val="000000"/>
                <w:position w:val="-2"/>
                <w:sz w:val="10"/>
                <w:szCs w:val="10"/>
                <w:lang w:val="x-none"/>
              </w:rPr>
              <w:t>d</w:t>
            </w:r>
          </w:p>
        </w:tc>
      </w:tr>
      <w:tr w:rsidR="000A3B2B" w14:paraId="47602348" w14:textId="77777777" w:rsidTr="006904B4">
        <w:trPr>
          <w:trHeight w:val="60"/>
          <w:tblCellSpacing w:w="0" w:type="dxa"/>
          <w:jc w:val="center"/>
        </w:trPr>
        <w:tc>
          <w:tcPr>
            <w:tcW w:w="922" w:type="dxa"/>
            <w:vMerge/>
            <w:tcBorders>
              <w:top w:val="nil"/>
              <w:left w:val="nil"/>
              <w:bottom w:val="nil"/>
              <w:right w:val="nil"/>
            </w:tcBorders>
            <w:vAlign w:val="center"/>
          </w:tcPr>
          <w:p w14:paraId="05F87B88" w14:textId="77777777" w:rsidR="000A3B2B" w:rsidRDefault="000A3B2B" w:rsidP="006904B4">
            <w:pPr>
              <w:autoSpaceDE w:val="0"/>
              <w:autoSpaceDN w:val="0"/>
              <w:adjustRightInd w:val="0"/>
              <w:spacing w:after="0" w:line="240" w:lineRule="auto"/>
              <w:rPr>
                <w:rFonts w:ascii="Arial" w:hAnsi="Arial" w:cs="Arial"/>
                <w:color w:val="000000"/>
                <w:sz w:val="18"/>
                <w:szCs w:val="18"/>
                <w:lang w:val="x-none"/>
              </w:rPr>
            </w:pPr>
          </w:p>
        </w:tc>
        <w:tc>
          <w:tcPr>
            <w:tcW w:w="526" w:type="dxa"/>
            <w:tcBorders>
              <w:top w:val="single" w:sz="6" w:space="0" w:color="000000"/>
              <w:left w:val="nil"/>
              <w:bottom w:val="nil"/>
              <w:right w:val="nil"/>
            </w:tcBorders>
            <w:vAlign w:val="center"/>
          </w:tcPr>
          <w:p w14:paraId="28A7C5E8" w14:textId="77777777" w:rsidR="000A3B2B" w:rsidRDefault="000A3B2B" w:rsidP="006904B4">
            <w:pPr>
              <w:autoSpaceDE w:val="0"/>
              <w:autoSpaceDN w:val="0"/>
              <w:adjustRightInd w:val="0"/>
              <w:spacing w:after="30" w:line="240" w:lineRule="auto"/>
              <w:jc w:val="center"/>
              <w:rPr>
                <w:rFonts w:ascii="Arial" w:hAnsi="Arial" w:cs="Arial"/>
                <w:b/>
                <w:bCs/>
                <w:i/>
                <w:iCs/>
                <w:color w:val="000000"/>
                <w:position w:val="-2"/>
                <w:sz w:val="10"/>
                <w:szCs w:val="10"/>
                <w:lang w:val="x-none"/>
              </w:rPr>
            </w:pPr>
            <w:r>
              <w:rPr>
                <w:rFonts w:ascii="Arial" w:hAnsi="Arial" w:cs="Arial"/>
                <w:b/>
                <w:bCs/>
                <w:i/>
                <w:iCs/>
                <w:color w:val="000000"/>
                <w:sz w:val="20"/>
                <w:szCs w:val="20"/>
                <w:lang w:val="x-none"/>
              </w:rPr>
              <w:t>p</w:t>
            </w:r>
            <w:proofErr w:type="spellStart"/>
            <w:r>
              <w:rPr>
                <w:rFonts w:ascii="Arial" w:hAnsi="Arial" w:cs="Arial"/>
                <w:b/>
                <w:bCs/>
                <w:i/>
                <w:iCs/>
                <w:color w:val="000000"/>
                <w:position w:val="-2"/>
                <w:sz w:val="10"/>
                <w:szCs w:val="10"/>
                <w:lang w:val="x-none"/>
              </w:rPr>
              <w:t>ds</w:t>
            </w:r>
            <w:proofErr w:type="spellEnd"/>
          </w:p>
        </w:tc>
      </w:tr>
    </w:tbl>
    <w:p w14:paraId="4E365E5E" w14:textId="77777777" w:rsidR="000A3B2B" w:rsidRDefault="000A3B2B" w:rsidP="006904B4">
      <w:pPr>
        <w:autoSpaceDE w:val="0"/>
        <w:autoSpaceDN w:val="0"/>
        <w:adjustRightInd w:val="0"/>
        <w:spacing w:after="30" w:line="240" w:lineRule="auto"/>
        <w:ind w:left="675"/>
        <w:jc w:val="both"/>
        <w:rPr>
          <w:rFonts w:ascii="Arial" w:hAnsi="Arial" w:cs="Arial"/>
          <w:color w:val="000000"/>
          <w:sz w:val="18"/>
          <w:szCs w:val="18"/>
          <w:lang w:val="x-none"/>
        </w:rPr>
      </w:pPr>
      <w:r>
        <w:rPr>
          <w:rFonts w:ascii="Arial" w:hAnsi="Arial" w:cs="Arial"/>
          <w:color w:val="000000"/>
          <w:sz w:val="18"/>
          <w:szCs w:val="18"/>
          <w:lang w:val="x-none"/>
        </w:rPr>
        <w:t>gdzie:</w:t>
      </w:r>
    </w:p>
    <w:p w14:paraId="16CF147E" w14:textId="77777777" w:rsidR="000A3B2B" w:rsidRDefault="000A3B2B" w:rsidP="006904B4">
      <w:pPr>
        <w:autoSpaceDE w:val="0"/>
        <w:autoSpaceDN w:val="0"/>
        <w:adjustRightInd w:val="0"/>
        <w:spacing w:after="30" w:line="240" w:lineRule="auto"/>
        <w:ind w:left="1245" w:hanging="570"/>
        <w:jc w:val="both"/>
        <w:rPr>
          <w:rFonts w:ascii="Arial" w:hAnsi="Arial" w:cs="Arial"/>
          <w:color w:val="000000"/>
          <w:sz w:val="18"/>
          <w:szCs w:val="18"/>
          <w:lang w:val="x-none"/>
        </w:rPr>
      </w:pPr>
      <w:r>
        <w:rPr>
          <w:rFonts w:ascii="Arial" w:hAnsi="Arial" w:cs="Arial"/>
          <w:i/>
          <w:iCs/>
          <w:color w:val="000000"/>
          <w:sz w:val="18"/>
          <w:szCs w:val="18"/>
          <w:lang w:val="x-none"/>
        </w:rPr>
        <w:t>p</w:t>
      </w:r>
      <w:r>
        <w:rPr>
          <w:rFonts w:ascii="Arial" w:hAnsi="Arial" w:cs="Arial"/>
          <w:i/>
          <w:iCs/>
          <w:color w:val="000000"/>
          <w:position w:val="-2"/>
          <w:sz w:val="8"/>
          <w:szCs w:val="8"/>
          <w:lang w:val="x-none"/>
        </w:rPr>
        <w:t xml:space="preserve">d </w:t>
      </w:r>
      <w:r>
        <w:rPr>
          <w:rFonts w:ascii="Arial" w:hAnsi="Arial" w:cs="Arial"/>
          <w:color w:val="000000"/>
          <w:sz w:val="18"/>
          <w:szCs w:val="18"/>
          <w:lang w:val="x-none"/>
        </w:rPr>
        <w:t xml:space="preserve">   –</w:t>
      </w:r>
      <w:r>
        <w:rPr>
          <w:rFonts w:ascii="Arial" w:hAnsi="Arial" w:cs="Arial"/>
          <w:color w:val="000000"/>
          <w:sz w:val="18"/>
          <w:szCs w:val="18"/>
          <w:lang w:val="x-none"/>
        </w:rPr>
        <w:tab/>
        <w:t>gęstość objętościowa szkieletu zagęszczonego gruntu (Mg/m</w:t>
      </w:r>
      <w:r>
        <w:rPr>
          <w:rFonts w:ascii="Arial" w:hAnsi="Arial" w:cs="Arial"/>
          <w:color w:val="000000"/>
          <w:position w:val="4"/>
          <w:sz w:val="8"/>
          <w:szCs w:val="8"/>
          <w:lang w:val="x-none"/>
        </w:rPr>
        <w:t>3</w:t>
      </w:r>
      <w:r>
        <w:rPr>
          <w:rFonts w:ascii="Arial" w:hAnsi="Arial" w:cs="Arial"/>
          <w:color w:val="000000"/>
          <w:sz w:val="18"/>
          <w:szCs w:val="18"/>
          <w:lang w:val="x-none"/>
        </w:rPr>
        <w:t>),</w:t>
      </w:r>
    </w:p>
    <w:p w14:paraId="2151DF2C" w14:textId="77777777" w:rsidR="000A3B2B" w:rsidRDefault="000A3B2B" w:rsidP="006904B4">
      <w:pPr>
        <w:autoSpaceDE w:val="0"/>
        <w:autoSpaceDN w:val="0"/>
        <w:adjustRightInd w:val="0"/>
        <w:spacing w:after="30" w:line="240" w:lineRule="auto"/>
        <w:ind w:left="1245" w:hanging="570"/>
        <w:jc w:val="both"/>
        <w:rPr>
          <w:rFonts w:ascii="Arial" w:hAnsi="Arial" w:cs="Arial"/>
          <w:color w:val="000000"/>
          <w:sz w:val="18"/>
          <w:szCs w:val="18"/>
          <w:lang w:val="x-none"/>
        </w:rPr>
      </w:pPr>
      <w:r>
        <w:rPr>
          <w:rFonts w:ascii="Arial" w:hAnsi="Arial" w:cs="Arial"/>
          <w:i/>
          <w:iCs/>
          <w:color w:val="000000"/>
          <w:sz w:val="18"/>
          <w:szCs w:val="18"/>
          <w:lang w:val="x-none"/>
        </w:rPr>
        <w:lastRenderedPageBreak/>
        <w:t>p</w:t>
      </w:r>
      <w:proofErr w:type="spellStart"/>
      <w:r>
        <w:rPr>
          <w:rFonts w:ascii="Arial" w:hAnsi="Arial" w:cs="Arial"/>
          <w:i/>
          <w:iCs/>
          <w:color w:val="000000"/>
          <w:position w:val="-2"/>
          <w:sz w:val="8"/>
          <w:szCs w:val="8"/>
          <w:lang w:val="x-none"/>
        </w:rPr>
        <w:t>ds</w:t>
      </w:r>
      <w:proofErr w:type="spellEnd"/>
      <w:r>
        <w:rPr>
          <w:rFonts w:ascii="Arial" w:hAnsi="Arial" w:cs="Arial"/>
          <w:i/>
          <w:iCs/>
          <w:color w:val="000000"/>
          <w:sz w:val="18"/>
          <w:szCs w:val="18"/>
          <w:lang w:val="x-none"/>
        </w:rPr>
        <w:t xml:space="preserve"> </w:t>
      </w:r>
      <w:r>
        <w:rPr>
          <w:rFonts w:ascii="Arial" w:hAnsi="Arial" w:cs="Arial"/>
          <w:color w:val="000000"/>
          <w:sz w:val="18"/>
          <w:szCs w:val="18"/>
          <w:lang w:val="x-none"/>
        </w:rPr>
        <w:t xml:space="preserve">  –</w:t>
      </w:r>
      <w:r>
        <w:rPr>
          <w:rFonts w:ascii="Arial" w:hAnsi="Arial" w:cs="Arial"/>
          <w:color w:val="000000"/>
          <w:sz w:val="18"/>
          <w:szCs w:val="18"/>
          <w:lang w:val="x-none"/>
        </w:rPr>
        <w:tab/>
        <w:t xml:space="preserve">maksymalna gęstość objętościowa szkieletu gruntowego przy wilgotności optymalnej, określona w normalnej próbie </w:t>
      </w:r>
      <w:proofErr w:type="spellStart"/>
      <w:r>
        <w:rPr>
          <w:rFonts w:ascii="Arial" w:hAnsi="Arial" w:cs="Arial"/>
          <w:color w:val="000000"/>
          <w:sz w:val="18"/>
          <w:szCs w:val="18"/>
          <w:lang w:val="x-none"/>
        </w:rPr>
        <w:t>Proctora</w:t>
      </w:r>
      <w:proofErr w:type="spellEnd"/>
      <w:r>
        <w:rPr>
          <w:rFonts w:ascii="Arial" w:hAnsi="Arial" w:cs="Arial"/>
          <w:color w:val="000000"/>
          <w:sz w:val="18"/>
          <w:szCs w:val="18"/>
          <w:lang w:val="x-none"/>
        </w:rPr>
        <w:t>, zgodnie z PN-B-04481 [3], służąca do oceny zagęszczenia gruntu w robotach ziemnych, badana zgodnie z normą BN-77/8931-12 [5] (Mg/m</w:t>
      </w:r>
      <w:r>
        <w:rPr>
          <w:rFonts w:ascii="Arial" w:hAnsi="Arial" w:cs="Arial"/>
          <w:color w:val="000000"/>
          <w:position w:val="4"/>
          <w:sz w:val="8"/>
          <w:szCs w:val="8"/>
          <w:lang w:val="x-none"/>
        </w:rPr>
        <w:t>3</w:t>
      </w:r>
      <w:r>
        <w:rPr>
          <w:rFonts w:ascii="Arial" w:hAnsi="Arial" w:cs="Arial"/>
          <w:color w:val="000000"/>
          <w:sz w:val="18"/>
          <w:szCs w:val="18"/>
          <w:lang w:val="x-none"/>
        </w:rPr>
        <w:t>).</w:t>
      </w:r>
    </w:p>
    <w:p w14:paraId="5CEB53B4" w14:textId="77777777" w:rsidR="000A3B2B" w:rsidRDefault="000A3B2B" w:rsidP="006904B4">
      <w:pPr>
        <w:autoSpaceDE w:val="0"/>
        <w:autoSpaceDN w:val="0"/>
        <w:adjustRightInd w:val="0"/>
        <w:spacing w:after="30" w:line="240" w:lineRule="auto"/>
        <w:ind w:left="630" w:hanging="630"/>
        <w:jc w:val="both"/>
        <w:rPr>
          <w:rFonts w:ascii="Arial" w:hAnsi="Arial" w:cs="Arial"/>
          <w:color w:val="000000"/>
          <w:sz w:val="18"/>
          <w:szCs w:val="18"/>
          <w:lang w:val="x-none"/>
        </w:rPr>
      </w:pPr>
      <w:r>
        <w:rPr>
          <w:rFonts w:ascii="Arial" w:hAnsi="Arial" w:cs="Arial"/>
          <w:b/>
          <w:bCs/>
          <w:color w:val="000000"/>
          <w:sz w:val="18"/>
          <w:szCs w:val="18"/>
          <w:lang w:val="x-none"/>
        </w:rPr>
        <w:t>1.5.11.</w:t>
      </w:r>
      <w:r>
        <w:rPr>
          <w:rFonts w:ascii="Arial" w:hAnsi="Arial" w:cs="Arial"/>
          <w:b/>
          <w:bCs/>
          <w:color w:val="000000"/>
          <w:sz w:val="18"/>
          <w:szCs w:val="18"/>
          <w:lang w:val="x-none"/>
        </w:rPr>
        <w:tab/>
      </w:r>
      <w:r>
        <w:rPr>
          <w:rFonts w:ascii="Arial" w:hAnsi="Arial" w:cs="Arial"/>
          <w:color w:val="000000"/>
          <w:sz w:val="18"/>
          <w:szCs w:val="18"/>
          <w:lang w:val="x-none"/>
        </w:rPr>
        <w:t xml:space="preserve">Wskaźnik różnoziarnistości – wielkość charakteryzująca </w:t>
      </w:r>
      <w:proofErr w:type="spellStart"/>
      <w:r>
        <w:rPr>
          <w:rFonts w:ascii="Arial" w:hAnsi="Arial" w:cs="Arial"/>
          <w:color w:val="000000"/>
          <w:sz w:val="18"/>
          <w:szCs w:val="18"/>
          <w:lang w:val="x-none"/>
        </w:rPr>
        <w:t>zagęszczalność</w:t>
      </w:r>
      <w:proofErr w:type="spellEnd"/>
      <w:r>
        <w:rPr>
          <w:rFonts w:ascii="Arial" w:hAnsi="Arial" w:cs="Arial"/>
          <w:color w:val="000000"/>
          <w:sz w:val="18"/>
          <w:szCs w:val="18"/>
          <w:lang w:val="x-none"/>
        </w:rPr>
        <w:t xml:space="preserve"> gruntów niespoistych, określona wg wzoru:</w:t>
      </w:r>
    </w:p>
    <w:tbl>
      <w:tblPr>
        <w:tblW w:w="0" w:type="auto"/>
        <w:jc w:val="center"/>
        <w:tblCellSpacing w:w="0" w:type="dxa"/>
        <w:tblLayout w:type="fixed"/>
        <w:tblCellMar>
          <w:left w:w="0" w:type="dxa"/>
          <w:right w:w="0" w:type="dxa"/>
        </w:tblCellMar>
        <w:tblLook w:val="0000" w:firstRow="0" w:lastRow="0" w:firstColumn="0" w:lastColumn="0" w:noHBand="0" w:noVBand="0"/>
      </w:tblPr>
      <w:tblGrid>
        <w:gridCol w:w="638"/>
        <w:gridCol w:w="524"/>
      </w:tblGrid>
      <w:tr w:rsidR="000A3B2B" w14:paraId="1631E21A" w14:textId="77777777" w:rsidTr="006904B4">
        <w:trPr>
          <w:trHeight w:val="60"/>
          <w:tblCellSpacing w:w="0" w:type="dxa"/>
          <w:jc w:val="center"/>
        </w:trPr>
        <w:tc>
          <w:tcPr>
            <w:tcW w:w="638" w:type="dxa"/>
            <w:vMerge w:val="restart"/>
            <w:tcBorders>
              <w:top w:val="nil"/>
              <w:left w:val="nil"/>
              <w:bottom w:val="nil"/>
              <w:right w:val="nil"/>
            </w:tcBorders>
            <w:vAlign w:val="center"/>
          </w:tcPr>
          <w:p w14:paraId="4AF70D7C" w14:textId="77777777" w:rsidR="000A3B2B" w:rsidRDefault="000A3B2B" w:rsidP="006904B4">
            <w:pPr>
              <w:autoSpaceDE w:val="0"/>
              <w:autoSpaceDN w:val="0"/>
              <w:adjustRightInd w:val="0"/>
              <w:spacing w:after="30" w:line="240" w:lineRule="auto"/>
              <w:jc w:val="right"/>
              <w:rPr>
                <w:rFonts w:ascii="Arial" w:hAnsi="Arial" w:cs="Arial"/>
                <w:b/>
                <w:bCs/>
                <w:i/>
                <w:iCs/>
                <w:color w:val="000000"/>
                <w:sz w:val="20"/>
                <w:szCs w:val="20"/>
                <w:lang w:val="x-none"/>
              </w:rPr>
            </w:pPr>
            <w:r>
              <w:rPr>
                <w:rFonts w:ascii="Arial" w:hAnsi="Arial" w:cs="Arial"/>
                <w:b/>
                <w:bCs/>
                <w:i/>
                <w:iCs/>
                <w:color w:val="000000"/>
                <w:sz w:val="20"/>
                <w:szCs w:val="20"/>
                <w:lang w:val="x-none"/>
              </w:rPr>
              <w:t xml:space="preserve">U </w:t>
            </w:r>
            <w:r>
              <w:rPr>
                <w:rFonts w:ascii="Arial" w:hAnsi="Arial" w:cs="Arial"/>
                <w:color w:val="000000"/>
                <w:sz w:val="20"/>
                <w:szCs w:val="20"/>
                <w:lang w:val="x-none"/>
              </w:rPr>
              <w:t>=</w:t>
            </w:r>
            <w:r>
              <w:rPr>
                <w:rFonts w:ascii="Arial" w:hAnsi="Arial" w:cs="Arial"/>
                <w:b/>
                <w:bCs/>
                <w:i/>
                <w:iCs/>
                <w:color w:val="000000"/>
                <w:sz w:val="20"/>
                <w:szCs w:val="20"/>
                <w:lang w:val="x-none"/>
              </w:rPr>
              <w:t xml:space="preserve"> </w:t>
            </w:r>
          </w:p>
        </w:tc>
        <w:tc>
          <w:tcPr>
            <w:tcW w:w="524" w:type="dxa"/>
            <w:tcBorders>
              <w:top w:val="nil"/>
              <w:left w:val="nil"/>
              <w:bottom w:val="single" w:sz="6" w:space="0" w:color="auto"/>
              <w:right w:val="nil"/>
            </w:tcBorders>
            <w:vAlign w:val="center"/>
          </w:tcPr>
          <w:p w14:paraId="02CD39DF" w14:textId="77777777" w:rsidR="000A3B2B" w:rsidRDefault="000A3B2B" w:rsidP="006904B4">
            <w:pPr>
              <w:autoSpaceDE w:val="0"/>
              <w:autoSpaceDN w:val="0"/>
              <w:adjustRightInd w:val="0"/>
              <w:spacing w:after="30" w:line="240" w:lineRule="auto"/>
              <w:jc w:val="center"/>
              <w:rPr>
                <w:rFonts w:ascii="Arial" w:hAnsi="Arial" w:cs="Arial"/>
                <w:b/>
                <w:bCs/>
                <w:i/>
                <w:iCs/>
                <w:color w:val="000000"/>
                <w:position w:val="-2"/>
                <w:sz w:val="10"/>
                <w:szCs w:val="10"/>
                <w:lang w:val="x-none"/>
              </w:rPr>
            </w:pPr>
            <w:r>
              <w:rPr>
                <w:rFonts w:ascii="Arial" w:hAnsi="Arial" w:cs="Arial"/>
                <w:b/>
                <w:bCs/>
                <w:i/>
                <w:iCs/>
                <w:color w:val="000000"/>
                <w:sz w:val="20"/>
                <w:szCs w:val="20"/>
                <w:lang w:val="x-none"/>
              </w:rPr>
              <w:t>d</w:t>
            </w:r>
            <w:r>
              <w:rPr>
                <w:rFonts w:ascii="Arial" w:hAnsi="Arial" w:cs="Arial"/>
                <w:b/>
                <w:bCs/>
                <w:i/>
                <w:iCs/>
                <w:color w:val="000000"/>
                <w:position w:val="-2"/>
                <w:sz w:val="10"/>
                <w:szCs w:val="10"/>
                <w:lang w:val="x-none"/>
              </w:rPr>
              <w:t>60</w:t>
            </w:r>
          </w:p>
        </w:tc>
      </w:tr>
      <w:tr w:rsidR="000A3B2B" w14:paraId="64FA94E0" w14:textId="77777777" w:rsidTr="006904B4">
        <w:trPr>
          <w:trHeight w:val="60"/>
          <w:tblCellSpacing w:w="0" w:type="dxa"/>
          <w:jc w:val="center"/>
        </w:trPr>
        <w:tc>
          <w:tcPr>
            <w:tcW w:w="638" w:type="dxa"/>
            <w:vMerge/>
            <w:tcBorders>
              <w:top w:val="nil"/>
              <w:left w:val="nil"/>
              <w:bottom w:val="nil"/>
              <w:right w:val="nil"/>
            </w:tcBorders>
            <w:vAlign w:val="center"/>
          </w:tcPr>
          <w:p w14:paraId="12BBBADE" w14:textId="77777777" w:rsidR="000A3B2B" w:rsidRDefault="000A3B2B" w:rsidP="006904B4">
            <w:pPr>
              <w:autoSpaceDE w:val="0"/>
              <w:autoSpaceDN w:val="0"/>
              <w:adjustRightInd w:val="0"/>
              <w:spacing w:after="0" w:line="240" w:lineRule="auto"/>
              <w:rPr>
                <w:rFonts w:ascii="Arial" w:hAnsi="Arial" w:cs="Arial"/>
                <w:color w:val="000000"/>
                <w:sz w:val="18"/>
                <w:szCs w:val="18"/>
                <w:lang w:val="x-none"/>
              </w:rPr>
            </w:pPr>
          </w:p>
        </w:tc>
        <w:tc>
          <w:tcPr>
            <w:tcW w:w="524" w:type="dxa"/>
            <w:tcBorders>
              <w:top w:val="single" w:sz="6" w:space="0" w:color="000000"/>
              <w:left w:val="nil"/>
              <w:bottom w:val="nil"/>
              <w:right w:val="nil"/>
            </w:tcBorders>
            <w:vAlign w:val="center"/>
          </w:tcPr>
          <w:p w14:paraId="46FCA2B3" w14:textId="77777777" w:rsidR="000A3B2B" w:rsidRDefault="000A3B2B" w:rsidP="006904B4">
            <w:pPr>
              <w:autoSpaceDE w:val="0"/>
              <w:autoSpaceDN w:val="0"/>
              <w:adjustRightInd w:val="0"/>
              <w:spacing w:after="30" w:line="240" w:lineRule="auto"/>
              <w:jc w:val="center"/>
              <w:rPr>
                <w:rFonts w:ascii="Arial" w:hAnsi="Arial" w:cs="Arial"/>
                <w:b/>
                <w:bCs/>
                <w:i/>
                <w:iCs/>
                <w:color w:val="000000"/>
                <w:position w:val="-2"/>
                <w:sz w:val="10"/>
                <w:szCs w:val="10"/>
                <w:lang w:val="x-none"/>
              </w:rPr>
            </w:pPr>
            <w:r>
              <w:rPr>
                <w:rFonts w:ascii="Arial" w:hAnsi="Arial" w:cs="Arial"/>
                <w:b/>
                <w:bCs/>
                <w:i/>
                <w:iCs/>
                <w:color w:val="000000"/>
                <w:sz w:val="20"/>
                <w:szCs w:val="20"/>
                <w:lang w:val="x-none"/>
              </w:rPr>
              <w:t>d</w:t>
            </w:r>
            <w:r>
              <w:rPr>
                <w:rFonts w:ascii="Arial" w:hAnsi="Arial" w:cs="Arial"/>
                <w:b/>
                <w:bCs/>
                <w:i/>
                <w:iCs/>
                <w:color w:val="000000"/>
                <w:position w:val="-2"/>
                <w:sz w:val="10"/>
                <w:szCs w:val="10"/>
                <w:lang w:val="x-none"/>
              </w:rPr>
              <w:t>10</w:t>
            </w:r>
          </w:p>
        </w:tc>
      </w:tr>
    </w:tbl>
    <w:p w14:paraId="7C2E4C22" w14:textId="77777777" w:rsidR="000A3B2B" w:rsidRDefault="000A3B2B" w:rsidP="006904B4">
      <w:pPr>
        <w:autoSpaceDE w:val="0"/>
        <w:autoSpaceDN w:val="0"/>
        <w:adjustRightInd w:val="0"/>
        <w:spacing w:after="30" w:line="240" w:lineRule="auto"/>
        <w:ind w:left="675"/>
        <w:jc w:val="both"/>
        <w:rPr>
          <w:rFonts w:ascii="Arial" w:hAnsi="Arial" w:cs="Arial"/>
          <w:color w:val="000000"/>
          <w:sz w:val="18"/>
          <w:szCs w:val="18"/>
          <w:lang w:val="x-none"/>
        </w:rPr>
      </w:pPr>
      <w:r>
        <w:rPr>
          <w:rFonts w:ascii="Arial" w:hAnsi="Arial" w:cs="Arial"/>
          <w:color w:val="000000"/>
          <w:sz w:val="18"/>
          <w:szCs w:val="18"/>
          <w:lang w:val="x-none"/>
        </w:rPr>
        <w:t>gdzie:</w:t>
      </w:r>
    </w:p>
    <w:p w14:paraId="172BB0BC" w14:textId="77777777" w:rsidR="000A3B2B" w:rsidRDefault="000A3B2B" w:rsidP="006904B4">
      <w:pPr>
        <w:autoSpaceDE w:val="0"/>
        <w:autoSpaceDN w:val="0"/>
        <w:adjustRightInd w:val="0"/>
        <w:spacing w:after="30" w:line="240" w:lineRule="auto"/>
        <w:ind w:left="675"/>
        <w:jc w:val="both"/>
        <w:rPr>
          <w:rFonts w:ascii="Arial" w:hAnsi="Arial" w:cs="Arial"/>
          <w:color w:val="000000"/>
          <w:sz w:val="18"/>
          <w:szCs w:val="18"/>
          <w:lang w:val="x-none"/>
        </w:rPr>
      </w:pPr>
      <w:r>
        <w:rPr>
          <w:rFonts w:ascii="Arial" w:hAnsi="Arial" w:cs="Arial"/>
          <w:i/>
          <w:iCs/>
          <w:color w:val="000000"/>
          <w:sz w:val="18"/>
          <w:szCs w:val="18"/>
          <w:lang w:val="x-none"/>
        </w:rPr>
        <w:t>d</w:t>
      </w:r>
      <w:r>
        <w:rPr>
          <w:rFonts w:ascii="Arial" w:hAnsi="Arial" w:cs="Arial"/>
          <w:color w:val="000000"/>
          <w:position w:val="-2"/>
          <w:sz w:val="8"/>
          <w:szCs w:val="8"/>
          <w:lang w:val="x-none"/>
        </w:rPr>
        <w:t>60</w:t>
      </w:r>
      <w:r>
        <w:rPr>
          <w:rFonts w:ascii="Arial" w:hAnsi="Arial" w:cs="Arial"/>
          <w:color w:val="000000"/>
          <w:sz w:val="18"/>
          <w:szCs w:val="18"/>
          <w:lang w:val="x-none"/>
        </w:rPr>
        <w:t xml:space="preserve"> – średnica oczek sita, przez które przechodzi 60% gruntu (mm),</w:t>
      </w:r>
    </w:p>
    <w:p w14:paraId="0227E3DC" w14:textId="77777777" w:rsidR="000A3B2B" w:rsidRDefault="000A3B2B" w:rsidP="006904B4">
      <w:pPr>
        <w:autoSpaceDE w:val="0"/>
        <w:autoSpaceDN w:val="0"/>
        <w:adjustRightInd w:val="0"/>
        <w:spacing w:after="30" w:line="240" w:lineRule="auto"/>
        <w:ind w:left="675"/>
        <w:jc w:val="both"/>
        <w:rPr>
          <w:rFonts w:ascii="Arial" w:hAnsi="Arial" w:cs="Arial"/>
          <w:color w:val="000000"/>
          <w:sz w:val="18"/>
          <w:szCs w:val="18"/>
          <w:lang w:val="x-none"/>
        </w:rPr>
      </w:pPr>
      <w:r>
        <w:rPr>
          <w:rFonts w:ascii="Arial" w:hAnsi="Arial" w:cs="Arial"/>
          <w:i/>
          <w:iCs/>
          <w:color w:val="000000"/>
          <w:sz w:val="18"/>
          <w:szCs w:val="18"/>
          <w:lang w:val="x-none"/>
        </w:rPr>
        <w:t>d</w:t>
      </w:r>
      <w:r>
        <w:rPr>
          <w:rFonts w:ascii="Arial" w:hAnsi="Arial" w:cs="Arial"/>
          <w:i/>
          <w:iCs/>
          <w:color w:val="000000"/>
          <w:position w:val="-2"/>
          <w:sz w:val="8"/>
          <w:szCs w:val="8"/>
          <w:lang w:val="x-none"/>
        </w:rPr>
        <w:t>10</w:t>
      </w:r>
      <w:r>
        <w:rPr>
          <w:rFonts w:ascii="Arial" w:hAnsi="Arial" w:cs="Arial"/>
          <w:color w:val="000000"/>
          <w:sz w:val="18"/>
          <w:szCs w:val="18"/>
          <w:lang w:val="x-none"/>
        </w:rPr>
        <w:t xml:space="preserve"> – średnica oczek sita, przez które przechodzi 10% gruntu (mm).</w:t>
      </w:r>
    </w:p>
    <w:p w14:paraId="4F5D0DF1" w14:textId="77777777" w:rsidR="000A3B2B" w:rsidRDefault="000A3B2B" w:rsidP="006904B4">
      <w:pPr>
        <w:autoSpaceDE w:val="0"/>
        <w:autoSpaceDN w:val="0"/>
        <w:adjustRightInd w:val="0"/>
        <w:spacing w:after="30" w:line="240" w:lineRule="auto"/>
        <w:ind w:left="630" w:hanging="630"/>
        <w:jc w:val="both"/>
        <w:rPr>
          <w:rFonts w:ascii="Arial" w:hAnsi="Arial" w:cs="Arial"/>
          <w:color w:val="000000"/>
          <w:sz w:val="18"/>
          <w:szCs w:val="18"/>
          <w:lang w:val="x-none"/>
        </w:rPr>
      </w:pPr>
      <w:r>
        <w:rPr>
          <w:rFonts w:ascii="Arial" w:hAnsi="Arial" w:cs="Arial"/>
          <w:b/>
          <w:bCs/>
          <w:color w:val="000000"/>
          <w:sz w:val="18"/>
          <w:szCs w:val="18"/>
          <w:lang w:val="x-none"/>
        </w:rPr>
        <w:t>1.5.12.</w:t>
      </w:r>
      <w:r>
        <w:rPr>
          <w:rFonts w:ascii="Arial" w:hAnsi="Arial" w:cs="Arial"/>
          <w:b/>
          <w:bCs/>
          <w:color w:val="000000"/>
          <w:sz w:val="18"/>
          <w:szCs w:val="18"/>
          <w:lang w:val="x-none"/>
        </w:rPr>
        <w:tab/>
      </w:r>
      <w:r>
        <w:rPr>
          <w:rFonts w:ascii="Arial" w:hAnsi="Arial" w:cs="Arial"/>
          <w:color w:val="000000"/>
          <w:sz w:val="18"/>
          <w:szCs w:val="18"/>
          <w:lang w:val="x-none"/>
        </w:rPr>
        <w:t>Pozostałe określenia podstawowe i definicje wynikające z polskich norm, przepisów i literatury technicznej:</w:t>
      </w:r>
    </w:p>
    <w:p w14:paraId="3FECB809" w14:textId="77777777" w:rsidR="000A3B2B" w:rsidRDefault="000A3B2B" w:rsidP="006904B4">
      <w:pPr>
        <w:autoSpaceDE w:val="0"/>
        <w:autoSpaceDN w:val="0"/>
        <w:adjustRightInd w:val="0"/>
        <w:spacing w:after="30" w:line="240" w:lineRule="auto"/>
        <w:ind w:left="900" w:hanging="285"/>
        <w:jc w:val="both"/>
        <w:rPr>
          <w:rFonts w:ascii="Arial" w:hAnsi="Arial" w:cs="Arial"/>
          <w:color w:val="000000"/>
          <w:sz w:val="18"/>
          <w:szCs w:val="18"/>
          <w:lang w:val="x-none"/>
        </w:rPr>
      </w:pPr>
      <w:r>
        <w:rPr>
          <w:rFonts w:ascii="Arial" w:hAnsi="Arial" w:cs="Arial"/>
          <w:color w:val="000000"/>
          <w:sz w:val="18"/>
          <w:szCs w:val="18"/>
          <w:lang w:val="x-none"/>
        </w:rPr>
        <w:t xml:space="preserve">– </w:t>
      </w:r>
      <w:r>
        <w:rPr>
          <w:rFonts w:ascii="Arial" w:hAnsi="Arial" w:cs="Arial"/>
          <w:color w:val="000000"/>
          <w:sz w:val="18"/>
          <w:szCs w:val="18"/>
          <w:lang w:val="x-none"/>
        </w:rPr>
        <w:tab/>
        <w:t>dziennik budowy – dokument wydany przez odpowiedni organ nadzoru budowlanego zgodnie z obowiązującymi przepisami, stanowiący urzędowy dokument przebiegu robót budowlanych oraz zdarzeń i okoliczności zachodzących w czasie wykonywania robót,</w:t>
      </w:r>
    </w:p>
    <w:p w14:paraId="775D07CF" w14:textId="77777777" w:rsidR="000A3B2B" w:rsidRDefault="000A3B2B" w:rsidP="006904B4">
      <w:pPr>
        <w:autoSpaceDE w:val="0"/>
        <w:autoSpaceDN w:val="0"/>
        <w:adjustRightInd w:val="0"/>
        <w:spacing w:after="30" w:line="240" w:lineRule="auto"/>
        <w:ind w:left="900" w:hanging="285"/>
        <w:jc w:val="both"/>
        <w:rPr>
          <w:rFonts w:ascii="Arial" w:hAnsi="Arial" w:cs="Arial"/>
          <w:color w:val="000000"/>
          <w:sz w:val="18"/>
          <w:szCs w:val="18"/>
          <w:lang w:val="x-none"/>
        </w:rPr>
      </w:pPr>
      <w:r>
        <w:rPr>
          <w:rFonts w:ascii="Arial" w:hAnsi="Arial" w:cs="Arial"/>
          <w:color w:val="000000"/>
          <w:sz w:val="18"/>
          <w:szCs w:val="18"/>
          <w:lang w:val="x-none"/>
        </w:rPr>
        <w:t xml:space="preserve">– </w:t>
      </w:r>
      <w:r>
        <w:rPr>
          <w:rFonts w:ascii="Arial" w:hAnsi="Arial" w:cs="Arial"/>
          <w:color w:val="000000"/>
          <w:sz w:val="18"/>
          <w:szCs w:val="18"/>
          <w:lang w:val="x-none"/>
        </w:rPr>
        <w:tab/>
        <w:t>kierownik budowy – osoba wyznaczona przez Wykonawcę, upoważniona do kierowania robotami i do występowania w jego imieniu w sprawach realizacji kontraktu,</w:t>
      </w:r>
    </w:p>
    <w:p w14:paraId="47018889" w14:textId="77777777" w:rsidR="000A3B2B" w:rsidRDefault="000A3B2B" w:rsidP="006904B4">
      <w:pPr>
        <w:autoSpaceDE w:val="0"/>
        <w:autoSpaceDN w:val="0"/>
        <w:adjustRightInd w:val="0"/>
        <w:spacing w:after="30" w:line="240" w:lineRule="auto"/>
        <w:ind w:left="900" w:hanging="285"/>
        <w:jc w:val="both"/>
        <w:rPr>
          <w:rFonts w:ascii="Arial" w:hAnsi="Arial" w:cs="Arial"/>
          <w:color w:val="000000"/>
          <w:sz w:val="18"/>
          <w:szCs w:val="18"/>
          <w:lang w:val="x-none"/>
        </w:rPr>
      </w:pPr>
      <w:r>
        <w:rPr>
          <w:rFonts w:ascii="Arial" w:hAnsi="Arial" w:cs="Arial"/>
          <w:color w:val="000000"/>
          <w:sz w:val="18"/>
          <w:szCs w:val="18"/>
          <w:lang w:val="x-none"/>
        </w:rPr>
        <w:t xml:space="preserve">– </w:t>
      </w:r>
      <w:r>
        <w:rPr>
          <w:rFonts w:ascii="Arial" w:hAnsi="Arial" w:cs="Arial"/>
          <w:color w:val="000000"/>
          <w:sz w:val="18"/>
          <w:szCs w:val="18"/>
          <w:lang w:val="x-none"/>
        </w:rPr>
        <w:tab/>
        <w:t>książka obmiaru – książka z ponumerowanymi stronami, służąca do wpisywania przez Wykonawcę obmiaru dokonywanych robót w formie wyliczeń, szkiców i ewentualnie dodatkowych załączników; wpisy w książki obmiarów podlegają potwierdzeniu przez Inspektora nadzoru,</w:t>
      </w:r>
    </w:p>
    <w:p w14:paraId="20DFBED2" w14:textId="77777777" w:rsidR="000A3B2B" w:rsidRDefault="000A3B2B" w:rsidP="006904B4">
      <w:pPr>
        <w:autoSpaceDE w:val="0"/>
        <w:autoSpaceDN w:val="0"/>
        <w:adjustRightInd w:val="0"/>
        <w:spacing w:after="30" w:line="240" w:lineRule="auto"/>
        <w:ind w:left="900" w:hanging="285"/>
        <w:jc w:val="both"/>
        <w:rPr>
          <w:rFonts w:ascii="Arial" w:hAnsi="Arial" w:cs="Arial"/>
          <w:color w:val="000000"/>
          <w:sz w:val="18"/>
          <w:szCs w:val="18"/>
          <w:lang w:val="x-none"/>
        </w:rPr>
      </w:pPr>
      <w:r>
        <w:rPr>
          <w:rFonts w:ascii="Arial" w:hAnsi="Arial" w:cs="Arial"/>
          <w:color w:val="000000"/>
          <w:sz w:val="18"/>
          <w:szCs w:val="18"/>
          <w:lang w:val="x-none"/>
        </w:rPr>
        <w:t xml:space="preserve">– </w:t>
      </w:r>
      <w:r>
        <w:rPr>
          <w:rFonts w:ascii="Arial" w:hAnsi="Arial" w:cs="Arial"/>
          <w:color w:val="000000"/>
          <w:sz w:val="18"/>
          <w:szCs w:val="18"/>
          <w:lang w:val="x-none"/>
        </w:rPr>
        <w:tab/>
        <w:t>laboratorium – laboratorium badawcze, zaakceptowane przez Zamawiającego, niezbędne do przeprowadzania wszelkich badań i prób związanych z oceną jakości materiałów oraz robót,</w:t>
      </w:r>
    </w:p>
    <w:p w14:paraId="42A849F8" w14:textId="77777777" w:rsidR="000A3B2B" w:rsidRDefault="000A3B2B" w:rsidP="006904B4">
      <w:pPr>
        <w:autoSpaceDE w:val="0"/>
        <w:autoSpaceDN w:val="0"/>
        <w:adjustRightInd w:val="0"/>
        <w:spacing w:after="30" w:line="240" w:lineRule="auto"/>
        <w:ind w:left="900" w:hanging="285"/>
        <w:jc w:val="both"/>
        <w:rPr>
          <w:rFonts w:ascii="Arial" w:hAnsi="Arial" w:cs="Arial"/>
          <w:color w:val="000000"/>
          <w:sz w:val="18"/>
          <w:szCs w:val="18"/>
          <w:lang w:val="x-none"/>
        </w:rPr>
      </w:pPr>
      <w:r>
        <w:rPr>
          <w:rFonts w:ascii="Arial" w:hAnsi="Arial" w:cs="Arial"/>
          <w:color w:val="000000"/>
          <w:sz w:val="18"/>
          <w:szCs w:val="18"/>
          <w:lang w:val="x-none"/>
        </w:rPr>
        <w:t xml:space="preserve">– </w:t>
      </w:r>
      <w:r>
        <w:rPr>
          <w:rFonts w:ascii="Arial" w:hAnsi="Arial" w:cs="Arial"/>
          <w:color w:val="000000"/>
          <w:sz w:val="18"/>
          <w:szCs w:val="18"/>
          <w:lang w:val="x-none"/>
        </w:rPr>
        <w:tab/>
        <w:t>polecenie Inspektora nadzoru – wszelkie polecenia przekazane Wykonawcy przez Inspektora nadzoru w formie pisemnej, dotyczące sposobu realizacji robót lub innych spraw związanych z prowadzeniem budowy,</w:t>
      </w:r>
    </w:p>
    <w:p w14:paraId="4D2A741A" w14:textId="77777777" w:rsidR="000A3B2B" w:rsidRDefault="000A3B2B" w:rsidP="006904B4">
      <w:pPr>
        <w:autoSpaceDE w:val="0"/>
        <w:autoSpaceDN w:val="0"/>
        <w:adjustRightInd w:val="0"/>
        <w:spacing w:after="30" w:line="240" w:lineRule="auto"/>
        <w:ind w:left="900" w:hanging="285"/>
        <w:jc w:val="both"/>
        <w:rPr>
          <w:rFonts w:ascii="Arial" w:hAnsi="Arial" w:cs="Arial"/>
          <w:color w:val="000000"/>
          <w:sz w:val="18"/>
          <w:szCs w:val="18"/>
          <w:lang w:val="x-none"/>
        </w:rPr>
      </w:pPr>
      <w:r>
        <w:rPr>
          <w:rFonts w:ascii="Arial" w:hAnsi="Arial" w:cs="Arial"/>
          <w:color w:val="000000"/>
          <w:sz w:val="18"/>
          <w:szCs w:val="18"/>
          <w:lang w:val="x-none"/>
        </w:rPr>
        <w:t xml:space="preserve">– </w:t>
      </w:r>
      <w:r>
        <w:rPr>
          <w:rFonts w:ascii="Arial" w:hAnsi="Arial" w:cs="Arial"/>
          <w:color w:val="000000"/>
          <w:sz w:val="18"/>
          <w:szCs w:val="18"/>
          <w:lang w:val="x-none"/>
        </w:rPr>
        <w:tab/>
        <w:t>projektant – uprawniona osoba prawna lub fizyczna będąca autorem dokumentacji projektowej.</w:t>
      </w:r>
    </w:p>
    <w:p w14:paraId="70B4EE72"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p>
    <w:p w14:paraId="682C85EB" w14:textId="77777777" w:rsidR="000A3B2B" w:rsidRDefault="000A3B2B" w:rsidP="006904B4">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1.6.</w:t>
      </w:r>
      <w:r>
        <w:rPr>
          <w:rFonts w:ascii="Arial" w:hAnsi="Arial" w:cs="Arial"/>
          <w:b/>
          <w:bCs/>
          <w:color w:val="000000"/>
          <w:sz w:val="18"/>
          <w:szCs w:val="18"/>
          <w:lang w:val="x-none"/>
        </w:rPr>
        <w:tab/>
        <w:t>Ogólne wymagania dotyczące robót</w:t>
      </w:r>
    </w:p>
    <w:p w14:paraId="0F1A87FA"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Wykonawca robót jest odpowiedzialny za jakość wykonania robót oraz za ich zgodność z dokumentacją projektową, specyfikacjami technicznymi i poleceniami Inspektora nadzoru. Ogólne wymagania dotyczące robót podano w ST „Wymagania ogólne” Kod CPV 45000000-7, pkt 1.5.</w:t>
      </w:r>
    </w:p>
    <w:p w14:paraId="07DF421D" w14:textId="77777777" w:rsidR="000A3B2B" w:rsidRDefault="000A3B2B" w:rsidP="006904B4">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1.6.1.</w:t>
      </w:r>
      <w:r>
        <w:rPr>
          <w:rFonts w:ascii="Arial" w:hAnsi="Arial" w:cs="Arial"/>
          <w:b/>
          <w:bCs/>
          <w:color w:val="000000"/>
          <w:sz w:val="18"/>
          <w:szCs w:val="18"/>
          <w:lang w:val="x-none"/>
        </w:rPr>
        <w:tab/>
        <w:t>Przekazanie terenu budowy</w:t>
      </w:r>
    </w:p>
    <w:p w14:paraId="1AF8002B"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Zamawiający w terminie określonym w dokumentach umowy przekaże Wykonawcy teren budowy wraz ze wszystkimi wymaganymi uzgodnieniami prawnymi i administracyjnymi, lokalizację i współrzędne punktów głównych obiektu oraz reperów, dziennik budowy oraz dwa egzemplarze dokumentacji projektowej i dwa komplety SST.</w:t>
      </w:r>
    </w:p>
    <w:p w14:paraId="372B3CDA" w14:textId="77777777" w:rsidR="000A3B2B" w:rsidRDefault="000A3B2B" w:rsidP="006904B4">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Na Wykonawcy spoczywa odpowiedzialność za ochronę przekazanych mu punktów pomiarowych do chwili odbioru końcowego robót. Uszkodzone lub zniszczone znaki geodezyjne Wykonawca odtworzy i utrwali na własny koszt.</w:t>
      </w:r>
    </w:p>
    <w:p w14:paraId="10CA38C3" w14:textId="77777777" w:rsidR="000A3B2B" w:rsidRDefault="000A3B2B" w:rsidP="006904B4">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1.6.2.</w:t>
      </w:r>
      <w:r>
        <w:rPr>
          <w:rFonts w:ascii="Arial" w:hAnsi="Arial" w:cs="Arial"/>
          <w:b/>
          <w:bCs/>
          <w:color w:val="000000"/>
          <w:sz w:val="18"/>
          <w:szCs w:val="18"/>
          <w:lang w:val="x-none"/>
        </w:rPr>
        <w:tab/>
        <w:t>Dokumentacja projektowa</w:t>
      </w:r>
    </w:p>
    <w:p w14:paraId="38F041D8"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Dokumentacja projektowa będzie zawierać rysunki, obliczenia i dokumenty, zgodne z wykazem podanym w szczegółowych warunkach umowy, uwzględniającym podział na dokumentację projektową:</w:t>
      </w:r>
    </w:p>
    <w:p w14:paraId="741ACD5D" w14:textId="77777777" w:rsidR="000A3B2B" w:rsidRDefault="000A3B2B" w:rsidP="006904B4">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Zamawiającego,</w:t>
      </w:r>
    </w:p>
    <w:p w14:paraId="43455714" w14:textId="77777777" w:rsidR="000A3B2B" w:rsidRDefault="000A3B2B" w:rsidP="006904B4">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sporządzoną przez Wykonawcę.</w:t>
      </w:r>
    </w:p>
    <w:p w14:paraId="562A827D" w14:textId="77777777" w:rsidR="000A3B2B" w:rsidRDefault="000A3B2B" w:rsidP="006904B4">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1.6.3.</w:t>
      </w:r>
      <w:r>
        <w:rPr>
          <w:rFonts w:ascii="Arial" w:hAnsi="Arial" w:cs="Arial"/>
          <w:b/>
          <w:bCs/>
          <w:color w:val="000000"/>
          <w:sz w:val="18"/>
          <w:szCs w:val="18"/>
          <w:lang w:val="x-none"/>
        </w:rPr>
        <w:tab/>
        <w:t>Zgodność robót z dokumentacją projektową i SST</w:t>
      </w:r>
    </w:p>
    <w:p w14:paraId="37DCE8A7"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Dokumentacja projektowa, SST oraz dodatkowe dokumenty przekazane przez Inspektora nadzoru Wykonawcy stanowią część umowy, a wymagania wyszczególnione w choćby jednym z nich są obowiązujące dla Wykonawcy, tak jakby zawarte były w całej dokumentacji.</w:t>
      </w:r>
    </w:p>
    <w:p w14:paraId="30D61015" w14:textId="77777777" w:rsidR="000A3B2B" w:rsidRDefault="000A3B2B" w:rsidP="006904B4">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 przypadku rozbieżności w ustaleniach poszczególnych dokumentów obowiązuje kolejność ich ważności wymieniona w „Ogólnych warunkach umowy”.</w:t>
      </w:r>
    </w:p>
    <w:p w14:paraId="1F33BF10" w14:textId="77777777" w:rsidR="000A3B2B" w:rsidRDefault="000A3B2B" w:rsidP="006904B4">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 xml:space="preserve">Wykonawca nie może wykorzystywać błędów lub </w:t>
      </w:r>
      <w:proofErr w:type="spellStart"/>
      <w:r>
        <w:rPr>
          <w:rFonts w:ascii="Arial" w:hAnsi="Arial" w:cs="Arial"/>
          <w:color w:val="000000"/>
          <w:sz w:val="18"/>
          <w:szCs w:val="18"/>
          <w:lang w:val="x-none"/>
        </w:rPr>
        <w:t>opuszczeń</w:t>
      </w:r>
      <w:proofErr w:type="spellEnd"/>
      <w:r>
        <w:rPr>
          <w:rFonts w:ascii="Arial" w:hAnsi="Arial" w:cs="Arial"/>
          <w:color w:val="000000"/>
          <w:sz w:val="18"/>
          <w:szCs w:val="18"/>
          <w:lang w:val="x-none"/>
        </w:rPr>
        <w:t xml:space="preserve"> w dokumentach kontraktowych, a o ich wykryciu winien natychmiast powiadomić Inspektora nadzoru, który dokona odpowiednich zmian i poprawek.</w:t>
      </w:r>
    </w:p>
    <w:p w14:paraId="1F357C97"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 przypadku rozbieżności, opis wymiarów ważniejszy jest od odczytu ze skali rysunków.</w:t>
      </w:r>
    </w:p>
    <w:p w14:paraId="61F97409" w14:textId="77777777" w:rsidR="000A3B2B" w:rsidRDefault="000A3B2B" w:rsidP="006904B4">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Wszystkie wykonane roboty i dostarczone materiały będą zgodne z dokumentacją projektową i SST.</w:t>
      </w:r>
    </w:p>
    <w:p w14:paraId="39E56C8A" w14:textId="77777777" w:rsidR="000A3B2B" w:rsidRDefault="000A3B2B" w:rsidP="006904B4">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Dane określone w dokumentacji projektowej i w STT będą uważane za wartości docelowe, od których dopuszczalne są odchylenia w ramach określonego przedziału tolerancji. Cechy materiałów i elementów budowli muszą być jednorodne i wykazywać zgodność z określonymi wymaganiami, a rozrzuty tych cech nie mogą przekraczać dopuszczalnego przedziału tolerancji.</w:t>
      </w:r>
    </w:p>
    <w:p w14:paraId="3181B9DC" w14:textId="77777777" w:rsidR="000A3B2B" w:rsidRDefault="000A3B2B" w:rsidP="006904B4">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 przypadku, gdy materiały lub roboty nie będą w pełni zgodne z dokumentacją projektową lub SST i wpłynie to na niezadowalającą jakość elementu budowli, to takie materiały zostaną zastąpione innymi, a roboty rozebrane i wykonane ponownie na koszt Wykonawcy.</w:t>
      </w:r>
    </w:p>
    <w:p w14:paraId="58C3EA96" w14:textId="77777777" w:rsidR="000A3B2B" w:rsidRDefault="000A3B2B" w:rsidP="006904B4">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lastRenderedPageBreak/>
        <w:t>1.6.4.</w:t>
      </w:r>
      <w:r>
        <w:rPr>
          <w:rFonts w:ascii="Arial" w:hAnsi="Arial" w:cs="Arial"/>
          <w:b/>
          <w:bCs/>
          <w:color w:val="000000"/>
          <w:sz w:val="18"/>
          <w:szCs w:val="18"/>
          <w:lang w:val="x-none"/>
        </w:rPr>
        <w:tab/>
        <w:t>Zabezpieczenie terenu budowy</w:t>
      </w:r>
    </w:p>
    <w:p w14:paraId="6F0B6923"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 czasie wykonywania robót Wykonawca dostarczy, zainstaluje i będzie obsługiwał wszystkie tymczasowe urządzenia zabezpieczające takie jak: zapory, światła ostrzegawcze, sygnały itp., zapewniając w ten sposób bezpieczeństwo pojazdów i pieszych.</w:t>
      </w:r>
    </w:p>
    <w:p w14:paraId="23CD4C18"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Wykonawca zapewni stałe warunki widoczności w dzień i w nocy tych zapór i znaków, dla których jest to nieodzowne ze względów bezpieczeństwa.</w:t>
      </w:r>
    </w:p>
    <w:p w14:paraId="15ECE93F"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Koszt zabezpieczenia terenu budowy nie podlega odrębnej zapłacie i przyjmuje się, że jest włączony w cenę umowną.</w:t>
      </w:r>
    </w:p>
    <w:p w14:paraId="3CBCD607" w14:textId="77777777" w:rsidR="000A3B2B" w:rsidRDefault="000A3B2B" w:rsidP="006904B4">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1.6.5.</w:t>
      </w:r>
      <w:r>
        <w:rPr>
          <w:rFonts w:ascii="Arial" w:hAnsi="Arial" w:cs="Arial"/>
          <w:b/>
          <w:bCs/>
          <w:color w:val="000000"/>
          <w:sz w:val="18"/>
          <w:szCs w:val="18"/>
          <w:lang w:val="x-none"/>
        </w:rPr>
        <w:tab/>
        <w:t>Ochrona środowiska w czasie wykonywania robót</w:t>
      </w:r>
    </w:p>
    <w:p w14:paraId="336B909A"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Wykonawca ma obowiązek znać i stosować w czasie prowadzenia robót wszelkie przepisy dotyczące ochrony środowiska naturalnego.</w:t>
      </w:r>
    </w:p>
    <w:p w14:paraId="4097376A"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 okresie trwania budowy Wykonawca będzie:</w:t>
      </w:r>
    </w:p>
    <w:p w14:paraId="0435C4B0" w14:textId="77777777" w:rsidR="000A3B2B" w:rsidRDefault="000A3B2B" w:rsidP="006904B4">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a)</w:t>
      </w:r>
      <w:r>
        <w:rPr>
          <w:rFonts w:ascii="Arial" w:hAnsi="Arial" w:cs="Arial"/>
          <w:color w:val="000000"/>
          <w:sz w:val="18"/>
          <w:szCs w:val="18"/>
          <w:lang w:val="x-none"/>
        </w:rPr>
        <w:tab/>
        <w:t>utrzymywać teren budowy i wykopy w stanie bez wody stojącej,</w:t>
      </w:r>
    </w:p>
    <w:p w14:paraId="1DC74BFC" w14:textId="77777777" w:rsidR="000A3B2B" w:rsidRDefault="000A3B2B" w:rsidP="006904B4">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b)</w:t>
      </w:r>
      <w:r>
        <w:rPr>
          <w:rFonts w:ascii="Arial" w:hAnsi="Arial" w:cs="Arial"/>
          <w:color w:val="000000"/>
          <w:sz w:val="18"/>
          <w:szCs w:val="18"/>
          <w:lang w:val="x-none"/>
        </w:rPr>
        <w:tab/>
        <w:t>podejmować wszelkie uzasadnione kroki mające na celu stosowanie się do przepisów i norm dotyczących ochrony środowiska na terenie i wokół terenu budowy oraz będzie unikać uszkodzeń lub uciążliwości dla osób lub własności społecznej i innych, a wynikających ze skażenia, hałasu lub innych przyczyn powstałych w następstwie jego sposobu działania.</w:t>
      </w:r>
    </w:p>
    <w:p w14:paraId="01BAD74B"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Stosując się do tych wymagań, będzie miał szczególny wzgląd na:</w:t>
      </w:r>
    </w:p>
    <w:p w14:paraId="77E21C6E" w14:textId="77777777" w:rsidR="000A3B2B" w:rsidRDefault="000A3B2B" w:rsidP="006904B4">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1)</w:t>
      </w:r>
      <w:r>
        <w:rPr>
          <w:rFonts w:ascii="Arial" w:hAnsi="Arial" w:cs="Arial"/>
          <w:color w:val="000000"/>
          <w:sz w:val="18"/>
          <w:szCs w:val="18"/>
          <w:lang w:val="x-none"/>
        </w:rPr>
        <w:tab/>
        <w:t>lokalizację baz, warsztatów, magazynów, składowisk, ukopów i dróg dojazdowych,</w:t>
      </w:r>
    </w:p>
    <w:p w14:paraId="38698D0B" w14:textId="77777777" w:rsidR="000A3B2B" w:rsidRDefault="000A3B2B" w:rsidP="006904B4">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2)</w:t>
      </w:r>
      <w:r>
        <w:rPr>
          <w:rFonts w:ascii="Arial" w:hAnsi="Arial" w:cs="Arial"/>
          <w:color w:val="000000"/>
          <w:sz w:val="18"/>
          <w:szCs w:val="18"/>
          <w:lang w:val="x-none"/>
        </w:rPr>
        <w:tab/>
        <w:t>środki ostrożności i zabezpieczenia przed:</w:t>
      </w:r>
    </w:p>
    <w:p w14:paraId="4454AAC0" w14:textId="77777777" w:rsidR="000A3B2B" w:rsidRDefault="000A3B2B" w:rsidP="006904B4">
      <w:pPr>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t>a)</w:t>
      </w:r>
      <w:r>
        <w:rPr>
          <w:rFonts w:ascii="Arial" w:hAnsi="Arial" w:cs="Arial"/>
          <w:color w:val="000000"/>
          <w:sz w:val="18"/>
          <w:szCs w:val="18"/>
          <w:lang w:val="x-none"/>
        </w:rPr>
        <w:tab/>
        <w:t>zanieczyszczeniem zbiorników i cieków wodnych pyłami lub substancjami toksycznymi,</w:t>
      </w:r>
    </w:p>
    <w:p w14:paraId="7F2753B9" w14:textId="77777777" w:rsidR="000A3B2B" w:rsidRDefault="000A3B2B" w:rsidP="006904B4">
      <w:pPr>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t>b)</w:t>
      </w:r>
      <w:r>
        <w:rPr>
          <w:rFonts w:ascii="Arial" w:hAnsi="Arial" w:cs="Arial"/>
          <w:color w:val="000000"/>
          <w:sz w:val="18"/>
          <w:szCs w:val="18"/>
          <w:lang w:val="x-none"/>
        </w:rPr>
        <w:tab/>
        <w:t>zanieczyszczeniem powietrza pyłami i gazami,</w:t>
      </w:r>
    </w:p>
    <w:p w14:paraId="22C3E774" w14:textId="77777777" w:rsidR="000A3B2B" w:rsidRDefault="000A3B2B" w:rsidP="006904B4">
      <w:pPr>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t>c)</w:t>
      </w:r>
      <w:r>
        <w:rPr>
          <w:rFonts w:ascii="Arial" w:hAnsi="Arial" w:cs="Arial"/>
          <w:color w:val="000000"/>
          <w:sz w:val="18"/>
          <w:szCs w:val="18"/>
          <w:lang w:val="x-none"/>
        </w:rPr>
        <w:tab/>
        <w:t>możliwością powstania pożaru.</w:t>
      </w:r>
    </w:p>
    <w:p w14:paraId="509321BC" w14:textId="77777777" w:rsidR="000A3B2B" w:rsidRDefault="000A3B2B" w:rsidP="006904B4">
      <w:pPr>
        <w:autoSpaceDE w:val="0"/>
        <w:autoSpaceDN w:val="0"/>
        <w:adjustRightInd w:val="0"/>
        <w:spacing w:after="30" w:line="240" w:lineRule="auto"/>
        <w:jc w:val="both"/>
        <w:rPr>
          <w:rFonts w:ascii="Arial" w:hAnsi="Arial" w:cs="Arial"/>
          <w:b/>
          <w:bCs/>
          <w:color w:val="000000"/>
          <w:sz w:val="18"/>
          <w:szCs w:val="18"/>
          <w:lang w:val="x-none"/>
        </w:rPr>
      </w:pPr>
      <w:r>
        <w:rPr>
          <w:rFonts w:ascii="Arial" w:hAnsi="Arial" w:cs="Arial"/>
          <w:b/>
          <w:bCs/>
          <w:color w:val="000000"/>
          <w:sz w:val="18"/>
          <w:szCs w:val="18"/>
          <w:lang w:val="x-none"/>
        </w:rPr>
        <w:t>1.6.6.</w:t>
      </w:r>
      <w:r>
        <w:rPr>
          <w:rFonts w:ascii="Arial" w:hAnsi="Arial" w:cs="Arial"/>
          <w:b/>
          <w:bCs/>
          <w:color w:val="000000"/>
          <w:sz w:val="18"/>
          <w:szCs w:val="18"/>
          <w:lang w:val="x-none"/>
        </w:rPr>
        <w:tab/>
        <w:t>Ochrona przeciwpożarowa</w:t>
      </w:r>
    </w:p>
    <w:p w14:paraId="378205E9"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Wykonawca będzie przestrzegać przepisów ochrony przeciwpożarowej.</w:t>
      </w:r>
    </w:p>
    <w:p w14:paraId="1229829B" w14:textId="77777777" w:rsidR="000A3B2B" w:rsidRDefault="000A3B2B" w:rsidP="006904B4">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Wykonawca będzie utrzymywać sprawny sprzęt przeciwpożarowy, wymagany przez odpowiednie przepisy, na terenie baz produkcyjnych, w pomieszczeniach biurowych, mieszkalnych i magazynowych oraz w maszynach i pojazdach.</w:t>
      </w:r>
    </w:p>
    <w:p w14:paraId="5D84284F" w14:textId="77777777" w:rsidR="000A3B2B" w:rsidRDefault="000A3B2B" w:rsidP="006904B4">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Materiały łatwopalne będą składowane w sposób zgodny z odpowiednimi przepisami i zabezpieczone przed dostępem osób trzecich.</w:t>
      </w:r>
    </w:p>
    <w:p w14:paraId="320B3ACA" w14:textId="77777777" w:rsidR="000A3B2B" w:rsidRDefault="000A3B2B" w:rsidP="006904B4">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Wykonawca będzie odpowiedzialny za wszelkie straty spowodowane pożarem wywołanym jako rezultat realizacji robót albo przez personel Wykonawcy.</w:t>
      </w:r>
    </w:p>
    <w:p w14:paraId="73DB13EC" w14:textId="77777777" w:rsidR="000A3B2B" w:rsidRDefault="000A3B2B" w:rsidP="006904B4">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1.6.7.</w:t>
      </w:r>
      <w:r>
        <w:rPr>
          <w:rFonts w:ascii="Arial" w:hAnsi="Arial" w:cs="Arial"/>
          <w:b/>
          <w:bCs/>
          <w:color w:val="000000"/>
          <w:sz w:val="18"/>
          <w:szCs w:val="18"/>
          <w:lang w:val="x-none"/>
        </w:rPr>
        <w:tab/>
        <w:t>Materiały szkodliwe dla otoczenia</w:t>
      </w:r>
    </w:p>
    <w:p w14:paraId="36983BF2"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Materiały, które w sposób trwały są szkodliwe dla otoczenia, nie będą dopuszczalne do użytku.</w:t>
      </w:r>
    </w:p>
    <w:p w14:paraId="09408C75" w14:textId="77777777" w:rsidR="000A3B2B" w:rsidRDefault="000A3B2B" w:rsidP="006904B4">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Nie dopuszcza się użycia materiałów wywołujących szkodliwe promieniowanie o stężeniu większym od dopuszczalnego, określonego odpowiednimi przepisami.</w:t>
      </w:r>
    </w:p>
    <w:p w14:paraId="0C591A4E" w14:textId="77777777" w:rsidR="000A3B2B" w:rsidRDefault="000A3B2B" w:rsidP="006904B4">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Wszelkie materiały odpadowe użyte do robót będą miały aprobatę techniczną wydaną przez uprawnioną jednostkę do 31 grudnia 2016 r., a po zakończeniu okresu jej ważności krajową ocenę techniczną, jednoznacznie określającą brak szkodliwego oddziaływania tych materiałów na środowisko.</w:t>
      </w:r>
    </w:p>
    <w:p w14:paraId="5152E5D8" w14:textId="77777777" w:rsidR="000A3B2B" w:rsidRDefault="000A3B2B" w:rsidP="006904B4">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Materiały, które są szkodliwe dla otoczenia tylko w czasie robót, a po zakończeniu robót ich szkodliwość zanika (np. materiały pylaste) mogą być użyte pod warunkiem przestrzegania wymagań technologicznych wbudowania. Jeżeli wymagają tego odpowiednie przepisy Zamawiający powinien otrzymać zgodę na użycie tych materiałów od właściwych organów administracji państwowej.</w:t>
      </w:r>
    </w:p>
    <w:p w14:paraId="7448828E" w14:textId="77777777" w:rsidR="000A3B2B" w:rsidRDefault="000A3B2B" w:rsidP="006904B4">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Jeżeli Wykonawca użył materiałów szkodliwych dla otoczenia zgodnie ze specyfikacjami, a ich użycie spowodowało jakiekolwiek zagrożenie środowiska, to konsekwencje tego poniesie Zamawiający.</w:t>
      </w:r>
    </w:p>
    <w:p w14:paraId="1CC581CA" w14:textId="77777777" w:rsidR="000A3B2B" w:rsidRDefault="000A3B2B" w:rsidP="006904B4">
      <w:pPr>
        <w:autoSpaceDE w:val="0"/>
        <w:autoSpaceDN w:val="0"/>
        <w:adjustRightInd w:val="0"/>
        <w:spacing w:after="30" w:line="240" w:lineRule="auto"/>
        <w:jc w:val="both"/>
        <w:rPr>
          <w:rFonts w:ascii="Arial" w:hAnsi="Arial" w:cs="Arial"/>
          <w:b/>
          <w:bCs/>
          <w:color w:val="000000"/>
          <w:sz w:val="18"/>
          <w:szCs w:val="18"/>
          <w:lang w:val="x-none"/>
        </w:rPr>
      </w:pPr>
      <w:r>
        <w:rPr>
          <w:rFonts w:ascii="Arial" w:hAnsi="Arial" w:cs="Arial"/>
          <w:b/>
          <w:bCs/>
          <w:color w:val="000000"/>
          <w:sz w:val="18"/>
          <w:szCs w:val="18"/>
          <w:lang w:val="x-none"/>
        </w:rPr>
        <w:t>1.6.8.</w:t>
      </w:r>
      <w:r>
        <w:rPr>
          <w:rFonts w:ascii="Arial" w:hAnsi="Arial" w:cs="Arial"/>
          <w:b/>
          <w:bCs/>
          <w:color w:val="000000"/>
          <w:sz w:val="18"/>
          <w:szCs w:val="18"/>
          <w:lang w:val="x-none"/>
        </w:rPr>
        <w:tab/>
        <w:t>Ochrona własności publicznej i prywatnej</w:t>
      </w:r>
    </w:p>
    <w:p w14:paraId="6010F421"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trwania budowy.</w:t>
      </w:r>
    </w:p>
    <w:p w14:paraId="0572765A" w14:textId="77777777" w:rsidR="000A3B2B" w:rsidRDefault="000A3B2B" w:rsidP="006904B4">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Wykonawca zobowiązany jest umieścić w swoim harmonogramie rezerwę czasową dla wszelkiego rodzaju robót, które mają być wykonane w zakresie przełożenia instalacji i urządzeń podziemnych na terenie budowy i powiadomić Inspektora nadzoru i władze lokalne o zamiarze rozpoczęcia robót. O fakcie przypadkowego uszkodzenia tych instalacji Wykonawca bezzwłocznie powiadomi Inspektora nadzoru i zainteresowane władze oraz będzie z nimi współpracował, dostarczając wszelkiej pomocy potrzebnej przy dokonywaniu napraw. Wykonawca będzie odpowiadać za wszelkie spowodowane przez jego działania uszkodzenia instalacji na powierzchni ziemi i urządzeń podziemnych wykazanych w dokumentach dostarczonych mu przez Zamawiającego.</w:t>
      </w:r>
    </w:p>
    <w:p w14:paraId="1332FE70" w14:textId="77777777" w:rsidR="000A3B2B" w:rsidRDefault="000A3B2B" w:rsidP="006904B4">
      <w:pPr>
        <w:autoSpaceDE w:val="0"/>
        <w:autoSpaceDN w:val="0"/>
        <w:adjustRightInd w:val="0"/>
        <w:spacing w:after="30" w:line="240" w:lineRule="auto"/>
        <w:jc w:val="both"/>
        <w:rPr>
          <w:rFonts w:ascii="Arial" w:hAnsi="Arial" w:cs="Arial"/>
          <w:b/>
          <w:bCs/>
          <w:color w:val="000000"/>
          <w:sz w:val="18"/>
          <w:szCs w:val="18"/>
          <w:lang w:val="x-none"/>
        </w:rPr>
      </w:pPr>
      <w:r>
        <w:rPr>
          <w:rFonts w:ascii="Arial" w:hAnsi="Arial" w:cs="Arial"/>
          <w:b/>
          <w:bCs/>
          <w:color w:val="000000"/>
          <w:sz w:val="18"/>
          <w:szCs w:val="18"/>
          <w:lang w:val="x-none"/>
        </w:rPr>
        <w:t>1.6.9.</w:t>
      </w:r>
      <w:r>
        <w:rPr>
          <w:rFonts w:ascii="Arial" w:hAnsi="Arial" w:cs="Arial"/>
          <w:b/>
          <w:bCs/>
          <w:color w:val="000000"/>
          <w:sz w:val="18"/>
          <w:szCs w:val="18"/>
          <w:lang w:val="x-none"/>
        </w:rPr>
        <w:tab/>
        <w:t>Ograniczenie obciążeń osi pojazdów</w:t>
      </w:r>
    </w:p>
    <w:p w14:paraId="2657DAD1"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lastRenderedPageBreak/>
        <w:t>Wykonawca stosować się będzie do ustawowych ograniczeń obciążenia na oś przy transporcie materiałów i gruntu, wyposażenia na i z terenu robót. Uzyska on wszelkie niezbędne zezwolenia od władz co do przewozu nietypowych wagowo ładunków.</w:t>
      </w:r>
    </w:p>
    <w:p w14:paraId="13724C62" w14:textId="77777777" w:rsidR="000A3B2B" w:rsidRDefault="000A3B2B" w:rsidP="006904B4">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1.6.10.</w:t>
      </w:r>
      <w:r>
        <w:rPr>
          <w:rFonts w:ascii="Arial" w:hAnsi="Arial" w:cs="Arial"/>
          <w:b/>
          <w:bCs/>
          <w:color w:val="000000"/>
          <w:sz w:val="18"/>
          <w:szCs w:val="18"/>
          <w:lang w:val="x-none"/>
        </w:rPr>
        <w:tab/>
        <w:t>Bezpieczeństwo i higiena pracy</w:t>
      </w:r>
    </w:p>
    <w:p w14:paraId="22E917E1"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Podczas realizacji robót Wykonawca będzie przestrzegać przepisów dotyczących bezpieczeństwa i higieny pracy.</w:t>
      </w:r>
    </w:p>
    <w:p w14:paraId="6345E921" w14:textId="77777777" w:rsidR="000A3B2B" w:rsidRDefault="000A3B2B" w:rsidP="006904B4">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 szczególności Wykonawca ma obowiązek zadbać, aby personel nie wykonywał pracy w warunkach niebezpiecznych, szkodliwych dla zdrowia oraz nie spełniających odpowiednich wymagań sanitarnych.</w:t>
      </w:r>
    </w:p>
    <w:p w14:paraId="0C0D8164" w14:textId="77777777" w:rsidR="000A3B2B" w:rsidRDefault="000A3B2B" w:rsidP="006904B4">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Wykonawca zapewni i będzie utrzymywał wszelkie urządzenia zabezpieczające, socjalne oraz sprzęt i odpowiednią odzież dla ochrony życia i zdrowia osób zatrudnionych na budowie oraz dla zapewnienia bezpieczeństwa publicznego.</w:t>
      </w:r>
    </w:p>
    <w:p w14:paraId="7D298A1A" w14:textId="77777777" w:rsidR="000A3B2B" w:rsidRDefault="000A3B2B" w:rsidP="006904B4">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Uznaje się, że wszelkie koszty związane z wypełnieniem wymagań określonych powyżej nie podlegają odrębnej zapłacie i są uwzględnione w cenie umownej.</w:t>
      </w:r>
    </w:p>
    <w:p w14:paraId="3DA4112A" w14:textId="77777777" w:rsidR="000A3B2B" w:rsidRDefault="000A3B2B" w:rsidP="006904B4">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1.6.11.</w:t>
      </w:r>
      <w:r>
        <w:rPr>
          <w:rFonts w:ascii="Arial" w:hAnsi="Arial" w:cs="Arial"/>
          <w:b/>
          <w:bCs/>
          <w:color w:val="000000"/>
          <w:sz w:val="18"/>
          <w:szCs w:val="18"/>
          <w:lang w:val="x-none"/>
        </w:rPr>
        <w:tab/>
        <w:t>Ochrona i utrzymanie robót</w:t>
      </w:r>
    </w:p>
    <w:p w14:paraId="5A334CB3"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Wykonawca będzie odpowiedzialny za ochronę robót i za wszelkie materiały i urządzenia używane do robót od daty rozpoczęcia do daty zakończenia robót (do wydania potwierdzenia ich zakończenia przez Inspektora nadzoru).</w:t>
      </w:r>
    </w:p>
    <w:p w14:paraId="7D126410" w14:textId="77777777" w:rsidR="000A3B2B" w:rsidRDefault="000A3B2B" w:rsidP="006904B4">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Wykonawca będzie utrzymywać roboty w niezmienionym stanie do czasu odbioru ostatecznego.</w:t>
      </w:r>
    </w:p>
    <w:p w14:paraId="4595AF60" w14:textId="77777777" w:rsidR="000A3B2B" w:rsidRDefault="000A3B2B" w:rsidP="006904B4">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Jeśli Wykonawca w jakimkolwiek czasie zaniedba utrzymanie, to na polecenie Inspektora nadzoru powinien rozpocząć roboty utrzymaniowe nie później niż w 24 godziny po otrzymaniu tego polecenia.</w:t>
      </w:r>
    </w:p>
    <w:p w14:paraId="1A75CF91" w14:textId="77777777" w:rsidR="000A3B2B" w:rsidRDefault="000A3B2B" w:rsidP="006904B4">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1.6.12.</w:t>
      </w:r>
      <w:r>
        <w:rPr>
          <w:rFonts w:ascii="Arial" w:hAnsi="Arial" w:cs="Arial"/>
          <w:b/>
          <w:bCs/>
          <w:color w:val="000000"/>
          <w:sz w:val="18"/>
          <w:szCs w:val="18"/>
          <w:lang w:val="x-none"/>
        </w:rPr>
        <w:tab/>
        <w:t>Stosowanie się do prawa i innych przepisów</w:t>
      </w:r>
    </w:p>
    <w:p w14:paraId="34A8B169"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Wykonawca zobowiązany jest znać wszelkie przepisy wydane przez organa administracji państwowej i lokalnej oraz inne przepisy i wytyczne, które są w jakikolwiek sposób związane z robotami i będzie w pełni odpowiedzialny za przestrzeganie tych praw, przepisów i wytycznych podczas prowadzenia robót.</w:t>
      </w:r>
    </w:p>
    <w:p w14:paraId="46AAEAC7" w14:textId="77777777" w:rsidR="000A3B2B" w:rsidRDefault="000A3B2B" w:rsidP="006904B4">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Wykonawca będzie przestrzegać praw patentowych i będzie w pełni odpowiedzialny za wypełnienie wszelkich wymagań prawnych odnośnie wykorzystania opatentowanych urządzeń lub metod i w sposób ciągły będzie informować Inspektora nadzoru o swoich działaniach, przedstawiając kopie zezwoleń i inne odnośne dokumenty.</w:t>
      </w:r>
    </w:p>
    <w:p w14:paraId="25FDA1C5" w14:textId="77777777" w:rsidR="000A3B2B" w:rsidRDefault="000A3B2B" w:rsidP="006904B4">
      <w:pPr>
        <w:autoSpaceDE w:val="0"/>
        <w:autoSpaceDN w:val="0"/>
        <w:adjustRightInd w:val="0"/>
        <w:spacing w:after="30" w:line="240" w:lineRule="auto"/>
        <w:ind w:firstLine="285"/>
        <w:jc w:val="both"/>
        <w:rPr>
          <w:rFonts w:ascii="Arial" w:hAnsi="Arial" w:cs="Arial"/>
          <w:color w:val="000000"/>
          <w:sz w:val="18"/>
          <w:szCs w:val="18"/>
          <w:lang w:val="x-none"/>
        </w:rPr>
      </w:pPr>
    </w:p>
    <w:p w14:paraId="0E33D55E" w14:textId="77777777" w:rsidR="000A3B2B" w:rsidRDefault="000A3B2B" w:rsidP="006904B4">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1.7.</w:t>
      </w:r>
      <w:r>
        <w:rPr>
          <w:rFonts w:ascii="Arial" w:hAnsi="Arial" w:cs="Arial"/>
          <w:b/>
          <w:bCs/>
          <w:color w:val="000000"/>
          <w:sz w:val="18"/>
          <w:szCs w:val="18"/>
          <w:lang w:val="x-none"/>
        </w:rPr>
        <w:tab/>
        <w:t>Nazwy i kody robót objętych zamówieniem:</w:t>
      </w:r>
    </w:p>
    <w:p w14:paraId="758D1F9B" w14:textId="77777777" w:rsidR="000A3B2B" w:rsidRDefault="000A3B2B" w:rsidP="006904B4">
      <w:pPr>
        <w:autoSpaceDE w:val="0"/>
        <w:autoSpaceDN w:val="0"/>
        <w:adjustRightInd w:val="0"/>
        <w:spacing w:after="30" w:line="240" w:lineRule="auto"/>
        <w:jc w:val="both"/>
        <w:rPr>
          <w:rFonts w:ascii="Arial" w:hAnsi="Arial" w:cs="Arial"/>
          <w:b/>
          <w:bCs/>
          <w:color w:val="000000"/>
          <w:sz w:val="18"/>
          <w:szCs w:val="18"/>
          <w:lang w:val="x-none"/>
        </w:rPr>
      </w:pPr>
      <w:r>
        <w:rPr>
          <w:rFonts w:ascii="Arial" w:hAnsi="Arial" w:cs="Arial"/>
          <w:b/>
          <w:bCs/>
          <w:color w:val="000000"/>
          <w:sz w:val="18"/>
          <w:szCs w:val="18"/>
          <w:lang w:val="x-none"/>
        </w:rPr>
        <w:t>Grupy robót, klasy robót lub kategorie robót</w:t>
      </w:r>
    </w:p>
    <w:tbl>
      <w:tblPr>
        <w:tblW w:w="0" w:type="auto"/>
        <w:tblCellSpacing w:w="0" w:type="dxa"/>
        <w:tblInd w:w="-8" w:type="dxa"/>
        <w:tblLayout w:type="fixed"/>
        <w:tblCellMar>
          <w:left w:w="0" w:type="dxa"/>
          <w:right w:w="0" w:type="dxa"/>
        </w:tblCellMar>
        <w:tblLook w:val="0000" w:firstRow="0" w:lastRow="0" w:firstColumn="0" w:lastColumn="0" w:noHBand="0" w:noVBand="0"/>
      </w:tblPr>
      <w:tblGrid>
        <w:gridCol w:w="278"/>
        <w:gridCol w:w="180"/>
        <w:gridCol w:w="300"/>
        <w:gridCol w:w="180"/>
        <w:gridCol w:w="300"/>
        <w:gridCol w:w="180"/>
        <w:gridCol w:w="300"/>
        <w:gridCol w:w="180"/>
        <w:gridCol w:w="300"/>
        <w:gridCol w:w="180"/>
        <w:gridCol w:w="300"/>
        <w:gridCol w:w="180"/>
        <w:gridCol w:w="300"/>
        <w:gridCol w:w="180"/>
        <w:gridCol w:w="300"/>
        <w:gridCol w:w="390"/>
        <w:gridCol w:w="300"/>
        <w:gridCol w:w="180"/>
        <w:gridCol w:w="4601"/>
      </w:tblGrid>
      <w:tr w:rsidR="000A3B2B" w14:paraId="29C684BA" w14:textId="77777777" w:rsidTr="006904B4">
        <w:trPr>
          <w:trHeight w:val="60"/>
          <w:tblCellSpacing w:w="0" w:type="dxa"/>
        </w:trPr>
        <w:tc>
          <w:tcPr>
            <w:tcW w:w="278" w:type="dxa"/>
            <w:tcBorders>
              <w:top w:val="single" w:sz="6" w:space="0" w:color="000000"/>
              <w:left w:val="single" w:sz="6" w:space="0" w:color="000000"/>
              <w:bottom w:val="single" w:sz="6" w:space="0" w:color="000000"/>
              <w:right w:val="single" w:sz="6" w:space="0" w:color="000000"/>
            </w:tcBorders>
          </w:tcPr>
          <w:p w14:paraId="420280CF" w14:textId="77777777" w:rsidR="000A3B2B" w:rsidRPr="009B4648" w:rsidRDefault="000A3B2B" w:rsidP="006904B4">
            <w:pPr>
              <w:autoSpaceDE w:val="0"/>
              <w:autoSpaceDN w:val="0"/>
              <w:adjustRightInd w:val="0"/>
              <w:spacing w:after="0" w:line="240" w:lineRule="auto"/>
              <w:rPr>
                <w:rFonts w:ascii="Arial" w:hAnsi="Arial" w:cs="Arial"/>
                <w:sz w:val="24"/>
                <w:szCs w:val="24"/>
              </w:rPr>
            </w:pPr>
            <w:r>
              <w:rPr>
                <w:rFonts w:ascii="Arial" w:hAnsi="Arial" w:cs="Arial"/>
                <w:sz w:val="24"/>
                <w:szCs w:val="24"/>
              </w:rPr>
              <w:t>4</w:t>
            </w:r>
          </w:p>
        </w:tc>
        <w:tc>
          <w:tcPr>
            <w:tcW w:w="180" w:type="dxa"/>
            <w:tcBorders>
              <w:top w:val="nil"/>
              <w:left w:val="single" w:sz="6" w:space="0" w:color="000000"/>
              <w:bottom w:val="nil"/>
              <w:right w:val="single" w:sz="6" w:space="0" w:color="000000"/>
            </w:tcBorders>
          </w:tcPr>
          <w:p w14:paraId="751456A5" w14:textId="77777777" w:rsidR="000A3B2B" w:rsidRDefault="000A3B2B" w:rsidP="006904B4">
            <w:pPr>
              <w:autoSpaceDE w:val="0"/>
              <w:autoSpaceDN w:val="0"/>
              <w:adjustRightInd w:val="0"/>
              <w:spacing w:after="0" w:line="240" w:lineRule="auto"/>
              <w:rPr>
                <w:rFonts w:ascii="Arial" w:hAnsi="Arial" w:cs="Arial"/>
                <w:sz w:val="24"/>
                <w:szCs w:val="24"/>
                <w:lang w:val="x-none"/>
              </w:rPr>
            </w:pPr>
          </w:p>
        </w:tc>
        <w:tc>
          <w:tcPr>
            <w:tcW w:w="300" w:type="dxa"/>
            <w:tcBorders>
              <w:top w:val="single" w:sz="6" w:space="0" w:color="000000"/>
              <w:left w:val="single" w:sz="6" w:space="0" w:color="000000"/>
              <w:bottom w:val="single" w:sz="6" w:space="0" w:color="000000"/>
              <w:right w:val="single" w:sz="6" w:space="0" w:color="000000"/>
            </w:tcBorders>
          </w:tcPr>
          <w:p w14:paraId="284CE2CA" w14:textId="77777777" w:rsidR="000A3B2B" w:rsidRPr="009B4648" w:rsidRDefault="000A3B2B" w:rsidP="006904B4">
            <w:pPr>
              <w:autoSpaceDE w:val="0"/>
              <w:autoSpaceDN w:val="0"/>
              <w:adjustRightInd w:val="0"/>
              <w:spacing w:after="0" w:line="240" w:lineRule="auto"/>
              <w:rPr>
                <w:rFonts w:ascii="Arial" w:hAnsi="Arial" w:cs="Arial"/>
                <w:sz w:val="24"/>
                <w:szCs w:val="24"/>
              </w:rPr>
            </w:pPr>
            <w:r>
              <w:rPr>
                <w:rFonts w:ascii="Arial" w:hAnsi="Arial" w:cs="Arial"/>
                <w:sz w:val="24"/>
                <w:szCs w:val="24"/>
              </w:rPr>
              <w:t>5</w:t>
            </w:r>
          </w:p>
        </w:tc>
        <w:tc>
          <w:tcPr>
            <w:tcW w:w="180" w:type="dxa"/>
            <w:tcBorders>
              <w:top w:val="nil"/>
              <w:left w:val="single" w:sz="6" w:space="0" w:color="000000"/>
              <w:bottom w:val="nil"/>
              <w:right w:val="single" w:sz="6" w:space="0" w:color="000000"/>
            </w:tcBorders>
          </w:tcPr>
          <w:p w14:paraId="28A53A1F" w14:textId="77777777" w:rsidR="000A3B2B" w:rsidRDefault="000A3B2B" w:rsidP="006904B4">
            <w:pPr>
              <w:autoSpaceDE w:val="0"/>
              <w:autoSpaceDN w:val="0"/>
              <w:adjustRightInd w:val="0"/>
              <w:spacing w:after="0" w:line="240" w:lineRule="auto"/>
              <w:rPr>
                <w:rFonts w:ascii="Arial" w:hAnsi="Arial" w:cs="Arial"/>
                <w:sz w:val="24"/>
                <w:szCs w:val="24"/>
                <w:lang w:val="x-none"/>
              </w:rPr>
            </w:pPr>
          </w:p>
        </w:tc>
        <w:tc>
          <w:tcPr>
            <w:tcW w:w="300" w:type="dxa"/>
            <w:tcBorders>
              <w:top w:val="single" w:sz="6" w:space="0" w:color="000000"/>
              <w:left w:val="single" w:sz="6" w:space="0" w:color="000000"/>
              <w:bottom w:val="single" w:sz="6" w:space="0" w:color="000000"/>
              <w:right w:val="single" w:sz="6" w:space="0" w:color="000000"/>
            </w:tcBorders>
          </w:tcPr>
          <w:p w14:paraId="65B38FD3" w14:textId="77777777" w:rsidR="000A3B2B" w:rsidRPr="009B4648" w:rsidRDefault="000A3B2B" w:rsidP="006904B4">
            <w:pPr>
              <w:autoSpaceDE w:val="0"/>
              <w:autoSpaceDN w:val="0"/>
              <w:adjustRightInd w:val="0"/>
              <w:spacing w:after="0" w:line="240" w:lineRule="auto"/>
              <w:rPr>
                <w:rFonts w:ascii="Arial" w:hAnsi="Arial" w:cs="Arial"/>
                <w:sz w:val="24"/>
                <w:szCs w:val="24"/>
              </w:rPr>
            </w:pPr>
            <w:r>
              <w:rPr>
                <w:rFonts w:ascii="Arial" w:hAnsi="Arial" w:cs="Arial"/>
                <w:sz w:val="24"/>
                <w:szCs w:val="24"/>
              </w:rPr>
              <w:t>1</w:t>
            </w:r>
          </w:p>
        </w:tc>
        <w:tc>
          <w:tcPr>
            <w:tcW w:w="180" w:type="dxa"/>
            <w:tcBorders>
              <w:top w:val="nil"/>
              <w:left w:val="single" w:sz="6" w:space="0" w:color="000000"/>
              <w:bottom w:val="nil"/>
              <w:right w:val="single" w:sz="6" w:space="0" w:color="000000"/>
            </w:tcBorders>
          </w:tcPr>
          <w:p w14:paraId="34A18651" w14:textId="77777777" w:rsidR="000A3B2B" w:rsidRDefault="000A3B2B" w:rsidP="006904B4">
            <w:pPr>
              <w:autoSpaceDE w:val="0"/>
              <w:autoSpaceDN w:val="0"/>
              <w:adjustRightInd w:val="0"/>
              <w:spacing w:after="0" w:line="240" w:lineRule="auto"/>
              <w:rPr>
                <w:rFonts w:ascii="Arial" w:hAnsi="Arial" w:cs="Arial"/>
                <w:sz w:val="24"/>
                <w:szCs w:val="24"/>
                <w:lang w:val="x-none"/>
              </w:rPr>
            </w:pPr>
          </w:p>
        </w:tc>
        <w:tc>
          <w:tcPr>
            <w:tcW w:w="300" w:type="dxa"/>
            <w:tcBorders>
              <w:top w:val="single" w:sz="6" w:space="0" w:color="000000"/>
              <w:left w:val="single" w:sz="6" w:space="0" w:color="000000"/>
              <w:bottom w:val="single" w:sz="6" w:space="0" w:color="000000"/>
              <w:right w:val="single" w:sz="6" w:space="0" w:color="000000"/>
            </w:tcBorders>
          </w:tcPr>
          <w:p w14:paraId="33AAA426" w14:textId="77777777" w:rsidR="000A3B2B" w:rsidRPr="009B4648" w:rsidRDefault="000A3B2B" w:rsidP="006904B4">
            <w:pPr>
              <w:autoSpaceDE w:val="0"/>
              <w:autoSpaceDN w:val="0"/>
              <w:adjustRightInd w:val="0"/>
              <w:spacing w:after="0" w:line="240" w:lineRule="auto"/>
              <w:rPr>
                <w:rFonts w:ascii="Arial" w:hAnsi="Arial" w:cs="Arial"/>
                <w:sz w:val="24"/>
                <w:szCs w:val="24"/>
              </w:rPr>
            </w:pPr>
            <w:r>
              <w:rPr>
                <w:rFonts w:ascii="Arial" w:hAnsi="Arial" w:cs="Arial"/>
                <w:sz w:val="24"/>
                <w:szCs w:val="24"/>
              </w:rPr>
              <w:t>1</w:t>
            </w:r>
          </w:p>
        </w:tc>
        <w:tc>
          <w:tcPr>
            <w:tcW w:w="180" w:type="dxa"/>
            <w:tcBorders>
              <w:top w:val="nil"/>
              <w:left w:val="single" w:sz="6" w:space="0" w:color="000000"/>
              <w:bottom w:val="nil"/>
              <w:right w:val="single" w:sz="6" w:space="0" w:color="000000"/>
            </w:tcBorders>
          </w:tcPr>
          <w:p w14:paraId="34680DA9" w14:textId="77777777" w:rsidR="000A3B2B" w:rsidRDefault="000A3B2B" w:rsidP="006904B4">
            <w:pPr>
              <w:autoSpaceDE w:val="0"/>
              <w:autoSpaceDN w:val="0"/>
              <w:adjustRightInd w:val="0"/>
              <w:spacing w:after="0" w:line="240" w:lineRule="auto"/>
              <w:rPr>
                <w:rFonts w:ascii="Arial" w:hAnsi="Arial" w:cs="Arial"/>
                <w:sz w:val="24"/>
                <w:szCs w:val="24"/>
                <w:lang w:val="x-none"/>
              </w:rPr>
            </w:pPr>
          </w:p>
        </w:tc>
        <w:tc>
          <w:tcPr>
            <w:tcW w:w="300" w:type="dxa"/>
            <w:tcBorders>
              <w:top w:val="single" w:sz="6" w:space="0" w:color="000000"/>
              <w:left w:val="single" w:sz="6" w:space="0" w:color="000000"/>
              <w:bottom w:val="single" w:sz="6" w:space="0" w:color="000000"/>
              <w:right w:val="single" w:sz="6" w:space="0" w:color="000000"/>
            </w:tcBorders>
          </w:tcPr>
          <w:p w14:paraId="16E0EDA7" w14:textId="77777777" w:rsidR="000A3B2B" w:rsidRPr="009B4648" w:rsidRDefault="000A3B2B" w:rsidP="006904B4">
            <w:pPr>
              <w:autoSpaceDE w:val="0"/>
              <w:autoSpaceDN w:val="0"/>
              <w:adjustRightInd w:val="0"/>
              <w:spacing w:after="0" w:line="240" w:lineRule="auto"/>
              <w:rPr>
                <w:rFonts w:ascii="Arial" w:hAnsi="Arial" w:cs="Arial"/>
                <w:sz w:val="24"/>
                <w:szCs w:val="24"/>
              </w:rPr>
            </w:pPr>
            <w:r>
              <w:rPr>
                <w:rFonts w:ascii="Arial" w:hAnsi="Arial" w:cs="Arial"/>
                <w:sz w:val="24"/>
                <w:szCs w:val="24"/>
              </w:rPr>
              <w:t>1</w:t>
            </w:r>
          </w:p>
        </w:tc>
        <w:tc>
          <w:tcPr>
            <w:tcW w:w="180" w:type="dxa"/>
            <w:tcBorders>
              <w:top w:val="nil"/>
              <w:left w:val="single" w:sz="6" w:space="0" w:color="000000"/>
              <w:bottom w:val="nil"/>
              <w:right w:val="single" w:sz="6" w:space="0" w:color="000000"/>
            </w:tcBorders>
          </w:tcPr>
          <w:p w14:paraId="4E09F0AA" w14:textId="77777777" w:rsidR="000A3B2B" w:rsidRDefault="000A3B2B" w:rsidP="006904B4">
            <w:pPr>
              <w:autoSpaceDE w:val="0"/>
              <w:autoSpaceDN w:val="0"/>
              <w:adjustRightInd w:val="0"/>
              <w:spacing w:after="0" w:line="240" w:lineRule="auto"/>
              <w:rPr>
                <w:rFonts w:ascii="Arial" w:hAnsi="Arial" w:cs="Arial"/>
                <w:sz w:val="24"/>
                <w:szCs w:val="24"/>
                <w:lang w:val="x-none"/>
              </w:rPr>
            </w:pPr>
          </w:p>
        </w:tc>
        <w:tc>
          <w:tcPr>
            <w:tcW w:w="300" w:type="dxa"/>
            <w:tcBorders>
              <w:top w:val="single" w:sz="6" w:space="0" w:color="000000"/>
              <w:left w:val="single" w:sz="6" w:space="0" w:color="000000"/>
              <w:bottom w:val="single" w:sz="6" w:space="0" w:color="000000"/>
              <w:right w:val="single" w:sz="6" w:space="0" w:color="000000"/>
            </w:tcBorders>
          </w:tcPr>
          <w:p w14:paraId="6E629128" w14:textId="77777777" w:rsidR="000A3B2B" w:rsidRPr="009B4648" w:rsidRDefault="000A3B2B" w:rsidP="006904B4">
            <w:pPr>
              <w:autoSpaceDE w:val="0"/>
              <w:autoSpaceDN w:val="0"/>
              <w:adjustRightInd w:val="0"/>
              <w:spacing w:after="0" w:line="240" w:lineRule="auto"/>
              <w:rPr>
                <w:rFonts w:ascii="Arial" w:hAnsi="Arial" w:cs="Arial"/>
                <w:sz w:val="24"/>
                <w:szCs w:val="24"/>
              </w:rPr>
            </w:pPr>
            <w:r>
              <w:rPr>
                <w:rFonts w:ascii="Arial" w:hAnsi="Arial" w:cs="Arial"/>
                <w:sz w:val="24"/>
                <w:szCs w:val="24"/>
              </w:rPr>
              <w:t>2</w:t>
            </w:r>
          </w:p>
        </w:tc>
        <w:tc>
          <w:tcPr>
            <w:tcW w:w="180" w:type="dxa"/>
            <w:tcBorders>
              <w:top w:val="nil"/>
              <w:left w:val="single" w:sz="6" w:space="0" w:color="000000"/>
              <w:bottom w:val="nil"/>
              <w:right w:val="single" w:sz="6" w:space="0" w:color="000000"/>
            </w:tcBorders>
          </w:tcPr>
          <w:p w14:paraId="56679ED8" w14:textId="77777777" w:rsidR="000A3B2B" w:rsidRDefault="000A3B2B" w:rsidP="006904B4">
            <w:pPr>
              <w:autoSpaceDE w:val="0"/>
              <w:autoSpaceDN w:val="0"/>
              <w:adjustRightInd w:val="0"/>
              <w:spacing w:after="0" w:line="240" w:lineRule="auto"/>
              <w:rPr>
                <w:rFonts w:ascii="Arial" w:hAnsi="Arial" w:cs="Arial"/>
                <w:sz w:val="24"/>
                <w:szCs w:val="24"/>
                <w:lang w:val="x-none"/>
              </w:rPr>
            </w:pPr>
          </w:p>
        </w:tc>
        <w:tc>
          <w:tcPr>
            <w:tcW w:w="300" w:type="dxa"/>
            <w:tcBorders>
              <w:top w:val="single" w:sz="6" w:space="0" w:color="000000"/>
              <w:left w:val="single" w:sz="6" w:space="0" w:color="000000"/>
              <w:bottom w:val="single" w:sz="6" w:space="0" w:color="000000"/>
              <w:right w:val="single" w:sz="6" w:space="0" w:color="000000"/>
            </w:tcBorders>
          </w:tcPr>
          <w:p w14:paraId="6045B349" w14:textId="77777777" w:rsidR="000A3B2B" w:rsidRPr="009B4648" w:rsidRDefault="000A3B2B" w:rsidP="006904B4">
            <w:pPr>
              <w:autoSpaceDE w:val="0"/>
              <w:autoSpaceDN w:val="0"/>
              <w:adjustRightInd w:val="0"/>
              <w:spacing w:after="0" w:line="240" w:lineRule="auto"/>
              <w:rPr>
                <w:rFonts w:ascii="Arial" w:hAnsi="Arial" w:cs="Arial"/>
                <w:sz w:val="24"/>
                <w:szCs w:val="24"/>
              </w:rPr>
            </w:pPr>
            <w:r>
              <w:rPr>
                <w:rFonts w:ascii="Arial" w:hAnsi="Arial" w:cs="Arial"/>
                <w:sz w:val="24"/>
                <w:szCs w:val="24"/>
              </w:rPr>
              <w:t>0</w:t>
            </w:r>
          </w:p>
        </w:tc>
        <w:tc>
          <w:tcPr>
            <w:tcW w:w="180" w:type="dxa"/>
            <w:tcBorders>
              <w:top w:val="nil"/>
              <w:left w:val="single" w:sz="6" w:space="0" w:color="000000"/>
              <w:bottom w:val="nil"/>
              <w:right w:val="single" w:sz="6" w:space="0" w:color="000000"/>
            </w:tcBorders>
          </w:tcPr>
          <w:p w14:paraId="6CFBEA28" w14:textId="77777777" w:rsidR="000A3B2B" w:rsidRDefault="000A3B2B" w:rsidP="006904B4">
            <w:pPr>
              <w:autoSpaceDE w:val="0"/>
              <w:autoSpaceDN w:val="0"/>
              <w:adjustRightInd w:val="0"/>
              <w:spacing w:after="0" w:line="240" w:lineRule="auto"/>
              <w:rPr>
                <w:rFonts w:ascii="Arial" w:hAnsi="Arial" w:cs="Arial"/>
                <w:sz w:val="24"/>
                <w:szCs w:val="24"/>
                <w:lang w:val="x-none"/>
              </w:rPr>
            </w:pPr>
          </w:p>
        </w:tc>
        <w:tc>
          <w:tcPr>
            <w:tcW w:w="300" w:type="dxa"/>
            <w:tcBorders>
              <w:top w:val="single" w:sz="6" w:space="0" w:color="000000"/>
              <w:left w:val="single" w:sz="6" w:space="0" w:color="000000"/>
              <w:bottom w:val="single" w:sz="6" w:space="0" w:color="000000"/>
              <w:right w:val="single" w:sz="6" w:space="0" w:color="000000"/>
            </w:tcBorders>
          </w:tcPr>
          <w:p w14:paraId="1752FD4A" w14:textId="77777777" w:rsidR="000A3B2B" w:rsidRPr="009B4648" w:rsidRDefault="000A3B2B" w:rsidP="006904B4">
            <w:pPr>
              <w:autoSpaceDE w:val="0"/>
              <w:autoSpaceDN w:val="0"/>
              <w:adjustRightInd w:val="0"/>
              <w:spacing w:after="0" w:line="240" w:lineRule="auto"/>
              <w:rPr>
                <w:rFonts w:ascii="Arial" w:hAnsi="Arial" w:cs="Arial"/>
                <w:sz w:val="24"/>
                <w:szCs w:val="24"/>
              </w:rPr>
            </w:pPr>
            <w:r>
              <w:rPr>
                <w:rFonts w:ascii="Arial" w:hAnsi="Arial" w:cs="Arial"/>
                <w:sz w:val="24"/>
                <w:szCs w:val="24"/>
              </w:rPr>
              <w:t>0</w:t>
            </w:r>
          </w:p>
        </w:tc>
        <w:tc>
          <w:tcPr>
            <w:tcW w:w="390" w:type="dxa"/>
            <w:tcBorders>
              <w:top w:val="nil"/>
              <w:left w:val="single" w:sz="6" w:space="0" w:color="000000"/>
              <w:bottom w:val="nil"/>
              <w:right w:val="single" w:sz="6" w:space="0" w:color="000000"/>
            </w:tcBorders>
            <w:vAlign w:val="center"/>
          </w:tcPr>
          <w:p w14:paraId="65CBC3FE" w14:textId="77777777" w:rsidR="000A3B2B" w:rsidRDefault="000A3B2B" w:rsidP="006904B4">
            <w:pPr>
              <w:tabs>
                <w:tab w:val="right" w:pos="7035"/>
              </w:tabs>
              <w:autoSpaceDE w:val="0"/>
              <w:autoSpaceDN w:val="0"/>
              <w:adjustRightInd w:val="0"/>
              <w:spacing w:after="0" w:line="288" w:lineRule="auto"/>
              <w:jc w:val="center"/>
              <w:rPr>
                <w:rFonts w:ascii="Times New Roman" w:hAnsi="Times New Roman" w:cs="Times New Roman"/>
                <w:color w:val="000000"/>
                <w:sz w:val="24"/>
                <w:szCs w:val="24"/>
                <w:lang w:val="x-none"/>
              </w:rPr>
            </w:pPr>
            <w:r>
              <w:rPr>
                <w:rFonts w:ascii="Times New Roman" w:hAnsi="Times New Roman" w:cs="Times New Roman"/>
                <w:color w:val="000000"/>
                <w:sz w:val="24"/>
                <w:szCs w:val="24"/>
                <w:lang w:val="x-none"/>
              </w:rPr>
              <w:t>–</w:t>
            </w:r>
          </w:p>
        </w:tc>
        <w:tc>
          <w:tcPr>
            <w:tcW w:w="300" w:type="dxa"/>
            <w:tcBorders>
              <w:top w:val="single" w:sz="6" w:space="0" w:color="000000"/>
              <w:left w:val="single" w:sz="6" w:space="0" w:color="000000"/>
              <w:bottom w:val="single" w:sz="6" w:space="0" w:color="000000"/>
              <w:right w:val="single" w:sz="6" w:space="0" w:color="000000"/>
            </w:tcBorders>
          </w:tcPr>
          <w:p w14:paraId="552AC562" w14:textId="77777777" w:rsidR="000A3B2B" w:rsidRPr="009B4648" w:rsidRDefault="000A3B2B" w:rsidP="006904B4">
            <w:pPr>
              <w:autoSpaceDE w:val="0"/>
              <w:autoSpaceDN w:val="0"/>
              <w:adjustRightInd w:val="0"/>
              <w:spacing w:after="0" w:line="240" w:lineRule="auto"/>
              <w:rPr>
                <w:rFonts w:ascii="Arial" w:hAnsi="Arial" w:cs="Arial"/>
                <w:sz w:val="24"/>
                <w:szCs w:val="24"/>
              </w:rPr>
            </w:pPr>
            <w:r>
              <w:rPr>
                <w:rFonts w:ascii="Arial" w:hAnsi="Arial" w:cs="Arial"/>
                <w:sz w:val="24"/>
                <w:szCs w:val="24"/>
              </w:rPr>
              <w:t>0</w:t>
            </w:r>
          </w:p>
        </w:tc>
        <w:tc>
          <w:tcPr>
            <w:tcW w:w="180" w:type="dxa"/>
            <w:tcBorders>
              <w:top w:val="nil"/>
              <w:left w:val="single" w:sz="6" w:space="0" w:color="000000"/>
              <w:bottom w:val="nil"/>
              <w:right w:val="nil"/>
            </w:tcBorders>
          </w:tcPr>
          <w:p w14:paraId="64E31FD5" w14:textId="77777777" w:rsidR="000A3B2B" w:rsidRDefault="000A3B2B" w:rsidP="006904B4">
            <w:pPr>
              <w:autoSpaceDE w:val="0"/>
              <w:autoSpaceDN w:val="0"/>
              <w:adjustRightInd w:val="0"/>
              <w:spacing w:after="0" w:line="240" w:lineRule="auto"/>
              <w:rPr>
                <w:rFonts w:ascii="Arial" w:hAnsi="Arial" w:cs="Arial"/>
                <w:sz w:val="24"/>
                <w:szCs w:val="24"/>
                <w:lang w:val="x-none"/>
              </w:rPr>
            </w:pPr>
          </w:p>
        </w:tc>
        <w:tc>
          <w:tcPr>
            <w:tcW w:w="4601" w:type="dxa"/>
            <w:tcBorders>
              <w:top w:val="nil"/>
              <w:left w:val="nil"/>
              <w:bottom w:val="single" w:sz="6" w:space="0" w:color="auto"/>
              <w:right w:val="nil"/>
            </w:tcBorders>
          </w:tcPr>
          <w:p w14:paraId="78492968" w14:textId="77777777" w:rsidR="000A3B2B" w:rsidRDefault="000A3B2B" w:rsidP="006904B4">
            <w:pPr>
              <w:autoSpaceDE w:val="0"/>
              <w:autoSpaceDN w:val="0"/>
              <w:adjustRightInd w:val="0"/>
              <w:spacing w:after="0" w:line="240" w:lineRule="auto"/>
              <w:ind w:right="-83"/>
              <w:rPr>
                <w:rFonts w:ascii="Arial" w:hAnsi="Arial" w:cs="Arial"/>
                <w:sz w:val="24"/>
                <w:szCs w:val="24"/>
                <w:lang w:val="x-none"/>
              </w:rPr>
            </w:pPr>
            <w:r>
              <w:t>Roboty w zakresie przygotowania terenu pod budowę i roboty ziemne</w:t>
            </w:r>
          </w:p>
        </w:tc>
      </w:tr>
    </w:tbl>
    <w:p w14:paraId="3FDE967B"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p>
    <w:p w14:paraId="593FCE64" w14:textId="77777777" w:rsidR="000A3B2B" w:rsidRDefault="000A3B2B" w:rsidP="006904B4">
      <w:pPr>
        <w:autoSpaceDE w:val="0"/>
        <w:autoSpaceDN w:val="0"/>
        <w:adjustRightInd w:val="0"/>
        <w:spacing w:after="30" w:line="240" w:lineRule="auto"/>
        <w:ind w:firstLine="285"/>
        <w:jc w:val="both"/>
        <w:rPr>
          <w:rFonts w:ascii="Arial" w:hAnsi="Arial" w:cs="Arial"/>
          <w:color w:val="000000"/>
          <w:sz w:val="18"/>
          <w:szCs w:val="18"/>
          <w:lang w:val="x-none"/>
        </w:rPr>
      </w:pPr>
    </w:p>
    <w:p w14:paraId="7FDDA6C5" w14:textId="77777777" w:rsidR="000A3B2B" w:rsidRDefault="000A3B2B" w:rsidP="006904B4">
      <w:pPr>
        <w:autoSpaceDE w:val="0"/>
        <w:autoSpaceDN w:val="0"/>
        <w:adjustRightInd w:val="0"/>
        <w:spacing w:before="225" w:after="12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2.</w:t>
      </w:r>
      <w:r>
        <w:rPr>
          <w:rFonts w:ascii="Arial" w:hAnsi="Arial" w:cs="Arial"/>
          <w:b/>
          <w:bCs/>
          <w:color w:val="000000"/>
          <w:sz w:val="18"/>
          <w:szCs w:val="18"/>
          <w:lang w:val="x-none"/>
        </w:rPr>
        <w:tab/>
        <w:t>WYMAGANIA DOTYCZĄCE  MATERIAŁÓW (GRUNTY)</w:t>
      </w:r>
    </w:p>
    <w:p w14:paraId="7553C89A"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Ogólne wymagania dotyczące właściwości materiałów, ich pozyskiwania i składowania podano w ST „Wymagania ogólne” Kod CPV 45000000-7, pkt 2.</w:t>
      </w:r>
    </w:p>
    <w:p w14:paraId="2A43B1A9"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p>
    <w:p w14:paraId="020361A9" w14:textId="77777777" w:rsidR="000A3B2B" w:rsidRDefault="000A3B2B" w:rsidP="006904B4">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2.1.</w:t>
      </w:r>
      <w:r>
        <w:rPr>
          <w:rFonts w:ascii="Arial" w:hAnsi="Arial" w:cs="Arial"/>
          <w:b/>
          <w:bCs/>
          <w:color w:val="000000"/>
          <w:sz w:val="18"/>
          <w:szCs w:val="18"/>
          <w:lang w:val="x-none"/>
        </w:rPr>
        <w:tab/>
        <w:t>Źródła uzyskania materiałów (gruntu)</w:t>
      </w:r>
    </w:p>
    <w:p w14:paraId="56C64BE3"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Wykonawca przedstawi szczegółowe informacje dotyczące proponowanego źródła wytwarzania, zamawiania lub wydobywania materiałów i odpowiednie świadectwa badań laboratoryjnych oraz próbki do zatwierdzenia przez Inspektora nadzoru.</w:t>
      </w:r>
    </w:p>
    <w:p w14:paraId="105A25DA" w14:textId="77777777" w:rsidR="000A3B2B" w:rsidRDefault="000A3B2B" w:rsidP="006904B4">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Wykonawca zobowiązany jest do prowadzenia badań w celu udokumentowania, że materiały uzyskane z dopuszczalnego źródła w sposób ciągły spełniają wymagania SST w czasie postępu robót.</w:t>
      </w:r>
    </w:p>
    <w:p w14:paraId="6D6AD344"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p>
    <w:p w14:paraId="3637C4F3" w14:textId="77777777" w:rsidR="000A3B2B" w:rsidRDefault="000A3B2B" w:rsidP="006904B4">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2.2.</w:t>
      </w:r>
      <w:r>
        <w:rPr>
          <w:rFonts w:ascii="Arial" w:hAnsi="Arial" w:cs="Arial"/>
          <w:b/>
          <w:bCs/>
          <w:color w:val="000000"/>
          <w:sz w:val="18"/>
          <w:szCs w:val="18"/>
          <w:lang w:val="x-none"/>
        </w:rPr>
        <w:tab/>
        <w:t>Pozyskiwanie materiałów  miejscowych</w:t>
      </w:r>
    </w:p>
    <w:p w14:paraId="148B71D3"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Wykonawca odpowiada za uzyskanie pozwoleń od właścicieli i odnośnych organów władzy na pozyskanie materiałów z jakichkolwiek źródeł miejscowych, włączając w to źródła wskazane przez Zamawiającego i jest zobowiązany dostarczyć Inspektorowi nadzoru wymagane dokumenty przed rozpoczęciem eksploatacji źródła.</w:t>
      </w:r>
    </w:p>
    <w:p w14:paraId="449A736F" w14:textId="77777777" w:rsidR="000A3B2B" w:rsidRDefault="000A3B2B" w:rsidP="006904B4">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Wykonawca przedstawi dokumentację zawierającą raporty z badań terenowych i laboratoryjnych oraz proponowaną przez siebie metodę wydobycia i selekcji do zatwierdzenia Inspektorowi nadzoru.</w:t>
      </w:r>
    </w:p>
    <w:p w14:paraId="744B439C" w14:textId="77777777" w:rsidR="000A3B2B" w:rsidRDefault="000A3B2B" w:rsidP="006904B4">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Wykonawca ponosi odpowiedzialność za spełnienie wymagań ilościowych i jakościowych materiałów z jakiegokolwiek źródła.</w:t>
      </w:r>
    </w:p>
    <w:p w14:paraId="066DB328" w14:textId="77777777" w:rsidR="000A3B2B" w:rsidRDefault="000A3B2B" w:rsidP="006904B4">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Wykonawca poniesie wszystkie koszty, a w tym: opłaty, wynagrodzenia i jakiekolwiek inne koszty związane z dostarczeniem materiałów do robót, chyba że postanowienia ogólnych lub szczegółowych warunków umowy stanowią inaczej.</w:t>
      </w:r>
    </w:p>
    <w:p w14:paraId="397EC632" w14:textId="77777777" w:rsidR="000A3B2B" w:rsidRDefault="000A3B2B" w:rsidP="006904B4">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Humus i nadkład czasowo zdjęte z terenu wykopów, ukopów i miejsc pozyskania piasku i żwiru będą formowane w hałdy i wykorzystywane przy zasypce i rekultywacji terenu po ukończeniu robót.</w:t>
      </w:r>
    </w:p>
    <w:p w14:paraId="4F863CA3" w14:textId="77777777" w:rsidR="000A3B2B" w:rsidRDefault="000A3B2B" w:rsidP="006904B4">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lastRenderedPageBreak/>
        <w:t>Wszystkie odpowiednie materiały pozyskane z wykopów na terenie budowy lub z innych miejsc wskazanych w dokumentach umowy będą wykorzystane do robót lub odwiezione na odkład odpowiednio do wymagań umowy lub wskazań Inspektora nadzoru.</w:t>
      </w:r>
    </w:p>
    <w:p w14:paraId="6BD11633" w14:textId="77777777" w:rsidR="000A3B2B" w:rsidRDefault="000A3B2B" w:rsidP="006904B4">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Z wyjątkiem uzyskania na to pisemnej zgody Inspektora nadzoru Wykonawca nie będzie prowadzić żadnych wykopów w obrębie terenu budowy poza tymi, które zostały wyszczególnione w dokumentach umowy.</w:t>
      </w:r>
    </w:p>
    <w:p w14:paraId="4F4D8C53" w14:textId="77777777" w:rsidR="000A3B2B" w:rsidRDefault="000A3B2B" w:rsidP="006904B4">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Eksploatacja źródeł materiałów będzie zgodna z wszelkimi regulacjami prawnymi obowiązującymi na danym obszarze.</w:t>
      </w:r>
    </w:p>
    <w:p w14:paraId="6D0D3845"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p>
    <w:p w14:paraId="2F34B364" w14:textId="77777777" w:rsidR="000A3B2B" w:rsidRDefault="000A3B2B" w:rsidP="006904B4">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2.3.</w:t>
      </w:r>
      <w:r>
        <w:rPr>
          <w:rFonts w:ascii="Arial" w:hAnsi="Arial" w:cs="Arial"/>
          <w:b/>
          <w:bCs/>
          <w:color w:val="000000"/>
          <w:sz w:val="18"/>
          <w:szCs w:val="18"/>
          <w:lang w:val="x-none"/>
        </w:rPr>
        <w:tab/>
        <w:t>Przechowywanie i składowanie materiałów</w:t>
      </w:r>
    </w:p>
    <w:p w14:paraId="13D2D4C7"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Wykonawca zapewni, aby tymczasowo składowane materiały, do czasu gdy będą one potrzebne do robót, były zabezpieczone przed zanieczyszczeniem, zachowały swoją jakość i właściwość do robót i były dostępne do kontroli przez Inspektora nadzoru.</w:t>
      </w:r>
    </w:p>
    <w:p w14:paraId="1A399AC8"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Miejsca czasowego składowania materiałów będą zlokalizowane w obrębie terenu budowy w miejscach uzgodnionych z Inspektorem nadzoru lub poza terenem budowy w miejscach zorganizowanych przez Wykonawcę.</w:t>
      </w:r>
    </w:p>
    <w:p w14:paraId="2EF39EE2"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p>
    <w:p w14:paraId="53230EBB" w14:textId="77777777" w:rsidR="000A3B2B" w:rsidRDefault="000A3B2B" w:rsidP="006904B4">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2.4.</w:t>
      </w:r>
      <w:r>
        <w:rPr>
          <w:rFonts w:ascii="Arial" w:hAnsi="Arial" w:cs="Arial"/>
          <w:b/>
          <w:bCs/>
          <w:color w:val="000000"/>
          <w:sz w:val="18"/>
          <w:szCs w:val="18"/>
          <w:lang w:val="x-none"/>
        </w:rPr>
        <w:tab/>
        <w:t>Zasady wykorzystania gruntów</w:t>
      </w:r>
    </w:p>
    <w:p w14:paraId="02F8F27B"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Grunty uzyskane przy wykonywaniu wykopów powinny być przez Wykonawcę wykorzystane w maksymalnym stopniu do zasypek. Grunty przydatne do budowy nasypów mogą być wywiezione poza teren budowy tylko wówczas, gdy stanowią nadmiar objętości robót ziemnych i za zezwoleniem Inspektora nadzoru.</w:t>
      </w:r>
    </w:p>
    <w:p w14:paraId="237B044B" w14:textId="77777777" w:rsidR="000A3B2B" w:rsidRDefault="000A3B2B" w:rsidP="006904B4">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Jeżeli grunty przydatne, uzyskane przy wykonaniu wykopów, nie będąc nadmiarem objętości robót ziemnych, zostały za zgodą Inspektora nadzoru wywiezione przez Wykonawcę poza teren budowy z przeznaczeniem innym niż budowa nasypów lub wykonanie prac objętych kontraktem, Wykonawca jest zobowiązany do dostarczenia równoważnej objętości gruntów przydatnych ze źródeł własnych, zaakceptowanych przez Inspektora nadzoru.</w:t>
      </w:r>
    </w:p>
    <w:p w14:paraId="41608026" w14:textId="77777777" w:rsidR="000A3B2B" w:rsidRDefault="000A3B2B" w:rsidP="006904B4">
      <w:pPr>
        <w:autoSpaceDE w:val="0"/>
        <w:autoSpaceDN w:val="0"/>
        <w:adjustRightInd w:val="0"/>
        <w:spacing w:after="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Grunty i materiały nieprzydatne do budowy nasypów, powinny być wywiezione przez Wykonawcę na odkład. Zapewnienie terenów na odkład należy do obowiązków Zamawiającego, o ile nie określono tego inaczej w kontrakcie. Inspektor nadzoru może nakazać pozostawienie na terenie budowy gruntów, których czasowa nieprzydatność wynika jedynie z powodu zamarznięcia lub nadmiernej wilgotności.</w:t>
      </w:r>
    </w:p>
    <w:p w14:paraId="2E21068D" w14:textId="77777777" w:rsidR="000A3B2B" w:rsidRDefault="000A3B2B" w:rsidP="006904B4">
      <w:pPr>
        <w:autoSpaceDE w:val="0"/>
        <w:autoSpaceDN w:val="0"/>
        <w:adjustRightInd w:val="0"/>
        <w:spacing w:after="0" w:line="240" w:lineRule="auto"/>
        <w:jc w:val="both"/>
        <w:rPr>
          <w:rFonts w:ascii="Arial" w:hAnsi="Arial" w:cs="Arial"/>
          <w:color w:val="000000"/>
          <w:sz w:val="18"/>
          <w:szCs w:val="18"/>
          <w:lang w:val="x-none"/>
        </w:rPr>
      </w:pPr>
    </w:p>
    <w:p w14:paraId="44051368" w14:textId="77777777" w:rsidR="000A3B2B" w:rsidRDefault="000A3B2B" w:rsidP="006904B4">
      <w:pPr>
        <w:autoSpaceDE w:val="0"/>
        <w:autoSpaceDN w:val="0"/>
        <w:adjustRightInd w:val="0"/>
        <w:spacing w:before="225" w:after="12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3.</w:t>
      </w:r>
      <w:r>
        <w:rPr>
          <w:rFonts w:ascii="Arial" w:hAnsi="Arial" w:cs="Arial"/>
          <w:b/>
          <w:bCs/>
          <w:color w:val="000000"/>
          <w:sz w:val="18"/>
          <w:szCs w:val="18"/>
          <w:lang w:val="x-none"/>
        </w:rPr>
        <w:tab/>
        <w:t xml:space="preserve">WYMAGANIA DOTYCZĄCE SPRZĘTU, MASZYN I NARZĘDZI </w:t>
      </w:r>
    </w:p>
    <w:p w14:paraId="11C661DD" w14:textId="77777777" w:rsidR="000A3B2B" w:rsidRDefault="000A3B2B" w:rsidP="006904B4">
      <w:pPr>
        <w:autoSpaceDE w:val="0"/>
        <w:autoSpaceDN w:val="0"/>
        <w:adjustRightInd w:val="0"/>
        <w:spacing w:after="0" w:line="240" w:lineRule="auto"/>
        <w:jc w:val="both"/>
        <w:rPr>
          <w:rFonts w:ascii="Arial" w:hAnsi="Arial" w:cs="Arial"/>
          <w:color w:val="000000"/>
          <w:sz w:val="18"/>
          <w:szCs w:val="18"/>
          <w:lang w:val="x-none"/>
        </w:rPr>
      </w:pPr>
      <w:r>
        <w:rPr>
          <w:rFonts w:ascii="Arial" w:hAnsi="Arial" w:cs="Arial"/>
          <w:color w:val="000000"/>
          <w:sz w:val="18"/>
          <w:szCs w:val="18"/>
          <w:lang w:val="x-none"/>
        </w:rPr>
        <w:t>Ogólne wymagania dotyczące sprzętu podano w ST „Wymagania ogólne” Kod CPV 45000000-7, pkt 3.</w:t>
      </w:r>
    </w:p>
    <w:p w14:paraId="02A5100A" w14:textId="77777777" w:rsidR="000A3B2B" w:rsidRDefault="000A3B2B" w:rsidP="006904B4">
      <w:pPr>
        <w:autoSpaceDE w:val="0"/>
        <w:autoSpaceDN w:val="0"/>
        <w:adjustRightInd w:val="0"/>
        <w:spacing w:after="0" w:line="240" w:lineRule="auto"/>
        <w:jc w:val="both"/>
        <w:rPr>
          <w:rFonts w:ascii="Arial" w:hAnsi="Arial" w:cs="Arial"/>
          <w:color w:val="000000"/>
          <w:sz w:val="18"/>
          <w:szCs w:val="18"/>
          <w:lang w:val="x-none"/>
        </w:rPr>
      </w:pPr>
    </w:p>
    <w:p w14:paraId="1164FE51" w14:textId="77777777" w:rsidR="000A3B2B" w:rsidRDefault="000A3B2B" w:rsidP="006904B4">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3.1.</w:t>
      </w:r>
      <w:r>
        <w:rPr>
          <w:rFonts w:ascii="Arial" w:hAnsi="Arial" w:cs="Arial"/>
          <w:b/>
          <w:bCs/>
          <w:color w:val="000000"/>
          <w:sz w:val="18"/>
          <w:szCs w:val="18"/>
          <w:lang w:val="x-none"/>
        </w:rPr>
        <w:tab/>
        <w:t>Wymagania dotyczące sprzętu</w:t>
      </w:r>
    </w:p>
    <w:p w14:paraId="6A7D231F"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SST, PZJ lub projekcie organizacji robót, zaakceptowanym przez Inspektora nadzoru, w przypadku braku ustaleń w takich dokumentach sprzęt powinien być uzgodniony i zaakceptowany przez Inspektora nadzoru.</w:t>
      </w:r>
    </w:p>
    <w:p w14:paraId="5DB947DB" w14:textId="77777777" w:rsidR="000A3B2B" w:rsidRDefault="000A3B2B" w:rsidP="006904B4">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Liczba i wydajność sprzętu będzie gwarantować przeprowadzenie robót, zgodnie z zasadami określonymi w dokumentacji projektowej, SST i wskazaniach Inspektora nadzoru w terminie przewidzianym umową.</w:t>
      </w:r>
    </w:p>
    <w:p w14:paraId="28069678" w14:textId="77777777" w:rsidR="000A3B2B" w:rsidRDefault="000A3B2B" w:rsidP="006904B4">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Sprzęt będący własnością Wykonawcy lub wynajęty do wykonania robót ma być utrzymywany w dobrym stanie i gotowości do pracy. Będzie on zgodny z normami ochrony środowiska i przepisami dotyczącymi jego użytkowania.</w:t>
      </w:r>
    </w:p>
    <w:p w14:paraId="1FC74161" w14:textId="77777777" w:rsidR="000A3B2B" w:rsidRDefault="000A3B2B" w:rsidP="006904B4">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Wykonawca dostarczy Inspektorowi nadzoru kopie dokumentów potwierdzających dopuszczenie sprzętu do użytkowania, tam gdzie jest to wymagane przepisami.</w:t>
      </w:r>
    </w:p>
    <w:p w14:paraId="3A23DA2A" w14:textId="77777777" w:rsidR="000A3B2B" w:rsidRDefault="000A3B2B" w:rsidP="006904B4">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Jeżeli dokumentacja projektowa lub SST przewidują możliwość wariantowego użycia sprzętu przy wykonywanych robotach, Wykonawca powiadomi Inspektora nadzoru o swoim zamiarze wyboru i uzyska jego akceptację przed użyciem sprzętu. Wybrany sprzęt, po akceptacji Inspektora nie może być później zmieniany bez jego zgody.</w:t>
      </w:r>
    </w:p>
    <w:p w14:paraId="0C755261" w14:textId="77777777" w:rsidR="000A3B2B" w:rsidRDefault="000A3B2B" w:rsidP="006904B4">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Jakikolwiek sprzęt, maszyny, urządzenia i narzędzia nie gwarantujące zachowania warunków umowy, zostaną przez Inspektora nadzoru zdyskwalifikowane i nie dopuszczone do robót.</w:t>
      </w:r>
    </w:p>
    <w:p w14:paraId="0BE613E8"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p>
    <w:p w14:paraId="14965565" w14:textId="77777777" w:rsidR="000A3B2B" w:rsidRDefault="000A3B2B" w:rsidP="006904B4">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3.2.</w:t>
      </w:r>
      <w:r>
        <w:rPr>
          <w:rFonts w:ascii="Arial" w:hAnsi="Arial" w:cs="Arial"/>
          <w:b/>
          <w:bCs/>
          <w:color w:val="000000"/>
          <w:sz w:val="18"/>
          <w:szCs w:val="18"/>
          <w:lang w:val="x-none"/>
        </w:rPr>
        <w:tab/>
        <w:t>Sprzęt do robót ziemnych</w:t>
      </w:r>
    </w:p>
    <w:p w14:paraId="6656BA50"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Wykonawca przystępujący do wykonania robót ziemnych powinien wykazać się możliwością korzystania z następującego sprzętu do:</w:t>
      </w:r>
    </w:p>
    <w:p w14:paraId="283678DD" w14:textId="77777777" w:rsidR="000A3B2B" w:rsidRDefault="000A3B2B" w:rsidP="006904B4">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odspajania i wydobywania gruntów (narzędzia mechaniczne, młoty pneumatyczne, zrywarki, koparki, ładowarki, wiertarki mechaniczne itp.),</w:t>
      </w:r>
    </w:p>
    <w:p w14:paraId="4CC77C0B" w14:textId="77777777" w:rsidR="000A3B2B" w:rsidRDefault="000A3B2B" w:rsidP="006904B4">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jednoczesnego wydobywania i przemieszczania gruntów (spycharki, zgarniarki, równiarki, urządzenia do hydromechanizacji itp.),</w:t>
      </w:r>
    </w:p>
    <w:p w14:paraId="1BEE8FF5" w14:textId="77777777" w:rsidR="000A3B2B" w:rsidRDefault="000A3B2B" w:rsidP="006904B4">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transportu mas ziemnych (samochody wywrotki, samochody skrzyniowe, taśmociągi itp.),</w:t>
      </w:r>
    </w:p>
    <w:p w14:paraId="2A157B4E" w14:textId="77777777" w:rsidR="000A3B2B" w:rsidRDefault="000A3B2B" w:rsidP="006904B4">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lastRenderedPageBreak/>
        <w:t>–</w:t>
      </w:r>
      <w:r>
        <w:rPr>
          <w:rFonts w:ascii="Arial" w:hAnsi="Arial" w:cs="Arial"/>
          <w:color w:val="000000"/>
          <w:sz w:val="18"/>
          <w:szCs w:val="18"/>
          <w:lang w:val="x-none"/>
        </w:rPr>
        <w:tab/>
        <w:t>sprzętu zagęszczającego (walce, ubijaki, płyty wibracyjne itp.).</w:t>
      </w:r>
    </w:p>
    <w:p w14:paraId="152815E3"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p>
    <w:p w14:paraId="3DDC61EF" w14:textId="77777777" w:rsidR="000A3B2B" w:rsidRDefault="000A3B2B" w:rsidP="006904B4">
      <w:pPr>
        <w:autoSpaceDE w:val="0"/>
        <w:autoSpaceDN w:val="0"/>
        <w:adjustRightInd w:val="0"/>
        <w:spacing w:before="225" w:after="12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4.</w:t>
      </w:r>
      <w:r>
        <w:rPr>
          <w:rFonts w:ascii="Arial" w:hAnsi="Arial" w:cs="Arial"/>
          <w:b/>
          <w:bCs/>
          <w:color w:val="000000"/>
          <w:sz w:val="18"/>
          <w:szCs w:val="18"/>
          <w:lang w:val="x-none"/>
        </w:rPr>
        <w:tab/>
        <w:t xml:space="preserve">WYMAGANIA DOTYCZĄCE TRANSPORTU </w:t>
      </w:r>
    </w:p>
    <w:p w14:paraId="4AA5D7B4"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Ogólne wymagania dotyczące transportu podano w ST „Wymagania ogólne” Kod CPV 45000000-7, pkt 4.</w:t>
      </w:r>
    </w:p>
    <w:p w14:paraId="5750F1FA"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p>
    <w:p w14:paraId="575FD8A3" w14:textId="77777777" w:rsidR="000A3B2B" w:rsidRDefault="000A3B2B" w:rsidP="006904B4">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4.1.</w:t>
      </w:r>
      <w:r>
        <w:rPr>
          <w:rFonts w:ascii="Arial" w:hAnsi="Arial" w:cs="Arial"/>
          <w:b/>
          <w:bCs/>
          <w:color w:val="000000"/>
          <w:sz w:val="18"/>
          <w:szCs w:val="18"/>
          <w:lang w:val="x-none"/>
        </w:rPr>
        <w:tab/>
        <w:t>Wymagania dotyczące transportu</w:t>
      </w:r>
    </w:p>
    <w:p w14:paraId="1306D6BC"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Wykonawca jest zobowiązany do stosowania jedynie takich środków transportu, które nie wpłyną niekorzystnie na jakość wykonywanych robót i właściwości przewożonych materiałów.</w:t>
      </w:r>
    </w:p>
    <w:p w14:paraId="0868A4E5" w14:textId="77777777" w:rsidR="000A3B2B" w:rsidRDefault="000A3B2B" w:rsidP="006904B4">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Liczba środków transportu będzie zapewniać prowadzenie robót zgodnie z zasadami określonymi w dokumentacji projektowej, SST i wskazaniach Inspektora nadzoru w terminie przewidzianym w umowie.</w:t>
      </w:r>
    </w:p>
    <w:p w14:paraId="318A9A51" w14:textId="77777777" w:rsidR="000A3B2B" w:rsidRDefault="000A3B2B" w:rsidP="006904B4">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Przy ruchu na drogach publicznych pojazdy będą spełniać wymagania dotyczące przepisów ruchu drogowego w odniesieniu do dopuszczalnych obciążeń na osie i innych parametrów technicznych. Środki transportu nie odpowiadające warunkom dopuszczalnych obciążeń na osie mogą być dopuszczone przez Inspektora nadzoru pod warunkiem przywrócenia stanu pierwotnego użytkowanych odcinków dróg na koszt Wykonawcy.</w:t>
      </w:r>
    </w:p>
    <w:p w14:paraId="2D4EE6F3"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Wykonawca będzie usuwać na bieżąco, na własny koszt, wszelkie zanieczyszczenia spowodowane jego pojazdami na drogach publicznych oraz dojazdach do terenu budowy.</w:t>
      </w:r>
    </w:p>
    <w:p w14:paraId="46FEC3BB"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p>
    <w:p w14:paraId="36A7B367" w14:textId="77777777" w:rsidR="000A3B2B" w:rsidRDefault="000A3B2B" w:rsidP="006904B4">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4.2.</w:t>
      </w:r>
      <w:r>
        <w:rPr>
          <w:rFonts w:ascii="Arial" w:hAnsi="Arial" w:cs="Arial"/>
          <w:b/>
          <w:bCs/>
          <w:color w:val="000000"/>
          <w:sz w:val="18"/>
          <w:szCs w:val="18"/>
          <w:lang w:val="x-none"/>
        </w:rPr>
        <w:tab/>
        <w:t>Transport gruntów</w:t>
      </w:r>
    </w:p>
    <w:p w14:paraId="5A9A416B"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Wybór środków transportowych oraz metod transportu powinien być dostosowany do kategorii gruntu (materiału), jego objętości, technologii odspajania i załadunku oraz odległości transportu. Wydajność środków transportowych powinna być ponadto dostosowana do wydajności sprzętu stosowanego do urabiania i wbudowania gruntu (materiału).</w:t>
      </w:r>
    </w:p>
    <w:p w14:paraId="6ACC9F41" w14:textId="77777777" w:rsidR="000A3B2B" w:rsidRDefault="000A3B2B" w:rsidP="006904B4">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Zwiększenie odległości transportu ponad wartości zatwierdzone nie może być podstawą roszczeń Wykonawcy, dotyczących dodatkowej zapłaty za transport, o ile zwiększone odległości nie zostały wcześniej zaakceptowane na piśmie przez Inspektora nadzoru.</w:t>
      </w:r>
    </w:p>
    <w:p w14:paraId="47066458"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p>
    <w:p w14:paraId="5B4454D1" w14:textId="77777777" w:rsidR="000A3B2B" w:rsidRDefault="000A3B2B" w:rsidP="006904B4">
      <w:pPr>
        <w:autoSpaceDE w:val="0"/>
        <w:autoSpaceDN w:val="0"/>
        <w:adjustRightInd w:val="0"/>
        <w:spacing w:before="225" w:after="12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5.</w:t>
      </w:r>
      <w:r>
        <w:rPr>
          <w:rFonts w:ascii="Arial" w:hAnsi="Arial" w:cs="Arial"/>
          <w:b/>
          <w:bCs/>
          <w:color w:val="000000"/>
          <w:sz w:val="18"/>
          <w:szCs w:val="18"/>
          <w:lang w:val="x-none"/>
        </w:rPr>
        <w:tab/>
        <w:t xml:space="preserve">WYMAGANIA DOTYCZĄCE WYKONANIA ROBÓT </w:t>
      </w:r>
    </w:p>
    <w:p w14:paraId="6776AF63"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Ogólne zasady wykonania robót podano w ST „Wymagania ogólne” Kod CPV 45000000-7, pkt 5.</w:t>
      </w:r>
    </w:p>
    <w:p w14:paraId="4F336485"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p>
    <w:p w14:paraId="01A43051" w14:textId="77777777" w:rsidR="000A3B2B" w:rsidRDefault="000A3B2B" w:rsidP="006904B4">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5.1.</w:t>
      </w:r>
      <w:r>
        <w:rPr>
          <w:rFonts w:ascii="Arial" w:hAnsi="Arial" w:cs="Arial"/>
          <w:b/>
          <w:bCs/>
          <w:color w:val="000000"/>
          <w:sz w:val="18"/>
          <w:szCs w:val="18"/>
          <w:lang w:val="x-none"/>
        </w:rPr>
        <w:tab/>
        <w:t>Zasady wykonania robót</w:t>
      </w:r>
    </w:p>
    <w:p w14:paraId="12DE396B"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Wykonawca jest odpowiedzialny za prowadzenie robót zgodnie z umową oraz za jakość zastosowanych materiałów i wykonywanych robót, za ich zgodność z dokumentacją projektową, wymaganiami SST, PZJ, projektu organizacji robót oraz poleceniami Inspektora nadzoru.</w:t>
      </w:r>
    </w:p>
    <w:p w14:paraId="724D74DE" w14:textId="77777777" w:rsidR="000A3B2B" w:rsidRDefault="000A3B2B" w:rsidP="006904B4">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Wykonawca ponosi odpowiedzialność za dokładne wytyczenie w planie i wyznaczenie wysokości wszystkich elementów robót zgodnie z wymiarami i rzędnymi określonymi w dokumentacji projektowej lub przekazanymi na piśmie przez Inspektora nadzoru. Następstwa jakiegokolwiek błędu spowodowanego przez Wykonawcę w wytyczeniu i wyznaczaniu robót zostaną, jeśli wymagać tego będzie Inspektor nadzoru, poprawione przez Wykonawcę na własny koszt.</w:t>
      </w:r>
    </w:p>
    <w:p w14:paraId="20895A6E" w14:textId="77777777" w:rsidR="000A3B2B" w:rsidRDefault="000A3B2B" w:rsidP="006904B4">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Sprawdzenie wytyczenia robót lub wyznaczenia wysokości przez Inspektora nadzoru nie zwalnia Wykonawcy od odpowiedzialności za ich dokładność.</w:t>
      </w:r>
    </w:p>
    <w:p w14:paraId="505EEDE0" w14:textId="77777777" w:rsidR="000A3B2B" w:rsidRDefault="000A3B2B" w:rsidP="006904B4">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Decyzje Inspektora nadzoru dotyczące akceptacji lub odrzucenia materiałów i elementów robót będą oparte na wymaganiach sformułowanych w dokumentach umowy, dokumentacji projektowej i w SST, a także w normach i wytycznych. Przy podejmowaniu decyzji Inspektor nadzoru uwzględni wyniki badań materiałów i robót, rozrzuty normalnie występujące przy produkcji i przy badaniach materiałów, doświadczenia z przeszłości, wyniki badań naukowych oraz inne czynniki wpływające na rozważaną kwestię.</w:t>
      </w:r>
    </w:p>
    <w:p w14:paraId="64D881E4" w14:textId="77777777" w:rsidR="000A3B2B" w:rsidRDefault="000A3B2B" w:rsidP="006904B4">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Polecenia Inspektora nadzoru będą wykonywane nie później niż w czasie przez niego wyznaczonym, po ich otrzymaniu przez Wykonawcę, pod groźbą zatrzymania robót. Skutki finansowe z tego tytułu ponosi Wykonawca.</w:t>
      </w:r>
    </w:p>
    <w:p w14:paraId="60FBE7A9"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p>
    <w:p w14:paraId="3AF32473" w14:textId="77777777" w:rsidR="000A3B2B" w:rsidRDefault="000A3B2B" w:rsidP="006904B4">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5.2.</w:t>
      </w:r>
      <w:r>
        <w:rPr>
          <w:rFonts w:ascii="Arial" w:hAnsi="Arial" w:cs="Arial"/>
          <w:b/>
          <w:bCs/>
          <w:color w:val="000000"/>
          <w:sz w:val="18"/>
          <w:szCs w:val="18"/>
          <w:lang w:val="x-none"/>
        </w:rPr>
        <w:tab/>
        <w:t>Dokładność wyznaczenia i wykonania wykopu</w:t>
      </w:r>
    </w:p>
    <w:p w14:paraId="1CCA1264"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Kontury robót ziemnych pod fundamenty lub wykopy ulegające późniejszemu zasypaniu należy wyznaczyć przed przystąpieniem do wykonywania robót ziemnych.</w:t>
      </w:r>
    </w:p>
    <w:p w14:paraId="0F304C2A" w14:textId="77777777" w:rsidR="000A3B2B" w:rsidRDefault="000A3B2B" w:rsidP="006904B4">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Przy wykonywaniu wykopów pod fundamenty budynków zasadnicze linie budynków i krawędzi wykopów powinny być wytyczone na ławach ciesielskich, umocowanych trwale poza obszarem wykonywanych robót ziemnych. Wytyczenie zasadniczych linii na ławach powinno być sprawdzane przez nadzór techniczny Inwestora i potwierdzone zapisem w dzienniku budowy.</w:t>
      </w:r>
    </w:p>
    <w:p w14:paraId="4AE6A5D3" w14:textId="77777777" w:rsidR="000A3B2B" w:rsidRDefault="000A3B2B" w:rsidP="006904B4">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lastRenderedPageBreak/>
        <w:t>Tyczenie obrysu wykopu powinno być wykonane z dokładnością do +/– 5 cm dla wyznaczenia charakterystycznych punktów załamania.</w:t>
      </w:r>
    </w:p>
    <w:p w14:paraId="0D745CD5" w14:textId="77777777" w:rsidR="000A3B2B" w:rsidRDefault="000A3B2B" w:rsidP="006904B4">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Odchylenie osi wykopu lub nasypu od osi projektowanej nie powinno być większe niż +/– 10 cm. Różnice w stosunku do projektowanych rzędnych robót ziemnych nie może przekroczyć +1 cm i – 3 cm.</w:t>
      </w:r>
    </w:p>
    <w:p w14:paraId="441A0E4D" w14:textId="77777777" w:rsidR="000A3B2B" w:rsidRDefault="000A3B2B" w:rsidP="006904B4">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Szerokość wykopu nie może różnić się od szerokości projektowanej o więcej niż +/– 10 cm, a krawędzie wykopu nie powinny mieć wyraźnych załamań w planie.</w:t>
      </w:r>
    </w:p>
    <w:p w14:paraId="36A37F48" w14:textId="77777777" w:rsidR="000A3B2B" w:rsidRDefault="000A3B2B" w:rsidP="006904B4">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Pochylenie skarp nie powinno różnić się od projektowanego o więcej niż 10% jego wartości wyrażonej tangensem kąta. Maksymalna głębokość nierówności na powierzchni skarp nie powinna przekraczać 10 cm przy pomiarze łatą 3-metrową.</w:t>
      </w:r>
    </w:p>
    <w:p w14:paraId="3956C8CB"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p>
    <w:p w14:paraId="5161F334" w14:textId="77777777" w:rsidR="000A3B2B" w:rsidRDefault="000A3B2B" w:rsidP="006904B4">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5.3.</w:t>
      </w:r>
      <w:r>
        <w:rPr>
          <w:rFonts w:ascii="Arial" w:hAnsi="Arial" w:cs="Arial"/>
          <w:b/>
          <w:bCs/>
          <w:color w:val="000000"/>
          <w:sz w:val="18"/>
          <w:szCs w:val="18"/>
          <w:lang w:val="x-none"/>
        </w:rPr>
        <w:tab/>
        <w:t>Odwodnienia robót ziemnych</w:t>
      </w:r>
    </w:p>
    <w:p w14:paraId="35BBFB77"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Niezależnie od budowy urządzeń, stanowiących elementy systemów odwadniających, ujętych w dokumentacji projektowej. Wykonawca powinien, o ile wymagają tego warunki terenowe, wykonać urządzenia, które zapewnią odprowadzenie wód gruntowych i opadowych poza obszar robót ziemnych, tak aby zabezpieczyć grunty przed </w:t>
      </w:r>
      <w:proofErr w:type="spellStart"/>
      <w:r>
        <w:rPr>
          <w:rFonts w:ascii="Arial" w:hAnsi="Arial" w:cs="Arial"/>
          <w:color w:val="000000"/>
          <w:sz w:val="18"/>
          <w:szCs w:val="18"/>
          <w:lang w:val="x-none"/>
        </w:rPr>
        <w:t>przewilgoceniem</w:t>
      </w:r>
      <w:proofErr w:type="spellEnd"/>
      <w:r>
        <w:rPr>
          <w:rFonts w:ascii="Arial" w:hAnsi="Arial" w:cs="Arial"/>
          <w:color w:val="000000"/>
          <w:sz w:val="18"/>
          <w:szCs w:val="18"/>
          <w:lang w:val="x-none"/>
        </w:rPr>
        <w:t xml:space="preserve"> i nawodnieniem. Wykonawca ma obowiązek takiego wykonywania wykopów i nasypów, aby powierzchniom, gruntu nadawać w całym okresie trwania robót spadki, zapewniające prawidłowe odwodnienie.</w:t>
      </w:r>
    </w:p>
    <w:p w14:paraId="07AADB73" w14:textId="77777777" w:rsidR="000A3B2B" w:rsidRDefault="000A3B2B" w:rsidP="006904B4">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Jeżeli w skutek zaniedbania Wykonawcy, grunty ulegną nawodnieniu, które spowoduje ich długotrwała nieprzydatność, Wykonawca ma obowiązek usunięcia tych gruntów i zastąpienia ich gruntami przydatnymi na własny koszt bez jakichkolwiek dodatkowych opłat ze strony Zamawiającego za te czynności, jak również za dowieziony grunt.</w:t>
      </w:r>
    </w:p>
    <w:p w14:paraId="40B18EBD" w14:textId="77777777" w:rsidR="000A3B2B" w:rsidRDefault="000A3B2B" w:rsidP="006904B4">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Odprowadzenie wód do istniejących zbiorników naturalnych i urządzeń odwadniających musi być poprzedzone uzgodnieniem z odpowiednimi instytucjami.</w:t>
      </w:r>
    </w:p>
    <w:p w14:paraId="76BDB8D5"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p>
    <w:p w14:paraId="6768AADA" w14:textId="77777777" w:rsidR="000A3B2B" w:rsidRDefault="000A3B2B" w:rsidP="006904B4">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5.4.</w:t>
      </w:r>
      <w:r>
        <w:rPr>
          <w:rFonts w:ascii="Arial" w:hAnsi="Arial" w:cs="Arial"/>
          <w:b/>
          <w:bCs/>
          <w:color w:val="000000"/>
          <w:sz w:val="18"/>
          <w:szCs w:val="18"/>
          <w:lang w:val="x-none"/>
        </w:rPr>
        <w:tab/>
        <w:t>Odwodnienie wykopów</w:t>
      </w:r>
    </w:p>
    <w:p w14:paraId="356F678E"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Technologia wykonania wykopu musi umożliwiać jego prawidłowe odwodnienie w całym okresie trwania robót ziemnych.</w:t>
      </w:r>
    </w:p>
    <w:p w14:paraId="0DE47DD1"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 czasie robót ziemnych należy zachować odpowiedni spadek podłużny rowków odwadniających, umożliwiających szybki odpływ wód z wykopu.</w:t>
      </w:r>
    </w:p>
    <w:p w14:paraId="11BB7C7E"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Źródła wody odsłonięte przy wykonywaniu wykopów, należy ująć w rowy i/lub dreny. Wody opadowe i gruntowe należy odprowadzić poza teren pasa robót ziemnych.</w:t>
      </w:r>
    </w:p>
    <w:p w14:paraId="60A39EC6"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p>
    <w:p w14:paraId="000F0A32" w14:textId="77777777" w:rsidR="000A3B2B" w:rsidRDefault="000A3B2B" w:rsidP="006904B4">
      <w:pPr>
        <w:autoSpaceDE w:val="0"/>
        <w:autoSpaceDN w:val="0"/>
        <w:adjustRightInd w:val="0"/>
        <w:spacing w:before="225" w:after="12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6.</w:t>
      </w:r>
      <w:r>
        <w:rPr>
          <w:rFonts w:ascii="Arial" w:hAnsi="Arial" w:cs="Arial"/>
          <w:b/>
          <w:bCs/>
          <w:color w:val="000000"/>
          <w:sz w:val="18"/>
          <w:szCs w:val="18"/>
          <w:lang w:val="x-none"/>
        </w:rPr>
        <w:tab/>
        <w:t>KONTROLA JAKOŚCI ROBÓT</w:t>
      </w:r>
    </w:p>
    <w:p w14:paraId="5C06C1BB"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Ogólne zasady kontroli jakości robót podano w ST „Wymagania ogólne” Kod CPV 45000000-7, pkt 6.</w:t>
      </w:r>
    </w:p>
    <w:p w14:paraId="0A430B2A"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p>
    <w:p w14:paraId="490FFE68" w14:textId="77777777" w:rsidR="000A3B2B" w:rsidRDefault="000A3B2B" w:rsidP="006904B4">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6.1.</w:t>
      </w:r>
      <w:r>
        <w:rPr>
          <w:rFonts w:ascii="Arial" w:hAnsi="Arial" w:cs="Arial"/>
          <w:b/>
          <w:bCs/>
          <w:color w:val="000000"/>
          <w:sz w:val="18"/>
          <w:szCs w:val="18"/>
          <w:lang w:val="x-none"/>
        </w:rPr>
        <w:tab/>
        <w:t>Zasady kontroli jakości robót</w:t>
      </w:r>
    </w:p>
    <w:p w14:paraId="059FC5CF" w14:textId="77777777" w:rsidR="000A3B2B" w:rsidRDefault="000A3B2B" w:rsidP="006904B4">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6.1.1.</w:t>
      </w:r>
      <w:r>
        <w:rPr>
          <w:rFonts w:ascii="Arial" w:hAnsi="Arial" w:cs="Arial"/>
          <w:b/>
          <w:bCs/>
          <w:color w:val="000000"/>
          <w:sz w:val="18"/>
          <w:szCs w:val="18"/>
          <w:lang w:val="x-none"/>
        </w:rPr>
        <w:tab/>
        <w:t>Program zapewnienia jakości</w:t>
      </w:r>
    </w:p>
    <w:p w14:paraId="5D744A7F"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Do obowiązków Wykonawcy należy opracowanie i przedstawienie do aprobaty Inspektora nadzoru programu zapewnienia jakości, w którym przedstawi on zamierzony sposób wykonania robót, możliwości techniczne, kadrowe i organizacyjne gwarantujące wykonanie robót zgodnie z dokumentacją projektową, SST oraz poleceniami i ustaleniami przekazanymi przez Inspektora nadzoru.</w:t>
      </w:r>
    </w:p>
    <w:p w14:paraId="515AE219"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Program zapewnienia jakości będzie zawierać:</w:t>
      </w:r>
    </w:p>
    <w:p w14:paraId="26A0AB81" w14:textId="77777777" w:rsidR="000A3B2B" w:rsidRDefault="000A3B2B" w:rsidP="006904B4">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a)</w:t>
      </w:r>
      <w:r>
        <w:rPr>
          <w:rFonts w:ascii="Arial" w:hAnsi="Arial" w:cs="Arial"/>
          <w:color w:val="000000"/>
          <w:sz w:val="18"/>
          <w:szCs w:val="18"/>
          <w:lang w:val="x-none"/>
        </w:rPr>
        <w:tab/>
        <w:t>część ogólną opisującą:</w:t>
      </w:r>
    </w:p>
    <w:p w14:paraId="7CE04635" w14:textId="77777777" w:rsidR="000A3B2B" w:rsidRDefault="000A3B2B" w:rsidP="006904B4">
      <w:pPr>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organizację wykonania robót, w tym terminie i sposób prowadzenia robót,</w:t>
      </w:r>
    </w:p>
    <w:p w14:paraId="42F250FF" w14:textId="77777777" w:rsidR="000A3B2B" w:rsidRDefault="000A3B2B" w:rsidP="006904B4">
      <w:pPr>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organizację ruchu na budowie wraz z oznakowaniem robót,</w:t>
      </w:r>
    </w:p>
    <w:p w14:paraId="651A1649" w14:textId="77777777" w:rsidR="000A3B2B" w:rsidRDefault="000A3B2B" w:rsidP="006904B4">
      <w:pPr>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bhp,</w:t>
      </w:r>
    </w:p>
    <w:p w14:paraId="34D5CB95" w14:textId="77777777" w:rsidR="000A3B2B" w:rsidRDefault="000A3B2B" w:rsidP="006904B4">
      <w:pPr>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wykaz zespołów roboczych, ich kwalifikacje i przygotowanie praktyczne,</w:t>
      </w:r>
    </w:p>
    <w:p w14:paraId="08EFDD89" w14:textId="77777777" w:rsidR="000A3B2B" w:rsidRDefault="000A3B2B" w:rsidP="006904B4">
      <w:pPr>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wykaz osób odpowiedzialnych za jakość i terminowość wykonania poszczególnych elementów robót,</w:t>
      </w:r>
    </w:p>
    <w:p w14:paraId="75129267" w14:textId="77777777" w:rsidR="000A3B2B" w:rsidRDefault="000A3B2B" w:rsidP="006904B4">
      <w:pPr>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system (sposób i procedurę) proponowanej kontroli i sterowania jakością wykonywanych robót,</w:t>
      </w:r>
    </w:p>
    <w:p w14:paraId="64877E1D" w14:textId="77777777" w:rsidR="000A3B2B" w:rsidRDefault="000A3B2B" w:rsidP="006904B4">
      <w:pPr>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wyposażenie w sprzęt i urządzenia do pomiarów i kontroli (opis laboratorium własnego lub laboratorium, któremu Wykonawca zamierza zlecić prowadzenie badań),</w:t>
      </w:r>
    </w:p>
    <w:p w14:paraId="3CFE12C0" w14:textId="77777777" w:rsidR="000A3B2B" w:rsidRDefault="000A3B2B" w:rsidP="006904B4">
      <w:pPr>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sposób oraz formę gromadzenia wyników badań laboratoryjnych, zapis pomiarów, nastaw mechanizmów sterujących, a także wyciąganych wniosków i zastosowanych korekt w procesie technologicznym, proponowany sposób i formę przekazywania tych informacji Inspektorowi nadzoru,</w:t>
      </w:r>
    </w:p>
    <w:p w14:paraId="7A221F05" w14:textId="77777777" w:rsidR="000A3B2B" w:rsidRDefault="000A3B2B" w:rsidP="006904B4">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b)</w:t>
      </w:r>
      <w:r>
        <w:rPr>
          <w:rFonts w:ascii="Arial" w:hAnsi="Arial" w:cs="Arial"/>
          <w:color w:val="000000"/>
          <w:sz w:val="18"/>
          <w:szCs w:val="18"/>
          <w:lang w:val="x-none"/>
        </w:rPr>
        <w:tab/>
        <w:t>część szczegółową opisującą dla każdego asortymentu robót:</w:t>
      </w:r>
    </w:p>
    <w:p w14:paraId="0A0D09C4" w14:textId="77777777" w:rsidR="000A3B2B" w:rsidRDefault="000A3B2B" w:rsidP="006904B4">
      <w:pPr>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wykaz maszyn i urządzeń stosowanych na budowie z ich parametrami technicznymi oraz wyposażeniem w mechanizmy do sterowania i urządzenia pomiarowo-kontrolne,</w:t>
      </w:r>
    </w:p>
    <w:p w14:paraId="313C5CED" w14:textId="77777777" w:rsidR="000A3B2B" w:rsidRDefault="000A3B2B" w:rsidP="006904B4">
      <w:pPr>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lastRenderedPageBreak/>
        <w:t>–</w:t>
      </w:r>
      <w:r>
        <w:rPr>
          <w:rFonts w:ascii="Arial" w:hAnsi="Arial" w:cs="Arial"/>
          <w:color w:val="000000"/>
          <w:sz w:val="18"/>
          <w:szCs w:val="18"/>
          <w:lang w:val="x-none"/>
        </w:rPr>
        <w:tab/>
        <w:t>rodzaje i ilość środków transportu oraz urządzeń do magazynowania i załadunku materiałów, spoiw, lepiszczy, kruszyw itp.,</w:t>
      </w:r>
    </w:p>
    <w:p w14:paraId="73C5B6D4" w14:textId="77777777" w:rsidR="000A3B2B" w:rsidRDefault="000A3B2B" w:rsidP="006904B4">
      <w:pPr>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sposób zabezpieczenia i ochrony ładunków przed utratą ich właściwości w czasie transportu,</w:t>
      </w:r>
    </w:p>
    <w:p w14:paraId="0303CED7" w14:textId="77777777" w:rsidR="000A3B2B" w:rsidRDefault="000A3B2B" w:rsidP="006904B4">
      <w:pPr>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sposób i procedurę pomiarów i badań (rodzaj i częstotliwość, pobieranie próbek, legalizacja i sprawdzanie urządzeń itp.) prowadzonych podczas dostaw materiałów, wytwarzania mieszanek i wykonywania poszczególnych elementów robót,</w:t>
      </w:r>
    </w:p>
    <w:p w14:paraId="4422D044" w14:textId="77777777" w:rsidR="000A3B2B" w:rsidRDefault="000A3B2B" w:rsidP="006904B4">
      <w:pPr>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sposób postępowania z materiałami i robotami nie odpowiadającymi wymaganiom.</w:t>
      </w:r>
    </w:p>
    <w:p w14:paraId="069CA976" w14:textId="77777777" w:rsidR="000A3B2B" w:rsidRDefault="000A3B2B" w:rsidP="006904B4">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6.1.2.</w:t>
      </w:r>
      <w:r>
        <w:rPr>
          <w:rFonts w:ascii="Arial" w:hAnsi="Arial" w:cs="Arial"/>
          <w:b/>
          <w:bCs/>
          <w:color w:val="000000"/>
          <w:sz w:val="18"/>
          <w:szCs w:val="18"/>
          <w:lang w:val="x-none"/>
        </w:rPr>
        <w:tab/>
        <w:t>Zasady kontroli jakości robót</w:t>
      </w:r>
    </w:p>
    <w:p w14:paraId="431DB56F"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Celem kontroli robót będzie takie sterowanie ich przygotowaniem i wykonaniem, aby osiągnąć założoną jakość robót.</w:t>
      </w:r>
    </w:p>
    <w:p w14:paraId="65C64B8C" w14:textId="77777777" w:rsidR="000A3B2B" w:rsidRDefault="000A3B2B" w:rsidP="006904B4">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Wykonawca jest odpowiedzialny za pełną kontrolę robót i jakości materiałów. Wykonawca zapewni odpowiedni system kontroli, włączając personel, laboratorium, sprzęt, zaopatrzenie i wszystkie urządzenia niezbędne do pobierania próbek i badań materiałów oraz robót.</w:t>
      </w:r>
    </w:p>
    <w:p w14:paraId="034D2D1A" w14:textId="77777777" w:rsidR="000A3B2B" w:rsidRDefault="000A3B2B" w:rsidP="006904B4">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Przed zatwierdzeniem systemu kontroli Inspektor nadzoru może zażądać od Wykonawcy przeprowadzenia badań w celu zademonstrowania, że poziom ich wykonania jest zadawalający.</w:t>
      </w:r>
    </w:p>
    <w:p w14:paraId="42C7FFDC" w14:textId="77777777" w:rsidR="000A3B2B" w:rsidRDefault="000A3B2B" w:rsidP="006904B4">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Wykonawca będzie przeprowadzać pomiary i badania materiałów oraz robót z częstotliwością zapewniającą stwierdzenie, że roboty wykonano zgodnie z wymaganiami zawartymi w dokumentacji projektowej i SST.</w:t>
      </w:r>
    </w:p>
    <w:p w14:paraId="0DAF645B" w14:textId="77777777" w:rsidR="000A3B2B" w:rsidRDefault="000A3B2B" w:rsidP="006904B4">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Minimalne wymagania co do zakresu badań i ich częstotliwości są określone w SST, normach i wytycznych. W przypadku, gdy nie zostały one tam określone, Inspektor nadzoru ustali jaki zakres kontroli jest konieczny, aby zapewnić wykonanie robót zgodnie z umową.</w:t>
      </w:r>
    </w:p>
    <w:p w14:paraId="1CA9C1D7" w14:textId="77777777" w:rsidR="000A3B2B" w:rsidRDefault="000A3B2B" w:rsidP="006904B4">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Wykonawca dostarczy Inspektorowi nadzoru świadectwa, że wszystkie stosowane urządzenia i sprzęt badawczy posiadają ważną legalizację, zostały prawidłowo wykalibrowane i odpowiadają wymaganiom norm określających procedury badań.</w:t>
      </w:r>
    </w:p>
    <w:p w14:paraId="377E1339"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Inspektor nadzoru będzie mieć nieograniczony dostęp do pomieszczeń laboratoryjnych, w celu ich inspekcji.</w:t>
      </w:r>
    </w:p>
    <w:p w14:paraId="7AB43B6F" w14:textId="77777777" w:rsidR="000A3B2B" w:rsidRDefault="000A3B2B" w:rsidP="006904B4">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Inspektor nadzoru będzie przekazywać Wykonawcy pisemne informacje o jakichkolwiek niedociągnięciach dotyczących urządzeń laboratoryjnych, sprzętu, zaopatrzenia laboratorium, pracy personelu lub metod badawczych. Jeżeli niedociągnięcia te będą tak poważne, że mogą wpłynąć ujemnie na wyniki badań, Inspektor nadzoru natychmiast wstrzyma użycie do robót badanych materiałów i dopuści je do użytku dopiero wtedy, gdy niedociągnięcia w pracy laboratorium Wykonawcy zostaną usunięte i stwierdzona zostanie odpowiednia jakość tych materiałów.</w:t>
      </w:r>
    </w:p>
    <w:p w14:paraId="6F590755" w14:textId="77777777" w:rsidR="000A3B2B" w:rsidRDefault="000A3B2B" w:rsidP="006904B4">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Wszystkie koszty związane z organizowaniem i prowadzeniem badań materiałów ponosi Wykonawca.</w:t>
      </w:r>
    </w:p>
    <w:p w14:paraId="457B4B61" w14:textId="77777777" w:rsidR="000A3B2B" w:rsidRDefault="000A3B2B" w:rsidP="006904B4">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6.1.3.</w:t>
      </w:r>
      <w:r>
        <w:rPr>
          <w:rFonts w:ascii="Arial" w:hAnsi="Arial" w:cs="Arial"/>
          <w:b/>
          <w:bCs/>
          <w:color w:val="000000"/>
          <w:sz w:val="18"/>
          <w:szCs w:val="18"/>
          <w:lang w:val="x-none"/>
        </w:rPr>
        <w:tab/>
        <w:t>Pobieranie próbek</w:t>
      </w:r>
    </w:p>
    <w:p w14:paraId="260799B0"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Próbki będą pobierane losowo. Zaleca się stosowanie statystycznych metod pobierania próbek, opartych na zasadzie, że wszystkie jednostkowe elementy produkcji mogą być z jednakowym prawdopodobieństwem wytypowane do badań.</w:t>
      </w:r>
    </w:p>
    <w:p w14:paraId="0C9FB96D" w14:textId="77777777" w:rsidR="000A3B2B" w:rsidRDefault="000A3B2B" w:rsidP="006904B4">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Inspektor nadzoru będzie mieć zapewnioną możliwość udziału w pobieraniu próbek. Na zlecenie Inspektora nadzoru Wykonawca będzie przeprowadzać dodatkowe badania tych materiałów, które budzą wątpliwości co do jakości, o ile kwestionowane materiały nie zostaną przez Wykonawcę usunięte lub ulepszone z własnej woli. Koszty tych dodatkowych badań pokrywa Wykonawca tylko w przypadku stwierdzenia usterek; w przeciwnym przypadku koszty te pokrywa Zamawiający.</w:t>
      </w:r>
    </w:p>
    <w:p w14:paraId="66993ED2" w14:textId="77777777" w:rsidR="000A3B2B" w:rsidRDefault="000A3B2B" w:rsidP="006904B4">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Pojemniki do pobierania próbek będą dostarczone przez Wykonawcę i zatwierdzone przez Inspektora nadzoru. Próbki dostarczone przez Wykonawcę do badań będą odpowiednio opisane i oznakowane, w sposób zaakceptowany przez Inspektora nadzoru.</w:t>
      </w:r>
    </w:p>
    <w:p w14:paraId="200BEF48" w14:textId="77777777" w:rsidR="000A3B2B" w:rsidRDefault="000A3B2B" w:rsidP="006904B4">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6.1.4.</w:t>
      </w:r>
      <w:r>
        <w:rPr>
          <w:rFonts w:ascii="Arial" w:hAnsi="Arial" w:cs="Arial"/>
          <w:b/>
          <w:bCs/>
          <w:color w:val="000000"/>
          <w:sz w:val="18"/>
          <w:szCs w:val="18"/>
          <w:lang w:val="x-none"/>
        </w:rPr>
        <w:tab/>
        <w:t>Badania i pomiary</w:t>
      </w:r>
    </w:p>
    <w:p w14:paraId="04E773B4"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Wszystkie badania i pomiary będą przeprowadzone zgodnie z wymaganiami norm. </w:t>
      </w:r>
    </w:p>
    <w:p w14:paraId="3E4E6C00" w14:textId="77777777" w:rsidR="000A3B2B" w:rsidRDefault="000A3B2B" w:rsidP="006904B4">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 przypadku, gdy normy nie obejmują jakiegokolwiek badania wymaganego w SST, stosować można wytyczne krajowe, albo inne procedury, zaakceptowane przez Inspektora nadzoru.</w:t>
      </w:r>
    </w:p>
    <w:p w14:paraId="61920AE6" w14:textId="77777777" w:rsidR="000A3B2B" w:rsidRDefault="000A3B2B" w:rsidP="006904B4">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Przed przystąpieniem do pomiarów lub badań, Wykonawca powiadomi Inspektora nadzoru o rodzaju, miejscu i terminie pomiaru lub badania. Po wykonaniu pomiaru lub badania, Wykonawca przedstawi na piśmie ich wyniki do akceptacji Inspektora nadzoru.</w:t>
      </w:r>
    </w:p>
    <w:p w14:paraId="3AB8FDA9" w14:textId="77777777" w:rsidR="000A3B2B" w:rsidRDefault="000A3B2B" w:rsidP="006904B4">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6.1.5.</w:t>
      </w:r>
      <w:r>
        <w:rPr>
          <w:rFonts w:ascii="Arial" w:hAnsi="Arial" w:cs="Arial"/>
          <w:b/>
          <w:bCs/>
          <w:color w:val="000000"/>
          <w:sz w:val="18"/>
          <w:szCs w:val="18"/>
          <w:lang w:val="x-none"/>
        </w:rPr>
        <w:tab/>
        <w:t>Raporty z badań</w:t>
      </w:r>
    </w:p>
    <w:p w14:paraId="65E809A5"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Wykonawca będzie przekazywać Inspektorowi nadzoru kopie raportów z wynikami badań jak najszybciej, nie później jednak niż w terminie określonym w programie zapewnienia jakości.</w:t>
      </w:r>
    </w:p>
    <w:p w14:paraId="11C6E333" w14:textId="77777777" w:rsidR="000A3B2B" w:rsidRDefault="000A3B2B" w:rsidP="006904B4">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Wyniki badań (kopie) będą przekazywane Inspektorowi nadzoru na formularzach według dostarczonego przez niego wzoru lub innych, przez niego zaaprobowanych.</w:t>
      </w:r>
    </w:p>
    <w:p w14:paraId="1606D05B" w14:textId="77777777" w:rsidR="000A3B2B" w:rsidRDefault="000A3B2B" w:rsidP="006904B4">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6.1.6.</w:t>
      </w:r>
      <w:r>
        <w:rPr>
          <w:rFonts w:ascii="Arial" w:hAnsi="Arial" w:cs="Arial"/>
          <w:b/>
          <w:bCs/>
          <w:color w:val="000000"/>
          <w:sz w:val="18"/>
          <w:szCs w:val="18"/>
          <w:lang w:val="x-none"/>
        </w:rPr>
        <w:tab/>
        <w:t>Badania prowadzone przez Inspektora</w:t>
      </w:r>
    </w:p>
    <w:p w14:paraId="1E73E8B6"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Dla celów kontroli jakości i zatwierdzenia, Inspektor nadzoru uprawniony jest do dokonywania kontroli, pobierania próbek i badania materiałów u źródła ich wytwarzania i zapewniona mu będzie wszelka potrzebna do tego pomoc ze strony Wykonawcy i producenta materiałów.</w:t>
      </w:r>
    </w:p>
    <w:p w14:paraId="5FB343B0" w14:textId="77777777" w:rsidR="000A3B2B" w:rsidRDefault="000A3B2B" w:rsidP="006904B4">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lastRenderedPageBreak/>
        <w:t>Inspektor nadzoru, po uprzedniej weryfikacji systemu kontroli robót prowadzonego przez Wykonawcę, będzie oceniać zgodność materiałów i robót z wymaganiami SST na podstawie wyników badań dostarczonych przez Wykonawcę.</w:t>
      </w:r>
    </w:p>
    <w:p w14:paraId="7B38B244" w14:textId="77777777" w:rsidR="000A3B2B" w:rsidRDefault="000A3B2B" w:rsidP="006904B4">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Inspektor nadzoru może pobierać próbki materiałów i prowadzić badania niezależnie od Wykonawcy, na swój koszt. Jeżeli wyniki tych badań wykażą, że raporty Wykonawcy są niewiarygodne, to Inspektor nadzoru poleci Wykonawcy lub zleci niezależnemu laboratorium przeprowadzenie powtórnych lub dodatkowych badań, albo oprze się wyłącznie na własnych badaniach przy ocenie zgodności materiałów i robót z dokumentacją projektową i SST. W takim przypadku, całkowite koszty powtórnych lub dodatkowych badań i pobierania próbek poniesione zostaną przez Wykonawcę.</w:t>
      </w:r>
    </w:p>
    <w:p w14:paraId="491BDA28" w14:textId="77777777" w:rsidR="000A3B2B" w:rsidRDefault="000A3B2B" w:rsidP="006904B4">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6.1.7.</w:t>
      </w:r>
      <w:r>
        <w:rPr>
          <w:rFonts w:ascii="Arial" w:hAnsi="Arial" w:cs="Arial"/>
          <w:b/>
          <w:bCs/>
          <w:color w:val="000000"/>
          <w:sz w:val="18"/>
          <w:szCs w:val="18"/>
          <w:lang w:val="x-none"/>
        </w:rPr>
        <w:tab/>
        <w:t>Kontrola jakości materiałów</w:t>
      </w:r>
    </w:p>
    <w:p w14:paraId="4C8D0952"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Inspektor nadzoru może dopuścić do użycia tylko te materiały, które posiadają:</w:t>
      </w:r>
    </w:p>
    <w:p w14:paraId="59AB71FE" w14:textId="77777777" w:rsidR="000A3B2B" w:rsidRDefault="000A3B2B" w:rsidP="006904B4">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 xml:space="preserve">– </w:t>
      </w:r>
      <w:r>
        <w:rPr>
          <w:rFonts w:ascii="Arial" w:hAnsi="Arial" w:cs="Arial"/>
          <w:color w:val="000000"/>
          <w:sz w:val="18"/>
          <w:szCs w:val="18"/>
          <w:lang w:val="x-none"/>
        </w:rPr>
        <w:tab/>
        <w:t>oznakowanie znakiem CE co oznacza, że dokonano oceny ich zgodności ze zharmonizowaną normą europejską wprowadzoną do zbioru Polskich Norm lub z europejską oceną techniczną, albo</w:t>
      </w:r>
    </w:p>
    <w:p w14:paraId="214109FF" w14:textId="77777777" w:rsidR="000A3B2B" w:rsidRDefault="000A3B2B" w:rsidP="006904B4">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 xml:space="preserve">– </w:t>
      </w:r>
      <w:r>
        <w:rPr>
          <w:rFonts w:ascii="Arial" w:hAnsi="Arial" w:cs="Arial"/>
          <w:color w:val="000000"/>
          <w:sz w:val="18"/>
          <w:szCs w:val="18"/>
          <w:lang w:val="x-none"/>
        </w:rPr>
        <w:tab/>
        <w:t>oznakowanie znakiem budowlanym, co oznacza że są to wyroby nieobjęte normą zharmonizowaną – dla której zakończył się okres koegzystencji – i dla których nie została wydana europejska ocena techniczna, a dokonano oceny zgodności z Polską Normą lub aprobatą techniczną (do końca okresu ważności tej aprobaty wydanej do 31 grudnia 2016 r., a później krajową oceną techniczną), bądź uznano za „regionalny wyrób budowlany”, albo</w:t>
      </w:r>
    </w:p>
    <w:p w14:paraId="5729449E" w14:textId="77777777" w:rsidR="000A3B2B" w:rsidRDefault="000A3B2B" w:rsidP="006904B4">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 xml:space="preserve">– </w:t>
      </w:r>
      <w:r>
        <w:rPr>
          <w:rFonts w:ascii="Arial" w:hAnsi="Arial" w:cs="Arial"/>
          <w:color w:val="000000"/>
          <w:sz w:val="18"/>
          <w:szCs w:val="18"/>
          <w:lang w:val="x-none"/>
        </w:rPr>
        <w:tab/>
        <w:t>legalne wprowadzenie do obrotu w innym państwie członkowskim Unii Europejskiej lub w państwie członkowskim Europejskiego Porozumienia o Wolnym Handlu (EFTA) – stronie umowy o Europejskim Obszarze Gospodarczym oraz w Turcji, o ile wyroby budowlane udostępniane na rynku krajowym są nieobjęte zakresem przedmiotowym zharmonizowanych specyfikacji technicznych, o których mowa w art. 2 pkt 10 rozporządzenia Nr 305/2011, a ich właściwości użytkowe umożliwiają spełnienie podstawowych wymagań przez obiekty budowlane zaprojektowane i budowane w sposób określony w przepisach techniczno-budowlanych, oraz zgodnie z zasadami wiedzy technicznej (wraz z wyrobem budowlanym udostępnianym na rynku krajowym dostarcza się informacje o jego właściwościach użytkowych oznaczonych zgodnie z przepisami państwa, w którym wyrób budowlany został wprowadzony do obrotu, instrukcje stosowania, instrukcje obsługi oraz informacje dotyczące zagrożenia dla zdrowia i bezpieczeństwa, jakie ten wyrób stwarza podczas stosowania i użytkowania), albo</w:t>
      </w:r>
    </w:p>
    <w:p w14:paraId="653A3817" w14:textId="77777777" w:rsidR="000A3B2B" w:rsidRDefault="000A3B2B" w:rsidP="006904B4">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 xml:space="preserve">– </w:t>
      </w:r>
      <w:r>
        <w:rPr>
          <w:rFonts w:ascii="Arial" w:hAnsi="Arial" w:cs="Arial"/>
          <w:color w:val="000000"/>
          <w:sz w:val="18"/>
          <w:szCs w:val="18"/>
          <w:lang w:val="x-none"/>
        </w:rPr>
        <w:tab/>
        <w:t>dopuszczenie do jednostkowego zastosowania w obiekcie budowlanym.</w:t>
      </w:r>
    </w:p>
    <w:p w14:paraId="0586AA44" w14:textId="77777777" w:rsidR="000A3B2B" w:rsidRDefault="000A3B2B" w:rsidP="006904B4">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 przypadku materiałów, dla których ww. dokumenty są wymagane przez SST, każda ich partia dostarczona do robót będzie posiadać te dokumenty, określające w sposób jednoznaczny jej cechy.</w:t>
      </w:r>
    </w:p>
    <w:p w14:paraId="1A3EB95D" w14:textId="77777777" w:rsidR="000A3B2B" w:rsidRDefault="000A3B2B" w:rsidP="006904B4">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6.1.8.</w:t>
      </w:r>
      <w:r>
        <w:rPr>
          <w:rFonts w:ascii="Arial" w:hAnsi="Arial" w:cs="Arial"/>
          <w:b/>
          <w:bCs/>
          <w:color w:val="000000"/>
          <w:sz w:val="18"/>
          <w:szCs w:val="18"/>
          <w:lang w:val="x-none"/>
        </w:rPr>
        <w:tab/>
        <w:t>Dokumenty budowy</w:t>
      </w:r>
    </w:p>
    <w:p w14:paraId="7359E346"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[1] Dziennik budowy</w:t>
      </w:r>
    </w:p>
    <w:p w14:paraId="5A70E100"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Dziennik budowy jest wymaganym dokumentem prawnym obowiązującym Zamawiającego i Wykonawcę w okresie od przekazania Wykonawcy terenu budowy do końca okresu gwarancyjnego. Odpowiedzialność za prowadzenie dziennika budowy zgodnie z obowiązującymi przepisami spoczywa na Wykonawcy.</w:t>
      </w:r>
    </w:p>
    <w:p w14:paraId="37749E7C" w14:textId="77777777" w:rsidR="000A3B2B" w:rsidRDefault="000A3B2B" w:rsidP="006904B4">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Zapisy w dzienniku budowy będą dokonywane na bieżąco i będą dotyczyć przebiegu robót, stanu bezpieczeństwa ludzi i mienia oraz technicznej i gospodarczej strony budowy.</w:t>
      </w:r>
    </w:p>
    <w:p w14:paraId="0FF0BA97" w14:textId="77777777" w:rsidR="000A3B2B" w:rsidRDefault="000A3B2B" w:rsidP="006904B4">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Każdy zapis w dzienniku budowy będzie opatrzony datą jego dokonania, podpisem osoby, która dokonała zapisu, z podaniem jej imienia i nazwiska oraz stanowiska służbowego. Zapisy będą czytelne, dokonane trwałą techniką, w porządku chronologicznym, bezpośrednio jeden pod drugim, bez przerw.</w:t>
      </w:r>
    </w:p>
    <w:p w14:paraId="2132E788" w14:textId="77777777" w:rsidR="000A3B2B" w:rsidRDefault="000A3B2B" w:rsidP="006904B4">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Załączone do dziennika budowy protokoły i inne dokumenty będą oznaczone kolejnym numerem załącznika i opatrzone datą i podpisem Wykonawcy i Inspektora nadzoru.</w:t>
      </w:r>
    </w:p>
    <w:p w14:paraId="38E91A7B"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Do dziennika budowy należy wpisywać w szczególności:</w:t>
      </w:r>
    </w:p>
    <w:p w14:paraId="61A9C4DC" w14:textId="77777777" w:rsidR="000A3B2B" w:rsidRDefault="000A3B2B" w:rsidP="006904B4">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datę przekazania Wykonawcy terenu budowy,</w:t>
      </w:r>
    </w:p>
    <w:p w14:paraId="48F22681" w14:textId="77777777" w:rsidR="000A3B2B" w:rsidRDefault="000A3B2B" w:rsidP="006904B4">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datę przekazania przez Zamawiającego dokumentacji projektowej,</w:t>
      </w:r>
    </w:p>
    <w:p w14:paraId="0CBC0300" w14:textId="77777777" w:rsidR="000A3B2B" w:rsidRDefault="000A3B2B" w:rsidP="006904B4">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uzgodnienie przez Inspektora nadzoru programu zapewnienia jakości i harmonogramów robót,</w:t>
      </w:r>
    </w:p>
    <w:p w14:paraId="23CBCC33" w14:textId="77777777" w:rsidR="000A3B2B" w:rsidRDefault="000A3B2B" w:rsidP="006904B4">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terminy rozpoczęcia i zakończenia poszczególnych elementów robót,</w:t>
      </w:r>
    </w:p>
    <w:p w14:paraId="5C659904" w14:textId="77777777" w:rsidR="000A3B2B" w:rsidRDefault="000A3B2B" w:rsidP="006904B4">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przebieg robót, trudności i przeszkody w ich prowadzeniu, okresy i przyczyny przerw w robotach,</w:t>
      </w:r>
    </w:p>
    <w:p w14:paraId="40AC1C26" w14:textId="77777777" w:rsidR="000A3B2B" w:rsidRDefault="000A3B2B" w:rsidP="006904B4">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uwagi i polecenia Inspektora nadzoru,</w:t>
      </w:r>
    </w:p>
    <w:p w14:paraId="25C0B4A6" w14:textId="77777777" w:rsidR="000A3B2B" w:rsidRDefault="000A3B2B" w:rsidP="006904B4">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daty zarządzenia wstrzymania robót, z podaniem powodu,</w:t>
      </w:r>
    </w:p>
    <w:p w14:paraId="6CDF0BC9" w14:textId="77777777" w:rsidR="000A3B2B" w:rsidRDefault="000A3B2B" w:rsidP="006904B4">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zgłoszenia i daty odbiorów robót zanikających i ulegających zakryciu, częściowych i ostatecznych odbiorów robót,</w:t>
      </w:r>
    </w:p>
    <w:p w14:paraId="43D402CC" w14:textId="77777777" w:rsidR="000A3B2B" w:rsidRDefault="000A3B2B" w:rsidP="006904B4">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wyjaśnienia, uwagi i propozycje Wykonawcy,</w:t>
      </w:r>
    </w:p>
    <w:p w14:paraId="377C31CA" w14:textId="77777777" w:rsidR="000A3B2B" w:rsidRDefault="000A3B2B" w:rsidP="006904B4">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stan pogody i temperaturę powietrza w okresie wykonywania robót podlegających ograniczeniom lub wymaganiom w związku z warunkami klimatycznymi,</w:t>
      </w:r>
    </w:p>
    <w:p w14:paraId="328ED884" w14:textId="77777777" w:rsidR="000A3B2B" w:rsidRDefault="000A3B2B" w:rsidP="006904B4">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zgodność rzeczywistych warunków geotechnicznych z ich opisem w dokumentacji projektowej,</w:t>
      </w:r>
    </w:p>
    <w:p w14:paraId="2D151A65" w14:textId="77777777" w:rsidR="000A3B2B" w:rsidRDefault="000A3B2B" w:rsidP="006904B4">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dane dotyczące czynności geodezyjnych (pomiarowych) dokonywanych przed i w trakcie wykonywania robót,</w:t>
      </w:r>
    </w:p>
    <w:p w14:paraId="1DA25163" w14:textId="77777777" w:rsidR="000A3B2B" w:rsidRDefault="000A3B2B" w:rsidP="006904B4">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dane dotyczące sposobu wykonywania zabezpieczenia robót,</w:t>
      </w:r>
    </w:p>
    <w:p w14:paraId="7718FB62" w14:textId="77777777" w:rsidR="000A3B2B" w:rsidRDefault="000A3B2B" w:rsidP="006904B4">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dane dotyczące jakości materiałów, pobierania próbek oraz wyniki przeprowadzonych badań z podaniem kto je przeprowadzał,</w:t>
      </w:r>
    </w:p>
    <w:p w14:paraId="1470D631" w14:textId="77777777" w:rsidR="000A3B2B" w:rsidRDefault="000A3B2B" w:rsidP="006904B4">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lastRenderedPageBreak/>
        <w:t>•</w:t>
      </w:r>
      <w:r>
        <w:rPr>
          <w:rFonts w:ascii="Arial" w:hAnsi="Arial" w:cs="Arial"/>
          <w:color w:val="000000"/>
          <w:sz w:val="18"/>
          <w:szCs w:val="18"/>
          <w:lang w:val="x-none"/>
        </w:rPr>
        <w:tab/>
        <w:t>wyniki prób poszczególnych elementów budowli z podaniem kto je przeprowadzał,</w:t>
      </w:r>
    </w:p>
    <w:p w14:paraId="47D5C561" w14:textId="77777777" w:rsidR="000A3B2B" w:rsidRDefault="000A3B2B" w:rsidP="006904B4">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inne istotne informacje o przebiegu robót.</w:t>
      </w:r>
    </w:p>
    <w:p w14:paraId="6F020130" w14:textId="77777777" w:rsidR="000A3B2B" w:rsidRDefault="000A3B2B" w:rsidP="006904B4">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Propozycje, uwagi i wyjaśnienia Wykonawcy, wpisane do dziennika budowy będą przedłożone Inspektorowi nadzoru do ustosunkowania się.</w:t>
      </w:r>
    </w:p>
    <w:p w14:paraId="3AF47E4E" w14:textId="77777777" w:rsidR="000A3B2B" w:rsidRDefault="000A3B2B" w:rsidP="006904B4">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Decyzje Inspektora nadzoru wpisane do dziennika budowy Wykonawca podpisuje z zaznaczeniem ich przyjęcia lub zajęciem stanowiska.</w:t>
      </w:r>
    </w:p>
    <w:p w14:paraId="509E5784" w14:textId="77777777" w:rsidR="000A3B2B" w:rsidRDefault="000A3B2B" w:rsidP="006904B4">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Wpis projektanta do dziennika budowy obliguje Inspektora nadzoru do ustosunkowania się. Projektant nie jest jednak stroną umowy i nie ma uprawnień do wydawania poleceń Wykonawcy robót.</w:t>
      </w:r>
    </w:p>
    <w:p w14:paraId="65905358" w14:textId="77777777" w:rsidR="000A3B2B" w:rsidRDefault="000A3B2B" w:rsidP="006904B4">
      <w:pPr>
        <w:autoSpaceDE w:val="0"/>
        <w:autoSpaceDN w:val="0"/>
        <w:adjustRightInd w:val="0"/>
        <w:spacing w:before="120" w:after="30" w:line="240" w:lineRule="auto"/>
        <w:jc w:val="both"/>
        <w:rPr>
          <w:rFonts w:ascii="Arial" w:hAnsi="Arial" w:cs="Arial"/>
          <w:color w:val="000000"/>
          <w:sz w:val="18"/>
          <w:szCs w:val="18"/>
          <w:lang w:val="x-none"/>
        </w:rPr>
      </w:pPr>
      <w:r>
        <w:rPr>
          <w:rFonts w:ascii="Arial" w:hAnsi="Arial" w:cs="Arial"/>
          <w:color w:val="000000"/>
          <w:sz w:val="18"/>
          <w:szCs w:val="18"/>
          <w:lang w:val="x-none"/>
        </w:rPr>
        <w:t>[2] Rejestr obmiarów</w:t>
      </w:r>
    </w:p>
    <w:p w14:paraId="6CDA427D"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Rejestr obmiarów stanowi dokument pozwalający na rozliczenie faktycznego postępu każdego z elementów robót. Obmiary wykonanych robót przeprowadza się w sposób ciągły w jednostkach przyjętych w kosztorysie i wpisuje do rejestru obmiarów.</w:t>
      </w:r>
    </w:p>
    <w:p w14:paraId="0C35A85B" w14:textId="77777777" w:rsidR="000A3B2B" w:rsidRDefault="000A3B2B" w:rsidP="006904B4">
      <w:pPr>
        <w:autoSpaceDE w:val="0"/>
        <w:autoSpaceDN w:val="0"/>
        <w:adjustRightInd w:val="0"/>
        <w:spacing w:before="120" w:after="30" w:line="240" w:lineRule="auto"/>
        <w:jc w:val="both"/>
        <w:rPr>
          <w:rFonts w:ascii="Arial" w:hAnsi="Arial" w:cs="Arial"/>
          <w:color w:val="000000"/>
          <w:sz w:val="18"/>
          <w:szCs w:val="18"/>
          <w:lang w:val="x-none"/>
        </w:rPr>
      </w:pPr>
      <w:r>
        <w:rPr>
          <w:rFonts w:ascii="Arial" w:hAnsi="Arial" w:cs="Arial"/>
          <w:color w:val="000000"/>
          <w:sz w:val="18"/>
          <w:szCs w:val="18"/>
          <w:lang w:val="x-none"/>
        </w:rPr>
        <w:t>[3] Dokumenty laboratoryjne</w:t>
      </w:r>
    </w:p>
    <w:p w14:paraId="018850C0"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Dzienniki laboratoryjne, dokumenty świadczące o dopuszczeniu materiałów i wyrobów budowlanych używanych w robotach ziemnych do obrotu lub udostępnieniu na rynku krajowym bądź do jednostkowego zastosowania, zgodnie z właściwymi przepisami, orzeczenia o jakości materiałów, recepty robocze i kontrolne wyniki badań Wykonawcy będą gromadzone w formie uzgodnionej w programie zapewnienia jakości. Dokumenty te stanowią załączniki do odbioru robót. Winny być udostępnione na każde życzenie Inspektora nadzoru.</w:t>
      </w:r>
    </w:p>
    <w:p w14:paraId="658E973C"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[4] Pozostałe dokumenty budowy</w:t>
      </w:r>
    </w:p>
    <w:p w14:paraId="2A4CCF90"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Do dokumentów budowy zalicza się, oprócz wymienionych w punktach [1]-[3], następujące dokumenty:</w:t>
      </w:r>
    </w:p>
    <w:p w14:paraId="5FC3826E" w14:textId="77777777" w:rsidR="000A3B2B" w:rsidRDefault="000A3B2B" w:rsidP="006904B4">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 xml:space="preserve">a) </w:t>
      </w:r>
      <w:r>
        <w:rPr>
          <w:rFonts w:ascii="Arial" w:hAnsi="Arial" w:cs="Arial"/>
          <w:color w:val="000000"/>
          <w:sz w:val="18"/>
          <w:szCs w:val="18"/>
          <w:lang w:val="x-none"/>
        </w:rPr>
        <w:tab/>
        <w:t>pozwolenie na realizację zadania budowlanego,</w:t>
      </w:r>
    </w:p>
    <w:p w14:paraId="6A6F9BDC" w14:textId="77777777" w:rsidR="000A3B2B" w:rsidRDefault="000A3B2B" w:rsidP="006904B4">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 xml:space="preserve">b) </w:t>
      </w:r>
      <w:r>
        <w:rPr>
          <w:rFonts w:ascii="Arial" w:hAnsi="Arial" w:cs="Arial"/>
          <w:color w:val="000000"/>
          <w:sz w:val="18"/>
          <w:szCs w:val="18"/>
          <w:lang w:val="x-none"/>
        </w:rPr>
        <w:tab/>
        <w:t>protokoły przekazania terenu budowy,</w:t>
      </w:r>
    </w:p>
    <w:p w14:paraId="56BB4852" w14:textId="77777777" w:rsidR="000A3B2B" w:rsidRDefault="000A3B2B" w:rsidP="006904B4">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 xml:space="preserve">c) </w:t>
      </w:r>
      <w:r>
        <w:rPr>
          <w:rFonts w:ascii="Arial" w:hAnsi="Arial" w:cs="Arial"/>
          <w:color w:val="000000"/>
          <w:sz w:val="18"/>
          <w:szCs w:val="18"/>
          <w:lang w:val="x-none"/>
        </w:rPr>
        <w:tab/>
        <w:t>umowy cywilnoprawne z osobami trzecimi i inne umowy cywilnoprawne,</w:t>
      </w:r>
    </w:p>
    <w:p w14:paraId="69D2663A" w14:textId="77777777" w:rsidR="000A3B2B" w:rsidRDefault="000A3B2B" w:rsidP="006904B4">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 xml:space="preserve">d) </w:t>
      </w:r>
      <w:r>
        <w:rPr>
          <w:rFonts w:ascii="Arial" w:hAnsi="Arial" w:cs="Arial"/>
          <w:color w:val="000000"/>
          <w:sz w:val="18"/>
          <w:szCs w:val="18"/>
          <w:lang w:val="x-none"/>
        </w:rPr>
        <w:tab/>
        <w:t>protokoły odbioru robót,</w:t>
      </w:r>
    </w:p>
    <w:p w14:paraId="47A8A340" w14:textId="77777777" w:rsidR="000A3B2B" w:rsidRDefault="000A3B2B" w:rsidP="006904B4">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 xml:space="preserve">e) </w:t>
      </w:r>
      <w:r>
        <w:rPr>
          <w:rFonts w:ascii="Arial" w:hAnsi="Arial" w:cs="Arial"/>
          <w:color w:val="000000"/>
          <w:sz w:val="18"/>
          <w:szCs w:val="18"/>
          <w:lang w:val="x-none"/>
        </w:rPr>
        <w:tab/>
        <w:t>protokoły z narad i ustaleń,</w:t>
      </w:r>
    </w:p>
    <w:p w14:paraId="2B8BA279" w14:textId="77777777" w:rsidR="000A3B2B" w:rsidRDefault="000A3B2B" w:rsidP="006904B4">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 xml:space="preserve">f) </w:t>
      </w:r>
      <w:r>
        <w:rPr>
          <w:rFonts w:ascii="Arial" w:hAnsi="Arial" w:cs="Arial"/>
          <w:color w:val="000000"/>
          <w:sz w:val="18"/>
          <w:szCs w:val="18"/>
          <w:lang w:val="x-none"/>
        </w:rPr>
        <w:tab/>
        <w:t>korespondencję na budowie.</w:t>
      </w:r>
    </w:p>
    <w:p w14:paraId="26E4B5BB"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[5] Przechowywanie dokumentów budowy</w:t>
      </w:r>
    </w:p>
    <w:p w14:paraId="2F1C7C22"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Dokumenty budowy będą przechowywane na terenie budowy w miejscu odpowiednio zabezpieczonym.</w:t>
      </w:r>
    </w:p>
    <w:p w14:paraId="72D2FCD7" w14:textId="77777777" w:rsidR="000A3B2B" w:rsidRDefault="000A3B2B" w:rsidP="006904B4">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Zaginięcie któregokolwiek z dokumentów budowy spowoduje jego natychmiastowe odtworzenie w formie przewidzianej prawem.</w:t>
      </w:r>
    </w:p>
    <w:p w14:paraId="233AB1CD" w14:textId="77777777" w:rsidR="000A3B2B" w:rsidRDefault="000A3B2B" w:rsidP="006904B4">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Wszelkie dokumenty budowy będą zawsze dostępne dla Inspektora nadzoru i przedstawiane do wglądu na życzenie Zamawiającego.</w:t>
      </w:r>
    </w:p>
    <w:p w14:paraId="1DC3DC51" w14:textId="77777777" w:rsidR="000A3B2B" w:rsidRDefault="000A3B2B" w:rsidP="006904B4">
      <w:pPr>
        <w:autoSpaceDE w:val="0"/>
        <w:autoSpaceDN w:val="0"/>
        <w:adjustRightInd w:val="0"/>
        <w:spacing w:after="30" w:line="240" w:lineRule="auto"/>
        <w:ind w:firstLine="285"/>
        <w:jc w:val="both"/>
        <w:rPr>
          <w:rFonts w:ascii="Arial" w:hAnsi="Arial" w:cs="Arial"/>
          <w:color w:val="000000"/>
          <w:sz w:val="18"/>
          <w:szCs w:val="18"/>
          <w:lang w:val="x-none"/>
        </w:rPr>
      </w:pPr>
    </w:p>
    <w:p w14:paraId="7DE7D6E7" w14:textId="77777777" w:rsidR="000A3B2B" w:rsidRDefault="000A3B2B" w:rsidP="006904B4">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6.2.</w:t>
      </w:r>
      <w:r>
        <w:rPr>
          <w:rFonts w:ascii="Arial" w:hAnsi="Arial" w:cs="Arial"/>
          <w:b/>
          <w:bCs/>
          <w:color w:val="000000"/>
          <w:sz w:val="18"/>
          <w:szCs w:val="18"/>
          <w:lang w:val="x-none"/>
        </w:rPr>
        <w:tab/>
        <w:t>Badania i pomiary w czasie wykonywania robót ziemnych</w:t>
      </w:r>
    </w:p>
    <w:p w14:paraId="422C670F" w14:textId="77777777" w:rsidR="000A3B2B" w:rsidRDefault="000A3B2B" w:rsidP="006904B4">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6.2.1.</w:t>
      </w:r>
      <w:r>
        <w:rPr>
          <w:rFonts w:ascii="Arial" w:hAnsi="Arial" w:cs="Arial"/>
          <w:b/>
          <w:bCs/>
          <w:color w:val="000000"/>
          <w:sz w:val="18"/>
          <w:szCs w:val="18"/>
          <w:lang w:val="x-none"/>
        </w:rPr>
        <w:tab/>
        <w:t>Sprawdzenie odwodnienia</w:t>
      </w:r>
    </w:p>
    <w:p w14:paraId="3C7A9021"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Sprawdzenie odwodnienia wykopu ziemnego polega na kontroli zgodności z wymaganiami specyfikacji określonymi w pkt. 5 oraz z dokumentacją projektową.</w:t>
      </w:r>
    </w:p>
    <w:p w14:paraId="44F8081F"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Szczególną uwagę należy zwrócić na:</w:t>
      </w:r>
    </w:p>
    <w:p w14:paraId="7A5C67B2" w14:textId="77777777" w:rsidR="000A3B2B" w:rsidRDefault="000A3B2B" w:rsidP="006904B4">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właściwe ujęcie i odprowadzenie wód opadowych,</w:t>
      </w:r>
    </w:p>
    <w:p w14:paraId="46032115" w14:textId="77777777" w:rsidR="000A3B2B" w:rsidRDefault="000A3B2B" w:rsidP="006904B4">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właściwe ujęcie i odprowadzenie wysięków wodnych.</w:t>
      </w:r>
    </w:p>
    <w:p w14:paraId="01190191" w14:textId="77777777" w:rsidR="000A3B2B" w:rsidRDefault="000A3B2B" w:rsidP="006904B4">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6.2.2.</w:t>
      </w:r>
      <w:r>
        <w:rPr>
          <w:rFonts w:ascii="Arial" w:hAnsi="Arial" w:cs="Arial"/>
          <w:b/>
          <w:bCs/>
          <w:color w:val="000000"/>
          <w:sz w:val="18"/>
          <w:szCs w:val="18"/>
          <w:lang w:val="x-none"/>
        </w:rPr>
        <w:tab/>
        <w:t>Sprawdzenie jakości wykonania robót</w:t>
      </w:r>
    </w:p>
    <w:p w14:paraId="375DD079"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Czynności wchodzące w zakres sprawdzania jakości wykonania robót określono w pkt. 6.1.</w:t>
      </w:r>
    </w:p>
    <w:p w14:paraId="25137FA9"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p>
    <w:p w14:paraId="78154331" w14:textId="77777777" w:rsidR="000A3B2B" w:rsidRDefault="000A3B2B" w:rsidP="006904B4">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6.3.</w:t>
      </w:r>
      <w:r>
        <w:rPr>
          <w:rFonts w:ascii="Arial" w:hAnsi="Arial" w:cs="Arial"/>
          <w:b/>
          <w:bCs/>
          <w:color w:val="000000"/>
          <w:sz w:val="18"/>
          <w:szCs w:val="18"/>
          <w:lang w:val="x-none"/>
        </w:rPr>
        <w:tab/>
        <w:t>Badania do odbioru wykopu fundamentowego</w:t>
      </w:r>
    </w:p>
    <w:p w14:paraId="62BFB5F8" w14:textId="77777777" w:rsidR="000A3B2B" w:rsidRDefault="000A3B2B" w:rsidP="006904B4">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6.3.1.</w:t>
      </w:r>
      <w:r>
        <w:rPr>
          <w:rFonts w:ascii="Arial" w:hAnsi="Arial" w:cs="Arial"/>
          <w:b/>
          <w:bCs/>
          <w:color w:val="000000"/>
          <w:sz w:val="18"/>
          <w:szCs w:val="18"/>
          <w:lang w:val="x-none"/>
        </w:rPr>
        <w:tab/>
        <w:t>Częstotliwość oraz zakres badań i pomiarów</w:t>
      </w:r>
    </w:p>
    <w:p w14:paraId="6FB4DF01"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Częstotliwość oraz zakres badań i pomiarów do odbioru wykopu ziemnego podaje tablica 3.</w:t>
      </w:r>
    </w:p>
    <w:p w14:paraId="08DC297F" w14:textId="77777777" w:rsidR="000A3B2B" w:rsidRDefault="000A3B2B" w:rsidP="006904B4">
      <w:pPr>
        <w:autoSpaceDE w:val="0"/>
        <w:autoSpaceDN w:val="0"/>
        <w:adjustRightInd w:val="0"/>
        <w:spacing w:after="30" w:line="240" w:lineRule="auto"/>
        <w:jc w:val="right"/>
        <w:rPr>
          <w:rFonts w:ascii="Arial" w:hAnsi="Arial" w:cs="Arial"/>
          <w:b/>
          <w:bCs/>
          <w:color w:val="000000"/>
          <w:sz w:val="18"/>
          <w:szCs w:val="18"/>
          <w:lang w:val="x-none"/>
        </w:rPr>
      </w:pPr>
      <w:r>
        <w:rPr>
          <w:rFonts w:ascii="Arial" w:hAnsi="Arial" w:cs="Arial"/>
          <w:b/>
          <w:bCs/>
          <w:color w:val="000000"/>
          <w:sz w:val="18"/>
          <w:szCs w:val="18"/>
          <w:lang w:val="x-none"/>
        </w:rPr>
        <w:t>Tablica 3</w:t>
      </w:r>
    </w:p>
    <w:tbl>
      <w:tblPr>
        <w:tblW w:w="0" w:type="auto"/>
        <w:tblCellSpacing w:w="0" w:type="dxa"/>
        <w:tblInd w:w="-8" w:type="dxa"/>
        <w:tblLayout w:type="fixed"/>
        <w:tblCellMar>
          <w:left w:w="0" w:type="dxa"/>
          <w:right w:w="0" w:type="dxa"/>
        </w:tblCellMar>
        <w:tblLook w:val="0000" w:firstRow="0" w:lastRow="0" w:firstColumn="0" w:lastColumn="0" w:noHBand="0" w:noVBand="0"/>
      </w:tblPr>
      <w:tblGrid>
        <w:gridCol w:w="442"/>
        <w:gridCol w:w="3886"/>
        <w:gridCol w:w="5054"/>
      </w:tblGrid>
      <w:tr w:rsidR="000A3B2B" w14:paraId="03636995" w14:textId="77777777" w:rsidTr="006904B4">
        <w:trPr>
          <w:trHeight w:val="60"/>
          <w:tblHeader/>
          <w:tblCellSpacing w:w="0" w:type="dxa"/>
        </w:trPr>
        <w:tc>
          <w:tcPr>
            <w:tcW w:w="442"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013091A2" w14:textId="77777777" w:rsidR="000A3B2B" w:rsidRDefault="000A3B2B" w:rsidP="006904B4">
            <w:pPr>
              <w:autoSpaceDE w:val="0"/>
              <w:autoSpaceDN w:val="0"/>
              <w:adjustRightInd w:val="0"/>
              <w:spacing w:after="30" w:line="240" w:lineRule="auto"/>
              <w:jc w:val="center"/>
              <w:rPr>
                <w:rFonts w:ascii="Arial" w:hAnsi="Arial" w:cs="Arial"/>
                <w:b/>
                <w:bCs/>
                <w:color w:val="000000"/>
                <w:sz w:val="18"/>
                <w:szCs w:val="18"/>
                <w:lang w:val="x-none"/>
              </w:rPr>
            </w:pPr>
            <w:r>
              <w:rPr>
                <w:rFonts w:ascii="Arial" w:hAnsi="Arial" w:cs="Arial"/>
                <w:b/>
                <w:bCs/>
                <w:color w:val="000000"/>
                <w:sz w:val="18"/>
                <w:szCs w:val="18"/>
                <w:lang w:val="x-none"/>
              </w:rPr>
              <w:t>Lp.</w:t>
            </w:r>
          </w:p>
        </w:tc>
        <w:tc>
          <w:tcPr>
            <w:tcW w:w="3886"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3F4F9293" w14:textId="77777777" w:rsidR="000A3B2B" w:rsidRDefault="000A3B2B" w:rsidP="006904B4">
            <w:pPr>
              <w:autoSpaceDE w:val="0"/>
              <w:autoSpaceDN w:val="0"/>
              <w:adjustRightInd w:val="0"/>
              <w:spacing w:after="30" w:line="240" w:lineRule="auto"/>
              <w:jc w:val="center"/>
              <w:rPr>
                <w:rFonts w:ascii="Arial" w:hAnsi="Arial" w:cs="Arial"/>
                <w:b/>
                <w:bCs/>
                <w:color w:val="000000"/>
                <w:sz w:val="18"/>
                <w:szCs w:val="18"/>
                <w:lang w:val="x-none"/>
              </w:rPr>
            </w:pPr>
            <w:r>
              <w:rPr>
                <w:rFonts w:ascii="Arial" w:hAnsi="Arial" w:cs="Arial"/>
                <w:b/>
                <w:bCs/>
                <w:color w:val="000000"/>
                <w:sz w:val="18"/>
                <w:szCs w:val="18"/>
                <w:lang w:val="x-none"/>
              </w:rPr>
              <w:t>Badana cecha</w:t>
            </w:r>
          </w:p>
        </w:tc>
        <w:tc>
          <w:tcPr>
            <w:tcW w:w="5054"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6AB6D702" w14:textId="77777777" w:rsidR="000A3B2B" w:rsidRDefault="000A3B2B" w:rsidP="006904B4">
            <w:pPr>
              <w:autoSpaceDE w:val="0"/>
              <w:autoSpaceDN w:val="0"/>
              <w:adjustRightInd w:val="0"/>
              <w:spacing w:after="30" w:line="240" w:lineRule="auto"/>
              <w:jc w:val="center"/>
              <w:rPr>
                <w:rFonts w:ascii="Arial" w:hAnsi="Arial" w:cs="Arial"/>
                <w:b/>
                <w:bCs/>
                <w:color w:val="000000"/>
                <w:sz w:val="18"/>
                <w:szCs w:val="18"/>
                <w:lang w:val="x-none"/>
              </w:rPr>
            </w:pPr>
            <w:r>
              <w:rPr>
                <w:rFonts w:ascii="Arial" w:hAnsi="Arial" w:cs="Arial"/>
                <w:b/>
                <w:bCs/>
                <w:color w:val="000000"/>
                <w:sz w:val="18"/>
                <w:szCs w:val="18"/>
                <w:lang w:val="x-none"/>
              </w:rPr>
              <w:t>Minimalna częstotliwość badań i pomiarów</w:t>
            </w:r>
          </w:p>
        </w:tc>
      </w:tr>
      <w:tr w:rsidR="000A3B2B" w14:paraId="39DF6C1F" w14:textId="77777777" w:rsidTr="006904B4">
        <w:trPr>
          <w:trHeight w:val="60"/>
          <w:tblCellSpacing w:w="0" w:type="dxa"/>
        </w:trPr>
        <w:tc>
          <w:tcPr>
            <w:tcW w:w="442" w:type="dxa"/>
            <w:tcBorders>
              <w:top w:val="single" w:sz="6" w:space="0" w:color="000000"/>
              <w:left w:val="single" w:sz="6" w:space="0" w:color="000000"/>
              <w:bottom w:val="single" w:sz="6" w:space="0" w:color="000000"/>
              <w:right w:val="single" w:sz="6" w:space="0" w:color="000000"/>
            </w:tcBorders>
          </w:tcPr>
          <w:p w14:paraId="17D6244A" w14:textId="77777777" w:rsidR="000A3B2B" w:rsidRDefault="000A3B2B" w:rsidP="006904B4">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w:t>
            </w:r>
          </w:p>
        </w:tc>
        <w:tc>
          <w:tcPr>
            <w:tcW w:w="3886" w:type="dxa"/>
            <w:tcBorders>
              <w:top w:val="single" w:sz="6" w:space="0" w:color="000000"/>
              <w:left w:val="single" w:sz="6" w:space="0" w:color="000000"/>
              <w:bottom w:val="single" w:sz="6" w:space="0" w:color="000000"/>
              <w:right w:val="single" w:sz="6" w:space="0" w:color="000000"/>
            </w:tcBorders>
          </w:tcPr>
          <w:p w14:paraId="0D3AF657" w14:textId="77777777" w:rsidR="000A3B2B" w:rsidRDefault="000A3B2B" w:rsidP="006904B4">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Pomiar szerokości wykopu ziemnego</w:t>
            </w:r>
          </w:p>
        </w:tc>
        <w:tc>
          <w:tcPr>
            <w:tcW w:w="5054" w:type="dxa"/>
            <w:vMerge w:val="restart"/>
            <w:tcBorders>
              <w:top w:val="single" w:sz="6" w:space="0" w:color="000000"/>
              <w:left w:val="single" w:sz="6" w:space="0" w:color="000000"/>
              <w:bottom w:val="single" w:sz="6" w:space="0" w:color="000000"/>
              <w:right w:val="single" w:sz="6" w:space="0" w:color="000000"/>
            </w:tcBorders>
            <w:vAlign w:val="center"/>
          </w:tcPr>
          <w:p w14:paraId="2A0917B6" w14:textId="77777777" w:rsidR="000A3B2B" w:rsidRDefault="000A3B2B" w:rsidP="006904B4">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Pomiar taśmą, szablonem, łatą o długości 3 m i poziomicą lub niwelatorem, w odstępach co 20 m</w:t>
            </w:r>
          </w:p>
        </w:tc>
      </w:tr>
      <w:tr w:rsidR="000A3B2B" w14:paraId="7AF9B0CE" w14:textId="77777777" w:rsidTr="006904B4">
        <w:trPr>
          <w:trHeight w:val="60"/>
          <w:tblCellSpacing w:w="0" w:type="dxa"/>
        </w:trPr>
        <w:tc>
          <w:tcPr>
            <w:tcW w:w="442" w:type="dxa"/>
            <w:tcBorders>
              <w:top w:val="single" w:sz="6" w:space="0" w:color="000000"/>
              <w:left w:val="single" w:sz="6" w:space="0" w:color="000000"/>
              <w:bottom w:val="single" w:sz="6" w:space="0" w:color="000000"/>
              <w:right w:val="single" w:sz="6" w:space="0" w:color="000000"/>
            </w:tcBorders>
          </w:tcPr>
          <w:p w14:paraId="4B43B448" w14:textId="77777777" w:rsidR="000A3B2B" w:rsidRDefault="000A3B2B" w:rsidP="006904B4">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2.</w:t>
            </w:r>
          </w:p>
        </w:tc>
        <w:tc>
          <w:tcPr>
            <w:tcW w:w="3886" w:type="dxa"/>
            <w:tcBorders>
              <w:top w:val="single" w:sz="6" w:space="0" w:color="000000"/>
              <w:left w:val="single" w:sz="6" w:space="0" w:color="000000"/>
              <w:bottom w:val="single" w:sz="6" w:space="0" w:color="000000"/>
              <w:right w:val="single" w:sz="6" w:space="0" w:color="000000"/>
            </w:tcBorders>
          </w:tcPr>
          <w:p w14:paraId="7F6811E2" w14:textId="77777777" w:rsidR="000A3B2B" w:rsidRDefault="000A3B2B" w:rsidP="006904B4">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Pomiar szerokości dna wykopu</w:t>
            </w:r>
          </w:p>
        </w:tc>
        <w:tc>
          <w:tcPr>
            <w:tcW w:w="5054" w:type="dxa"/>
            <w:vMerge/>
            <w:tcBorders>
              <w:top w:val="single" w:sz="6" w:space="0" w:color="000000"/>
              <w:left w:val="single" w:sz="6" w:space="0" w:color="000000"/>
              <w:bottom w:val="single" w:sz="6" w:space="0" w:color="000000"/>
              <w:right w:val="single" w:sz="6" w:space="0" w:color="000000"/>
            </w:tcBorders>
            <w:vAlign w:val="center"/>
          </w:tcPr>
          <w:p w14:paraId="5683023D" w14:textId="77777777" w:rsidR="000A3B2B" w:rsidRDefault="000A3B2B" w:rsidP="006904B4">
            <w:pPr>
              <w:autoSpaceDE w:val="0"/>
              <w:autoSpaceDN w:val="0"/>
              <w:adjustRightInd w:val="0"/>
              <w:spacing w:after="0" w:line="240" w:lineRule="auto"/>
              <w:rPr>
                <w:rFonts w:ascii="Arial" w:hAnsi="Arial" w:cs="Arial"/>
                <w:b/>
                <w:bCs/>
                <w:color w:val="000000"/>
                <w:sz w:val="18"/>
                <w:szCs w:val="18"/>
                <w:lang w:val="x-none"/>
              </w:rPr>
            </w:pPr>
          </w:p>
        </w:tc>
      </w:tr>
      <w:tr w:rsidR="000A3B2B" w14:paraId="5F77970E" w14:textId="77777777" w:rsidTr="006904B4">
        <w:trPr>
          <w:trHeight w:val="60"/>
          <w:tblCellSpacing w:w="0" w:type="dxa"/>
        </w:trPr>
        <w:tc>
          <w:tcPr>
            <w:tcW w:w="442" w:type="dxa"/>
            <w:tcBorders>
              <w:top w:val="single" w:sz="6" w:space="0" w:color="000000"/>
              <w:left w:val="single" w:sz="6" w:space="0" w:color="000000"/>
              <w:bottom w:val="single" w:sz="6" w:space="0" w:color="000000"/>
              <w:right w:val="single" w:sz="6" w:space="0" w:color="000000"/>
            </w:tcBorders>
          </w:tcPr>
          <w:p w14:paraId="5800B616" w14:textId="77777777" w:rsidR="000A3B2B" w:rsidRDefault="000A3B2B" w:rsidP="006904B4">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3.</w:t>
            </w:r>
          </w:p>
        </w:tc>
        <w:tc>
          <w:tcPr>
            <w:tcW w:w="3886" w:type="dxa"/>
            <w:tcBorders>
              <w:top w:val="single" w:sz="6" w:space="0" w:color="000000"/>
              <w:left w:val="single" w:sz="6" w:space="0" w:color="000000"/>
              <w:bottom w:val="single" w:sz="6" w:space="0" w:color="000000"/>
              <w:right w:val="single" w:sz="6" w:space="0" w:color="000000"/>
            </w:tcBorders>
          </w:tcPr>
          <w:p w14:paraId="2E564F85" w14:textId="77777777" w:rsidR="000A3B2B" w:rsidRDefault="000A3B2B" w:rsidP="006904B4">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Pomiar rzędnych powierzchni wykopu ziemnego</w:t>
            </w:r>
          </w:p>
        </w:tc>
        <w:tc>
          <w:tcPr>
            <w:tcW w:w="5054" w:type="dxa"/>
            <w:vMerge/>
            <w:tcBorders>
              <w:top w:val="single" w:sz="6" w:space="0" w:color="000000"/>
              <w:left w:val="single" w:sz="6" w:space="0" w:color="000000"/>
              <w:bottom w:val="single" w:sz="6" w:space="0" w:color="000000"/>
              <w:right w:val="single" w:sz="6" w:space="0" w:color="000000"/>
            </w:tcBorders>
            <w:vAlign w:val="center"/>
          </w:tcPr>
          <w:p w14:paraId="40357FE0" w14:textId="77777777" w:rsidR="000A3B2B" w:rsidRDefault="000A3B2B" w:rsidP="006904B4">
            <w:pPr>
              <w:autoSpaceDE w:val="0"/>
              <w:autoSpaceDN w:val="0"/>
              <w:adjustRightInd w:val="0"/>
              <w:spacing w:after="0" w:line="240" w:lineRule="auto"/>
              <w:rPr>
                <w:rFonts w:ascii="Arial" w:hAnsi="Arial" w:cs="Arial"/>
                <w:b/>
                <w:bCs/>
                <w:color w:val="000000"/>
                <w:sz w:val="18"/>
                <w:szCs w:val="18"/>
                <w:lang w:val="x-none"/>
              </w:rPr>
            </w:pPr>
          </w:p>
        </w:tc>
      </w:tr>
      <w:tr w:rsidR="000A3B2B" w14:paraId="43AAD024" w14:textId="77777777" w:rsidTr="006904B4">
        <w:trPr>
          <w:trHeight w:val="60"/>
          <w:tblCellSpacing w:w="0" w:type="dxa"/>
        </w:trPr>
        <w:tc>
          <w:tcPr>
            <w:tcW w:w="442" w:type="dxa"/>
            <w:tcBorders>
              <w:top w:val="single" w:sz="6" w:space="0" w:color="000000"/>
              <w:left w:val="single" w:sz="6" w:space="0" w:color="000000"/>
              <w:bottom w:val="single" w:sz="6" w:space="0" w:color="000000"/>
              <w:right w:val="single" w:sz="6" w:space="0" w:color="000000"/>
            </w:tcBorders>
          </w:tcPr>
          <w:p w14:paraId="09EAD665" w14:textId="77777777" w:rsidR="000A3B2B" w:rsidRDefault="000A3B2B" w:rsidP="006904B4">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4.</w:t>
            </w:r>
          </w:p>
        </w:tc>
        <w:tc>
          <w:tcPr>
            <w:tcW w:w="3886" w:type="dxa"/>
            <w:tcBorders>
              <w:top w:val="single" w:sz="6" w:space="0" w:color="000000"/>
              <w:left w:val="single" w:sz="6" w:space="0" w:color="000000"/>
              <w:bottom w:val="single" w:sz="6" w:space="0" w:color="000000"/>
              <w:right w:val="single" w:sz="6" w:space="0" w:color="000000"/>
            </w:tcBorders>
          </w:tcPr>
          <w:p w14:paraId="112FA029" w14:textId="77777777" w:rsidR="000A3B2B" w:rsidRDefault="000A3B2B" w:rsidP="006904B4">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Pomiar pochylenia skarp</w:t>
            </w:r>
          </w:p>
        </w:tc>
        <w:tc>
          <w:tcPr>
            <w:tcW w:w="5054" w:type="dxa"/>
            <w:vMerge/>
            <w:tcBorders>
              <w:top w:val="single" w:sz="6" w:space="0" w:color="000000"/>
              <w:left w:val="single" w:sz="6" w:space="0" w:color="000000"/>
              <w:bottom w:val="single" w:sz="6" w:space="0" w:color="000000"/>
              <w:right w:val="single" w:sz="6" w:space="0" w:color="000000"/>
            </w:tcBorders>
            <w:vAlign w:val="center"/>
          </w:tcPr>
          <w:p w14:paraId="6B1FF299" w14:textId="77777777" w:rsidR="000A3B2B" w:rsidRDefault="000A3B2B" w:rsidP="006904B4">
            <w:pPr>
              <w:autoSpaceDE w:val="0"/>
              <w:autoSpaceDN w:val="0"/>
              <w:adjustRightInd w:val="0"/>
              <w:spacing w:after="0" w:line="240" w:lineRule="auto"/>
              <w:rPr>
                <w:rFonts w:ascii="Arial" w:hAnsi="Arial" w:cs="Arial"/>
                <w:b/>
                <w:bCs/>
                <w:color w:val="000000"/>
                <w:sz w:val="18"/>
                <w:szCs w:val="18"/>
                <w:lang w:val="x-none"/>
              </w:rPr>
            </w:pPr>
          </w:p>
        </w:tc>
      </w:tr>
      <w:tr w:rsidR="000A3B2B" w14:paraId="3076D95D" w14:textId="77777777" w:rsidTr="006904B4">
        <w:trPr>
          <w:trHeight w:val="60"/>
          <w:tblCellSpacing w:w="0" w:type="dxa"/>
        </w:trPr>
        <w:tc>
          <w:tcPr>
            <w:tcW w:w="442" w:type="dxa"/>
            <w:tcBorders>
              <w:top w:val="single" w:sz="6" w:space="0" w:color="000000"/>
              <w:left w:val="single" w:sz="6" w:space="0" w:color="000000"/>
              <w:bottom w:val="single" w:sz="6" w:space="0" w:color="000000"/>
              <w:right w:val="single" w:sz="6" w:space="0" w:color="000000"/>
            </w:tcBorders>
          </w:tcPr>
          <w:p w14:paraId="0AFFD8F6" w14:textId="77777777" w:rsidR="000A3B2B" w:rsidRDefault="000A3B2B" w:rsidP="006904B4">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5.</w:t>
            </w:r>
          </w:p>
        </w:tc>
        <w:tc>
          <w:tcPr>
            <w:tcW w:w="3886" w:type="dxa"/>
            <w:tcBorders>
              <w:top w:val="single" w:sz="6" w:space="0" w:color="000000"/>
              <w:left w:val="single" w:sz="6" w:space="0" w:color="000000"/>
              <w:bottom w:val="single" w:sz="6" w:space="0" w:color="000000"/>
              <w:right w:val="single" w:sz="6" w:space="0" w:color="000000"/>
            </w:tcBorders>
          </w:tcPr>
          <w:p w14:paraId="14330DB7" w14:textId="77777777" w:rsidR="000A3B2B" w:rsidRDefault="000A3B2B" w:rsidP="006904B4">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Pomiar równości powierzchni wykopu</w:t>
            </w:r>
          </w:p>
        </w:tc>
        <w:tc>
          <w:tcPr>
            <w:tcW w:w="5054" w:type="dxa"/>
            <w:vMerge/>
            <w:tcBorders>
              <w:top w:val="single" w:sz="6" w:space="0" w:color="000000"/>
              <w:left w:val="single" w:sz="6" w:space="0" w:color="000000"/>
              <w:bottom w:val="single" w:sz="6" w:space="0" w:color="000000"/>
              <w:right w:val="single" w:sz="6" w:space="0" w:color="000000"/>
            </w:tcBorders>
            <w:vAlign w:val="center"/>
          </w:tcPr>
          <w:p w14:paraId="05A1EFBD" w14:textId="77777777" w:rsidR="000A3B2B" w:rsidRDefault="000A3B2B" w:rsidP="006904B4">
            <w:pPr>
              <w:autoSpaceDE w:val="0"/>
              <w:autoSpaceDN w:val="0"/>
              <w:adjustRightInd w:val="0"/>
              <w:spacing w:after="0" w:line="240" w:lineRule="auto"/>
              <w:rPr>
                <w:rFonts w:ascii="Arial" w:hAnsi="Arial" w:cs="Arial"/>
                <w:b/>
                <w:bCs/>
                <w:color w:val="000000"/>
                <w:sz w:val="18"/>
                <w:szCs w:val="18"/>
                <w:lang w:val="x-none"/>
              </w:rPr>
            </w:pPr>
          </w:p>
        </w:tc>
      </w:tr>
      <w:tr w:rsidR="000A3B2B" w14:paraId="147B2F62" w14:textId="77777777" w:rsidTr="006904B4">
        <w:trPr>
          <w:trHeight w:val="60"/>
          <w:tblCellSpacing w:w="0" w:type="dxa"/>
        </w:trPr>
        <w:tc>
          <w:tcPr>
            <w:tcW w:w="442" w:type="dxa"/>
            <w:tcBorders>
              <w:top w:val="single" w:sz="6" w:space="0" w:color="000000"/>
              <w:left w:val="single" w:sz="6" w:space="0" w:color="000000"/>
              <w:bottom w:val="single" w:sz="6" w:space="0" w:color="000000"/>
              <w:right w:val="single" w:sz="6" w:space="0" w:color="000000"/>
            </w:tcBorders>
          </w:tcPr>
          <w:p w14:paraId="5A7D84FF" w14:textId="77777777" w:rsidR="000A3B2B" w:rsidRDefault="000A3B2B" w:rsidP="006904B4">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6.</w:t>
            </w:r>
          </w:p>
        </w:tc>
        <w:tc>
          <w:tcPr>
            <w:tcW w:w="3886" w:type="dxa"/>
            <w:tcBorders>
              <w:top w:val="single" w:sz="6" w:space="0" w:color="000000"/>
              <w:left w:val="single" w:sz="6" w:space="0" w:color="000000"/>
              <w:bottom w:val="single" w:sz="6" w:space="0" w:color="000000"/>
              <w:right w:val="single" w:sz="6" w:space="0" w:color="000000"/>
            </w:tcBorders>
          </w:tcPr>
          <w:p w14:paraId="1C641E07" w14:textId="77777777" w:rsidR="000A3B2B" w:rsidRDefault="000A3B2B" w:rsidP="006904B4">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Pomiar równości skarp</w:t>
            </w:r>
          </w:p>
        </w:tc>
        <w:tc>
          <w:tcPr>
            <w:tcW w:w="5054" w:type="dxa"/>
            <w:vMerge/>
            <w:tcBorders>
              <w:top w:val="single" w:sz="6" w:space="0" w:color="000000"/>
              <w:left w:val="single" w:sz="6" w:space="0" w:color="000000"/>
              <w:bottom w:val="single" w:sz="6" w:space="0" w:color="000000"/>
              <w:right w:val="single" w:sz="6" w:space="0" w:color="000000"/>
            </w:tcBorders>
            <w:vAlign w:val="center"/>
          </w:tcPr>
          <w:p w14:paraId="47E0C1E4" w14:textId="77777777" w:rsidR="000A3B2B" w:rsidRDefault="000A3B2B" w:rsidP="006904B4">
            <w:pPr>
              <w:autoSpaceDE w:val="0"/>
              <w:autoSpaceDN w:val="0"/>
              <w:adjustRightInd w:val="0"/>
              <w:spacing w:after="0" w:line="240" w:lineRule="auto"/>
              <w:rPr>
                <w:rFonts w:ascii="Arial" w:hAnsi="Arial" w:cs="Arial"/>
                <w:b/>
                <w:bCs/>
                <w:color w:val="000000"/>
                <w:sz w:val="18"/>
                <w:szCs w:val="18"/>
                <w:lang w:val="x-none"/>
              </w:rPr>
            </w:pPr>
          </w:p>
        </w:tc>
      </w:tr>
      <w:tr w:rsidR="000A3B2B" w14:paraId="33408CD5" w14:textId="77777777" w:rsidTr="006904B4">
        <w:trPr>
          <w:trHeight w:val="60"/>
          <w:tblCellSpacing w:w="0" w:type="dxa"/>
        </w:trPr>
        <w:tc>
          <w:tcPr>
            <w:tcW w:w="442" w:type="dxa"/>
            <w:tcBorders>
              <w:top w:val="single" w:sz="6" w:space="0" w:color="000000"/>
              <w:left w:val="single" w:sz="6" w:space="0" w:color="000000"/>
              <w:bottom w:val="single" w:sz="6" w:space="0" w:color="000000"/>
              <w:right w:val="single" w:sz="6" w:space="0" w:color="000000"/>
            </w:tcBorders>
          </w:tcPr>
          <w:p w14:paraId="54D57720" w14:textId="77777777" w:rsidR="000A3B2B" w:rsidRDefault="000A3B2B" w:rsidP="006904B4">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lastRenderedPageBreak/>
              <w:t>7.</w:t>
            </w:r>
          </w:p>
        </w:tc>
        <w:tc>
          <w:tcPr>
            <w:tcW w:w="3886" w:type="dxa"/>
            <w:tcBorders>
              <w:top w:val="single" w:sz="6" w:space="0" w:color="000000"/>
              <w:left w:val="single" w:sz="6" w:space="0" w:color="000000"/>
              <w:bottom w:val="single" w:sz="6" w:space="0" w:color="000000"/>
              <w:right w:val="single" w:sz="6" w:space="0" w:color="000000"/>
            </w:tcBorders>
          </w:tcPr>
          <w:p w14:paraId="1C47ED21" w14:textId="77777777" w:rsidR="000A3B2B" w:rsidRDefault="000A3B2B" w:rsidP="006904B4">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Pomiar spadu podłużnego powierzchni wykopu</w:t>
            </w:r>
          </w:p>
        </w:tc>
        <w:tc>
          <w:tcPr>
            <w:tcW w:w="5054" w:type="dxa"/>
            <w:tcBorders>
              <w:top w:val="single" w:sz="6" w:space="0" w:color="000000"/>
              <w:left w:val="single" w:sz="6" w:space="0" w:color="000000"/>
              <w:bottom w:val="single" w:sz="6" w:space="0" w:color="000000"/>
              <w:right w:val="single" w:sz="6" w:space="0" w:color="000000"/>
            </w:tcBorders>
          </w:tcPr>
          <w:p w14:paraId="0E60D10D"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Pomiar niwelatorem rzędnych w odstępach co 20 m oraz w punktach wątpliwych</w:t>
            </w:r>
          </w:p>
        </w:tc>
      </w:tr>
    </w:tbl>
    <w:p w14:paraId="4E678831"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p>
    <w:p w14:paraId="74E09E35" w14:textId="77777777" w:rsidR="000A3B2B" w:rsidRDefault="000A3B2B" w:rsidP="006904B4">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6.3.2.</w:t>
      </w:r>
      <w:r>
        <w:rPr>
          <w:rFonts w:ascii="Arial" w:hAnsi="Arial" w:cs="Arial"/>
          <w:b/>
          <w:bCs/>
          <w:color w:val="000000"/>
          <w:sz w:val="18"/>
          <w:szCs w:val="18"/>
          <w:lang w:val="x-none"/>
        </w:rPr>
        <w:tab/>
        <w:t>Szerokość wykopu ziemnego</w:t>
      </w:r>
    </w:p>
    <w:p w14:paraId="6822525C"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Szerokość wykopu ziemnego nie może różnić się od szerokości projektowanej o więcej niż </w:t>
      </w:r>
      <w:r>
        <w:rPr>
          <w:rFonts w:ascii="Symbol" w:hAnsi="Symbol" w:cs="Symbol"/>
          <w:noProof/>
          <w:color w:val="000000"/>
          <w:sz w:val="18"/>
          <w:szCs w:val="18"/>
          <w:lang w:val="x-none"/>
        </w:rPr>
        <w:t></w:t>
      </w:r>
      <w:r>
        <w:rPr>
          <w:rFonts w:ascii="WoodtypeOrnamentsStd" w:hAnsi="WoodtypeOrnamentsStd" w:cs="WoodtypeOrnamentsStd"/>
          <w:color w:val="000000"/>
          <w:sz w:val="18"/>
          <w:szCs w:val="18"/>
          <w:lang w:val="x-none"/>
        </w:rPr>
        <w:t xml:space="preserve"> </w:t>
      </w:r>
      <w:r>
        <w:rPr>
          <w:rFonts w:ascii="Arial" w:hAnsi="Arial" w:cs="Arial"/>
          <w:color w:val="000000"/>
          <w:sz w:val="18"/>
          <w:szCs w:val="18"/>
          <w:lang w:val="x-none"/>
        </w:rPr>
        <w:t>10 cm.</w:t>
      </w:r>
    </w:p>
    <w:p w14:paraId="07BE7E0C" w14:textId="77777777" w:rsidR="000A3B2B" w:rsidRDefault="000A3B2B" w:rsidP="006904B4">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6.3.3.</w:t>
      </w:r>
      <w:r>
        <w:rPr>
          <w:rFonts w:ascii="Arial" w:hAnsi="Arial" w:cs="Arial"/>
          <w:b/>
          <w:bCs/>
          <w:color w:val="000000"/>
          <w:sz w:val="18"/>
          <w:szCs w:val="18"/>
          <w:lang w:val="x-none"/>
        </w:rPr>
        <w:tab/>
        <w:t>Rzędne wykopu ziemnego</w:t>
      </w:r>
    </w:p>
    <w:p w14:paraId="31F6580B"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Rzędne wykopu ziemnego nie mogą różnić się od rzędnych projektowanych o więcej niż –3 cm lub +1 cm.</w:t>
      </w:r>
    </w:p>
    <w:p w14:paraId="529C74FD" w14:textId="77777777" w:rsidR="000A3B2B" w:rsidRDefault="000A3B2B" w:rsidP="006904B4">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6.3.4.</w:t>
      </w:r>
      <w:r>
        <w:rPr>
          <w:rFonts w:ascii="Arial" w:hAnsi="Arial" w:cs="Arial"/>
          <w:b/>
          <w:bCs/>
          <w:color w:val="000000"/>
          <w:sz w:val="18"/>
          <w:szCs w:val="18"/>
          <w:lang w:val="x-none"/>
        </w:rPr>
        <w:tab/>
        <w:t>Pochylenie skarp</w:t>
      </w:r>
    </w:p>
    <w:p w14:paraId="5740E354"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Pochylenie skarp nie może różnić się od pochylenia projektowanego o więcej niż 10% wartości pochylenia wyrażonego tangensem kąta.</w:t>
      </w:r>
    </w:p>
    <w:p w14:paraId="6F5DEA0D" w14:textId="77777777" w:rsidR="000A3B2B" w:rsidRDefault="000A3B2B" w:rsidP="006904B4">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6.3.5.</w:t>
      </w:r>
      <w:r>
        <w:rPr>
          <w:rFonts w:ascii="Arial" w:hAnsi="Arial" w:cs="Arial"/>
          <w:b/>
          <w:bCs/>
          <w:color w:val="000000"/>
          <w:sz w:val="18"/>
          <w:szCs w:val="18"/>
          <w:lang w:val="x-none"/>
        </w:rPr>
        <w:tab/>
        <w:t>Równość dna wykopu</w:t>
      </w:r>
    </w:p>
    <w:p w14:paraId="00E8DB14"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Nierówności powierzchni dna wykopu mierzone łatą 3-metrową nie mogą przekraczać 3 cm.</w:t>
      </w:r>
    </w:p>
    <w:p w14:paraId="0029468A" w14:textId="77777777" w:rsidR="000A3B2B" w:rsidRDefault="000A3B2B" w:rsidP="006904B4">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6.3.6.</w:t>
      </w:r>
      <w:r>
        <w:rPr>
          <w:rFonts w:ascii="Arial" w:hAnsi="Arial" w:cs="Arial"/>
          <w:b/>
          <w:bCs/>
          <w:color w:val="000000"/>
          <w:sz w:val="18"/>
          <w:szCs w:val="18"/>
          <w:lang w:val="x-none"/>
        </w:rPr>
        <w:tab/>
        <w:t>Równość skarp</w:t>
      </w:r>
    </w:p>
    <w:p w14:paraId="4A83DF6B"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Nierówności skarp, mierzone łatą 3-metrową nie mogą przekraczać </w:t>
      </w:r>
      <w:r>
        <w:rPr>
          <w:rFonts w:ascii="Symbol" w:hAnsi="Symbol" w:cs="Symbol"/>
          <w:noProof/>
          <w:color w:val="000000"/>
          <w:sz w:val="18"/>
          <w:szCs w:val="18"/>
          <w:lang w:val="x-none"/>
        </w:rPr>
        <w:t></w:t>
      </w:r>
      <w:r>
        <w:rPr>
          <w:rFonts w:ascii="Arial" w:hAnsi="Arial" w:cs="Arial"/>
          <w:color w:val="000000"/>
          <w:sz w:val="18"/>
          <w:szCs w:val="18"/>
          <w:lang w:val="x-none"/>
        </w:rPr>
        <w:t xml:space="preserve"> 10 cm.</w:t>
      </w:r>
    </w:p>
    <w:p w14:paraId="401EF58E"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p>
    <w:p w14:paraId="7EBF2951" w14:textId="77777777" w:rsidR="000A3B2B" w:rsidRDefault="000A3B2B" w:rsidP="006904B4">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6.4.</w:t>
      </w:r>
      <w:r>
        <w:rPr>
          <w:rFonts w:ascii="Arial" w:hAnsi="Arial" w:cs="Arial"/>
          <w:b/>
          <w:bCs/>
          <w:color w:val="000000"/>
          <w:sz w:val="18"/>
          <w:szCs w:val="18"/>
          <w:lang w:val="x-none"/>
        </w:rPr>
        <w:tab/>
        <w:t>Zasady postępowania z wadliwie wykonanymi robotami</w:t>
      </w:r>
    </w:p>
    <w:p w14:paraId="06A0F560"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Wszystkie materiały nie spełniające wymagań podanych w odpowiednich punktach specyfikacji, zostaną odrzucone. Jeśli materiały, nie spełniające wymagań zostaną wbudowane lub zastosowane, to na polecenie Inspektora nadzoru Wykonawca wymieni je na właściwe, na własny koszt.</w:t>
      </w:r>
    </w:p>
    <w:p w14:paraId="67F21B8B" w14:textId="77777777" w:rsidR="000A3B2B" w:rsidRDefault="000A3B2B" w:rsidP="006904B4">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Wszystkie roboty, które wykazują większe odchylenia cech od określonych w punktach 5 i 6 specyfikacji powinny być ponownie wykonane przez Wykonawcę na jego koszt.</w:t>
      </w:r>
    </w:p>
    <w:p w14:paraId="4E17A220" w14:textId="77777777" w:rsidR="000A3B2B" w:rsidRDefault="000A3B2B" w:rsidP="006904B4">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Na pisemne wystąpienie Wykonawcy, Inspektor nadzoru może uznać wadę za nie mającą zasadniczego wpływu na jakość robót i ustali zakres i wielkość potrąceń za obniżoną jakość.</w:t>
      </w:r>
    </w:p>
    <w:p w14:paraId="7BB37E69"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p>
    <w:p w14:paraId="30058BB7" w14:textId="77777777" w:rsidR="000A3B2B" w:rsidRDefault="000A3B2B" w:rsidP="006904B4">
      <w:pPr>
        <w:autoSpaceDE w:val="0"/>
        <w:autoSpaceDN w:val="0"/>
        <w:adjustRightInd w:val="0"/>
        <w:spacing w:before="225" w:after="12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7.</w:t>
      </w:r>
      <w:r>
        <w:rPr>
          <w:rFonts w:ascii="Arial" w:hAnsi="Arial" w:cs="Arial"/>
          <w:b/>
          <w:bCs/>
          <w:color w:val="000000"/>
          <w:sz w:val="18"/>
          <w:szCs w:val="18"/>
          <w:lang w:val="x-none"/>
        </w:rPr>
        <w:tab/>
        <w:t xml:space="preserve">WYMAGANIA DOTYCZĄCE PRZEDMIARU I OBMIARU ROBÓT </w:t>
      </w:r>
    </w:p>
    <w:p w14:paraId="5FCDB1D6"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Ogólne zasady przedmiaru i obmiaru podano w ST „Wymagania ogólne” Kod CPV 45000000-7, pkt 7.</w:t>
      </w:r>
    </w:p>
    <w:p w14:paraId="712C4E15"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p>
    <w:p w14:paraId="4BBC78AF" w14:textId="77777777" w:rsidR="000A3B2B" w:rsidRDefault="000A3B2B" w:rsidP="006904B4">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7.1.</w:t>
      </w:r>
      <w:r>
        <w:rPr>
          <w:rFonts w:ascii="Arial" w:hAnsi="Arial" w:cs="Arial"/>
          <w:b/>
          <w:bCs/>
          <w:color w:val="000000"/>
          <w:sz w:val="18"/>
          <w:szCs w:val="18"/>
          <w:lang w:val="x-none"/>
        </w:rPr>
        <w:tab/>
        <w:t>Zasady obmiaru robót</w:t>
      </w:r>
    </w:p>
    <w:p w14:paraId="186EB18F"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Obmiar robót będzie określać faktyczny zakres wykonywanych robót, zgodnie z dokumentacją projektową i SST, w jednostkach ustalonych w kosztorysie.</w:t>
      </w:r>
    </w:p>
    <w:p w14:paraId="699E8893"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Obmiaru robót dokonuje Wykonawca a jego wyniki wpisuje do książki obmiarów.</w:t>
      </w:r>
    </w:p>
    <w:p w14:paraId="01EA5024" w14:textId="77777777" w:rsidR="000A3B2B" w:rsidRDefault="000A3B2B" w:rsidP="006904B4">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Jakikolwiek błąd lub przeoczenie (opuszczenie) w ilości podanych w kosztorysie ofertowym lub gdzie indziej w SST nie zwalnia Wykonawcy od obowiązku ukończenia wszystkich robót. Błędne dane zostaną poprawione wg ustaleń Inspektora nadzoru na piśmie.</w:t>
      </w:r>
    </w:p>
    <w:p w14:paraId="1511154D" w14:textId="77777777" w:rsidR="000A3B2B" w:rsidRDefault="000A3B2B" w:rsidP="006904B4">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Obmiar gotowych robót będzie przeprowadzony z częstością wymaganą do celu miesięcznej płatności na rzecz Wykonawcy lub w innym czasie określonym w umowie lub oczekiwanym przez Wykonawcę i Inspektora nadzoru.</w:t>
      </w:r>
    </w:p>
    <w:p w14:paraId="4B6AE27F"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p>
    <w:p w14:paraId="5E800378" w14:textId="77777777" w:rsidR="000A3B2B" w:rsidRDefault="000A3B2B" w:rsidP="006904B4">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7.2.</w:t>
      </w:r>
      <w:r>
        <w:rPr>
          <w:rFonts w:ascii="Arial" w:hAnsi="Arial" w:cs="Arial"/>
          <w:b/>
          <w:bCs/>
          <w:color w:val="000000"/>
          <w:sz w:val="18"/>
          <w:szCs w:val="18"/>
          <w:lang w:val="x-none"/>
        </w:rPr>
        <w:tab/>
        <w:t>Zasady określania ilości robót</w:t>
      </w:r>
    </w:p>
    <w:p w14:paraId="7011EA8F"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Długości pomiędzy wyszczególnionymi punktami skrajnymi będą obmierzone poziomo wzdłuż linii osiowej.</w:t>
      </w:r>
    </w:p>
    <w:p w14:paraId="7A60533A" w14:textId="77777777" w:rsidR="000A3B2B" w:rsidRDefault="000A3B2B" w:rsidP="006904B4">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Jeśli SST właściwe dla danych robót nie wymagają inaczej, objętości będą wyliczone w m</w:t>
      </w:r>
      <w:r>
        <w:rPr>
          <w:rFonts w:ascii="Arial" w:hAnsi="Arial" w:cs="Arial"/>
          <w:color w:val="000000"/>
          <w:position w:val="4"/>
          <w:sz w:val="8"/>
          <w:szCs w:val="8"/>
          <w:lang w:val="x-none"/>
        </w:rPr>
        <w:t>3</w:t>
      </w:r>
      <w:r>
        <w:rPr>
          <w:rFonts w:ascii="Arial" w:hAnsi="Arial" w:cs="Arial"/>
          <w:color w:val="000000"/>
          <w:sz w:val="18"/>
          <w:szCs w:val="18"/>
          <w:lang w:val="x-none"/>
        </w:rPr>
        <w:t xml:space="preserve"> jako długość pomnożona przez średni przekrój wg objętości wykopu w stanie rodzinnym.</w:t>
      </w:r>
    </w:p>
    <w:p w14:paraId="5C65CBD5" w14:textId="77777777" w:rsidR="000A3B2B" w:rsidRDefault="000A3B2B" w:rsidP="006904B4">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 przypadkach technicznie uzasadnionych, gdy ilości robót ziemnych obliczenie wg obmiaru w wykopie nie jest możliwe, należy jak ilość obliczać wg obmiaru na środkach transportowych lub nasypie z uwzględnieniem współczynnika spulchnienia gruntu, podanym w tablicy nr 1 z tym, że dolne wartości stosować w nasypach przed ich zagęszczeniem, a górne przy obliczaniu objętości na  jednostkach transportowych.</w:t>
      </w:r>
    </w:p>
    <w:p w14:paraId="48499CA5" w14:textId="77777777" w:rsidR="000A3B2B" w:rsidRDefault="000A3B2B" w:rsidP="006904B4">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Ilości, które mają być obmierzone wagowo, będą ważone w tonach lub kilogramach, zgodnie z wymaganiami SST.</w:t>
      </w:r>
    </w:p>
    <w:p w14:paraId="4B0B3FDB"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p>
    <w:p w14:paraId="099D8D34" w14:textId="77777777" w:rsidR="000A3B2B" w:rsidRDefault="000A3B2B" w:rsidP="006904B4">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7.3.</w:t>
      </w:r>
      <w:r>
        <w:rPr>
          <w:rFonts w:ascii="Arial" w:hAnsi="Arial" w:cs="Arial"/>
          <w:b/>
          <w:bCs/>
          <w:color w:val="000000"/>
          <w:sz w:val="18"/>
          <w:szCs w:val="18"/>
          <w:lang w:val="x-none"/>
        </w:rPr>
        <w:tab/>
        <w:t>Urządzenia i sprzęt pomiarowy</w:t>
      </w:r>
    </w:p>
    <w:p w14:paraId="7C3EB2CB"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Wszystkie urządzenia i sprzęt pomiarowy, stosowany w czasie obmiaru robót będą zaakceptowane przez Inspektora nadzoru.</w:t>
      </w:r>
    </w:p>
    <w:p w14:paraId="0C5E0AB6" w14:textId="77777777" w:rsidR="000A3B2B" w:rsidRDefault="000A3B2B" w:rsidP="006904B4">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Urządzenia i sprzęt pomiarowy zostaną dostarczone przez Wykonawcę. Jeżeli urządzenia te lub sprzęt wymagają badań atestujących, to Wykonawca będzie posiadać ważne świadectwa legalizacji.</w:t>
      </w:r>
    </w:p>
    <w:p w14:paraId="0ECDB06D" w14:textId="77777777" w:rsidR="000A3B2B" w:rsidRDefault="000A3B2B" w:rsidP="006904B4">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Wszystkie urządzenia pomiarowe będą przez Wykonawcę utrzymywane w dobrym stanie, w całym okresie trwania robót.</w:t>
      </w:r>
    </w:p>
    <w:p w14:paraId="03F603F1"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p>
    <w:p w14:paraId="1001ECD3" w14:textId="77777777" w:rsidR="000A3B2B" w:rsidRDefault="000A3B2B" w:rsidP="006904B4">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7.4.</w:t>
      </w:r>
      <w:r>
        <w:rPr>
          <w:rFonts w:ascii="Arial" w:hAnsi="Arial" w:cs="Arial"/>
          <w:b/>
          <w:bCs/>
          <w:color w:val="000000"/>
          <w:sz w:val="18"/>
          <w:szCs w:val="18"/>
          <w:lang w:val="x-none"/>
        </w:rPr>
        <w:tab/>
        <w:t>Wagi i zasady wdrażania</w:t>
      </w:r>
    </w:p>
    <w:p w14:paraId="34E71DF0"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Wykonawca dostarczy i zainstaluje urządzenia wagowe odpowiadające odnośnym wymaganiom SST. Będzie utrzymywać to wyposażenie, zapewniając w sposób ciągły zachowanie dokładności wg norm zatwierdzonych przez Inspektora nadzoru. </w:t>
      </w:r>
    </w:p>
    <w:p w14:paraId="21745E60"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p>
    <w:p w14:paraId="085548B8" w14:textId="77777777" w:rsidR="000A3B2B" w:rsidRDefault="000A3B2B" w:rsidP="006904B4">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7.5.</w:t>
      </w:r>
      <w:r>
        <w:rPr>
          <w:rFonts w:ascii="Arial" w:hAnsi="Arial" w:cs="Arial"/>
          <w:b/>
          <w:bCs/>
          <w:color w:val="000000"/>
          <w:sz w:val="18"/>
          <w:szCs w:val="18"/>
          <w:lang w:val="x-none"/>
        </w:rPr>
        <w:tab/>
        <w:t>Czas przeprowadzenia obmiaru</w:t>
      </w:r>
    </w:p>
    <w:p w14:paraId="4AD36507"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Obmiary będą przeprowadzone przed częściowym lub ostatecznym odbiorem odcinków robót, a także w przypadku występowania dłuższej przerwy w robotach.</w:t>
      </w:r>
    </w:p>
    <w:p w14:paraId="2AD7A180"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Obmiar robót zanikających przeprowadza się w czasie ich wykonywania.</w:t>
      </w:r>
    </w:p>
    <w:p w14:paraId="2D5B6AD1"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Obmiar robót podlegających zakryciu przeprowadza się przed ich zakryciem.</w:t>
      </w:r>
    </w:p>
    <w:p w14:paraId="271D9A0F" w14:textId="77777777" w:rsidR="000A3B2B" w:rsidRDefault="000A3B2B" w:rsidP="006904B4">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Roboty pomiarowe do obmiaru oraz nieodzowne obliczenia będą wykonane w sposób zrozumiały i jednoznaczny.</w:t>
      </w:r>
    </w:p>
    <w:p w14:paraId="35AC0BE3" w14:textId="77777777" w:rsidR="000A3B2B" w:rsidRDefault="000A3B2B" w:rsidP="006904B4">
      <w:pPr>
        <w:autoSpaceDE w:val="0"/>
        <w:autoSpaceDN w:val="0"/>
        <w:adjustRightInd w:val="0"/>
        <w:spacing w:after="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Wymiary skomplikowanych powierzchni lub objętości będą uzupełnione odpowiednimi szkicami umieszczonymi w karcie książki obmiarów. W razie braku miejsca, szkice mogą być dołączone w formie oddzielnego załącznika do książki obmiarów, którego wzór zostanie uzgodniony z Inspektorem nadzoru.</w:t>
      </w:r>
    </w:p>
    <w:p w14:paraId="2450E686" w14:textId="77777777" w:rsidR="000A3B2B" w:rsidRDefault="000A3B2B" w:rsidP="006904B4">
      <w:pPr>
        <w:autoSpaceDE w:val="0"/>
        <w:autoSpaceDN w:val="0"/>
        <w:adjustRightInd w:val="0"/>
        <w:spacing w:after="0" w:line="240" w:lineRule="auto"/>
        <w:jc w:val="both"/>
        <w:rPr>
          <w:rFonts w:ascii="Arial" w:hAnsi="Arial" w:cs="Arial"/>
          <w:color w:val="000000"/>
          <w:sz w:val="18"/>
          <w:szCs w:val="18"/>
          <w:lang w:val="x-none"/>
        </w:rPr>
      </w:pPr>
    </w:p>
    <w:p w14:paraId="4EA85B1A" w14:textId="77777777" w:rsidR="000A3B2B" w:rsidRDefault="000A3B2B" w:rsidP="006904B4">
      <w:pPr>
        <w:autoSpaceDE w:val="0"/>
        <w:autoSpaceDN w:val="0"/>
        <w:adjustRightInd w:val="0"/>
        <w:spacing w:before="225" w:after="12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8.</w:t>
      </w:r>
      <w:r>
        <w:rPr>
          <w:rFonts w:ascii="Arial" w:hAnsi="Arial" w:cs="Arial"/>
          <w:b/>
          <w:bCs/>
          <w:color w:val="000000"/>
          <w:sz w:val="18"/>
          <w:szCs w:val="18"/>
          <w:lang w:val="x-none"/>
        </w:rPr>
        <w:tab/>
        <w:t xml:space="preserve">SPOSÓB ODBIORU ROBÓT </w:t>
      </w:r>
    </w:p>
    <w:p w14:paraId="2BBBC5AB"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Ogólne zasady odbioru robót podano w ST „Wymagania ogólne” Kod CPV 45000000-7, pkt 8.</w:t>
      </w:r>
    </w:p>
    <w:p w14:paraId="5D9B0710"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p>
    <w:p w14:paraId="1F6AD7C4" w14:textId="77777777" w:rsidR="000A3B2B" w:rsidRDefault="000A3B2B" w:rsidP="006904B4">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8.1.</w:t>
      </w:r>
      <w:r>
        <w:rPr>
          <w:rFonts w:ascii="Arial" w:hAnsi="Arial" w:cs="Arial"/>
          <w:b/>
          <w:bCs/>
          <w:color w:val="000000"/>
          <w:sz w:val="18"/>
          <w:szCs w:val="18"/>
          <w:lang w:val="x-none"/>
        </w:rPr>
        <w:tab/>
        <w:t>Rodzaje odbiorów robót</w:t>
      </w:r>
    </w:p>
    <w:p w14:paraId="60E443B5"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 zależności od ustaleń odpowiednich SST, roboty podlegają następującym etapom odbioru:</w:t>
      </w:r>
    </w:p>
    <w:p w14:paraId="300657DD" w14:textId="77777777" w:rsidR="000A3B2B" w:rsidRDefault="000A3B2B" w:rsidP="006904B4">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 xml:space="preserve">a) </w:t>
      </w:r>
      <w:r>
        <w:rPr>
          <w:rFonts w:ascii="Arial" w:hAnsi="Arial" w:cs="Arial"/>
          <w:color w:val="000000"/>
          <w:sz w:val="18"/>
          <w:szCs w:val="18"/>
          <w:lang w:val="x-none"/>
        </w:rPr>
        <w:tab/>
        <w:t>odbiorowi robót zanikających i ulegających zakryciu,</w:t>
      </w:r>
    </w:p>
    <w:p w14:paraId="7E657C58" w14:textId="77777777" w:rsidR="000A3B2B" w:rsidRDefault="000A3B2B" w:rsidP="006904B4">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 xml:space="preserve">b) </w:t>
      </w:r>
      <w:r>
        <w:rPr>
          <w:rFonts w:ascii="Arial" w:hAnsi="Arial" w:cs="Arial"/>
          <w:color w:val="000000"/>
          <w:sz w:val="18"/>
          <w:szCs w:val="18"/>
          <w:lang w:val="x-none"/>
        </w:rPr>
        <w:tab/>
        <w:t>odbiorowi częściowemu,</w:t>
      </w:r>
    </w:p>
    <w:p w14:paraId="16602B9D" w14:textId="77777777" w:rsidR="000A3B2B" w:rsidRDefault="000A3B2B" w:rsidP="006904B4">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 xml:space="preserve">c) </w:t>
      </w:r>
      <w:r>
        <w:rPr>
          <w:rFonts w:ascii="Arial" w:hAnsi="Arial" w:cs="Arial"/>
          <w:color w:val="000000"/>
          <w:sz w:val="18"/>
          <w:szCs w:val="18"/>
          <w:lang w:val="x-none"/>
        </w:rPr>
        <w:tab/>
        <w:t>odbiorowi ostatecznemu,</w:t>
      </w:r>
    </w:p>
    <w:p w14:paraId="0275F264" w14:textId="77777777" w:rsidR="000A3B2B" w:rsidRDefault="000A3B2B" w:rsidP="006904B4">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 xml:space="preserve">d) </w:t>
      </w:r>
      <w:r>
        <w:rPr>
          <w:rFonts w:ascii="Arial" w:hAnsi="Arial" w:cs="Arial"/>
          <w:color w:val="000000"/>
          <w:sz w:val="18"/>
          <w:szCs w:val="18"/>
          <w:lang w:val="x-none"/>
        </w:rPr>
        <w:tab/>
        <w:t>odbiorowi pogwarancyjnemu.</w:t>
      </w:r>
    </w:p>
    <w:p w14:paraId="01E09D54" w14:textId="77777777" w:rsidR="000A3B2B" w:rsidRDefault="000A3B2B" w:rsidP="006904B4">
      <w:pPr>
        <w:autoSpaceDE w:val="0"/>
        <w:autoSpaceDN w:val="0"/>
        <w:adjustRightInd w:val="0"/>
        <w:spacing w:after="30" w:line="240" w:lineRule="auto"/>
        <w:ind w:left="285" w:hanging="285"/>
        <w:jc w:val="both"/>
        <w:rPr>
          <w:rFonts w:ascii="Arial" w:hAnsi="Arial" w:cs="Arial"/>
          <w:color w:val="000000"/>
          <w:sz w:val="18"/>
          <w:szCs w:val="18"/>
          <w:lang w:val="x-none"/>
        </w:rPr>
      </w:pPr>
    </w:p>
    <w:p w14:paraId="21005F6F" w14:textId="77777777" w:rsidR="000A3B2B" w:rsidRDefault="000A3B2B" w:rsidP="006904B4">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8.2.</w:t>
      </w:r>
      <w:r>
        <w:rPr>
          <w:rFonts w:ascii="Arial" w:hAnsi="Arial" w:cs="Arial"/>
          <w:b/>
          <w:bCs/>
          <w:color w:val="000000"/>
          <w:sz w:val="18"/>
          <w:szCs w:val="18"/>
          <w:lang w:val="x-none"/>
        </w:rPr>
        <w:tab/>
        <w:t>Odbiór robót zanikających i ulegających zakryciu</w:t>
      </w:r>
    </w:p>
    <w:p w14:paraId="2659ED7A"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Odbiór robót zanikających i ulegających zakryciu polega na finalnej ocenie ilości i jakości wykonywanych robót, które w dalszym procesie realizacji ulegną zakryciu.</w:t>
      </w:r>
    </w:p>
    <w:p w14:paraId="62F83071" w14:textId="77777777" w:rsidR="000A3B2B" w:rsidRDefault="000A3B2B" w:rsidP="006904B4">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Odbiór robót zanikających i ulegających zakryciu będzie dokonany w czasie umożliwiającym wykonanie ewentualnych korekt i poprawek bez hamowania ogólnego postępu robót.</w:t>
      </w:r>
    </w:p>
    <w:p w14:paraId="6667580F"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Odbioru robót dokonuje Inspektor nadzoru lub komisja powołana przez Zamawiającego.</w:t>
      </w:r>
    </w:p>
    <w:p w14:paraId="25AA1EB4" w14:textId="77777777" w:rsidR="000A3B2B" w:rsidRDefault="000A3B2B" w:rsidP="006904B4">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Gotowość danej części robót do odbioru zgłasza Wykonawca wpisem do dziennika budowy i jednoczesnym powiadomieniem Inspektora nadzoru. Odbiór będzie przeprowadzony niezwłocznie, nie później jednak niż w ciągu 3 dni od daty zgłoszenia wpisem do dziennika budowy i powiadomienia o tym fakcie Inspektora nadzoru.</w:t>
      </w:r>
    </w:p>
    <w:p w14:paraId="0A689E69" w14:textId="77777777" w:rsidR="000A3B2B" w:rsidRDefault="000A3B2B" w:rsidP="006904B4">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Jakość i ilość robót ulegających zakryciu ocenia Inspektor nadzoru na podstawie dokumentów zawierających komplet wyników badań laboratoryjnych i w oparciu o przeprowadzone pomiary, w konfrontacji z dokumentacją projektową, SST i uprzednimi ustaleniami.</w:t>
      </w:r>
    </w:p>
    <w:p w14:paraId="6A91CC67"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p>
    <w:p w14:paraId="765B7656" w14:textId="77777777" w:rsidR="000A3B2B" w:rsidRDefault="000A3B2B" w:rsidP="006904B4">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8.3.</w:t>
      </w:r>
      <w:r>
        <w:rPr>
          <w:rFonts w:ascii="Arial" w:hAnsi="Arial" w:cs="Arial"/>
          <w:b/>
          <w:bCs/>
          <w:color w:val="000000"/>
          <w:sz w:val="18"/>
          <w:szCs w:val="18"/>
          <w:lang w:val="x-none"/>
        </w:rPr>
        <w:tab/>
        <w:t>Odbiór częściowy</w:t>
      </w:r>
    </w:p>
    <w:p w14:paraId="2DD7C92A"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Odbiór częściowy polega na ocenie ilości i jakości wykonanych części robót. Odbioru częściowego robót dokonuje się wg zasad, jak przy odbiorze ostatecznym robót. Odbioru robót dokonuje Inspektor nadzoru.</w:t>
      </w:r>
    </w:p>
    <w:p w14:paraId="4A4D16EA"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p>
    <w:p w14:paraId="0A74F3DD" w14:textId="77777777" w:rsidR="000A3B2B" w:rsidRDefault="000A3B2B" w:rsidP="006904B4">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8.4.</w:t>
      </w:r>
      <w:r>
        <w:rPr>
          <w:rFonts w:ascii="Arial" w:hAnsi="Arial" w:cs="Arial"/>
          <w:b/>
          <w:bCs/>
          <w:color w:val="000000"/>
          <w:sz w:val="18"/>
          <w:szCs w:val="18"/>
          <w:lang w:val="x-none"/>
        </w:rPr>
        <w:tab/>
        <w:t>Odbiór ostateczny robót</w:t>
      </w:r>
    </w:p>
    <w:p w14:paraId="43BC2B7E" w14:textId="77777777" w:rsidR="000A3B2B" w:rsidRDefault="000A3B2B" w:rsidP="006904B4">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8.4.1.</w:t>
      </w:r>
      <w:r>
        <w:rPr>
          <w:rFonts w:ascii="Arial" w:hAnsi="Arial" w:cs="Arial"/>
          <w:b/>
          <w:bCs/>
          <w:color w:val="000000"/>
          <w:sz w:val="18"/>
          <w:szCs w:val="18"/>
          <w:lang w:val="x-none"/>
        </w:rPr>
        <w:tab/>
        <w:t>Zasady odbioru ostatecznego robót</w:t>
      </w:r>
    </w:p>
    <w:p w14:paraId="24DD622F"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Odbiór ostateczny polega na finalnej ocenie rzeczywistego wykonania robót w odniesieniu do ich ilości, jakości i wartości.</w:t>
      </w:r>
    </w:p>
    <w:p w14:paraId="5C0C5DA5" w14:textId="77777777" w:rsidR="000A3B2B" w:rsidRDefault="000A3B2B" w:rsidP="006904B4">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Całkowite zakończenie robót oraz gotowość do odbioru ostatecznego będzie stwierdzona przez Wykonawcę wpisem do dziennika budowy z bezzwłocznym powiadomieniem na piśmie o tym fakcie Inspektora nadzoru.</w:t>
      </w:r>
    </w:p>
    <w:p w14:paraId="61716219" w14:textId="77777777" w:rsidR="000A3B2B" w:rsidRDefault="000A3B2B" w:rsidP="006904B4">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Odbiór ostateczny robót nastąpi w terminie ustalonym w dokumentach umowy, licząc od dnia potwierdzenia przez Inspektora nadzoru zakończenia robót i przyjęcia dokumentów, o których mowa w punkcie 8.4.2.</w:t>
      </w:r>
    </w:p>
    <w:p w14:paraId="55CD4D25" w14:textId="77777777" w:rsidR="000A3B2B" w:rsidRDefault="000A3B2B" w:rsidP="006904B4">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Odbioru ostatecznego robót dokona komisja wyznaczona przez Zamawiającego w obecności Inspektora nadzoru i Wykonawcy. Komisja odbierająca roboty dokona ich oceny jakościowej na podstawie przedłożonych dokumentów, wyników badań i pomiarów, ocenie wizualnej oraz zgodności wykonania robót z dokumentacją projektową i SST.</w:t>
      </w:r>
    </w:p>
    <w:p w14:paraId="40156C24" w14:textId="77777777" w:rsidR="000A3B2B" w:rsidRDefault="000A3B2B" w:rsidP="006904B4">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lastRenderedPageBreak/>
        <w:t>W toku odbioru ostatecznego robót, komisja zapozna się z realizacją ustaleń przyjętych w trakcie odbiorów robót zanikających i ulegających zakryciu, zwłaszcza w zakresie wykonania robót uzupełniających i robót poprawkowych.</w:t>
      </w:r>
    </w:p>
    <w:p w14:paraId="10E289E8" w14:textId="77777777" w:rsidR="000A3B2B" w:rsidRDefault="000A3B2B" w:rsidP="006904B4">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 przypadku stwierdzenia przez komisję, że jakość wykonywanych robót w poszczególnych asortymentach nieznacznie odbiega od wymaganej dokumentacją projektową i SST z uwzględnieniem tolerancji i nie ma większego wpływu na cechy eksploatacyjne obiektu i bezpieczeństwo ruchu, komisja dokona potrąceń, oceniając pomniejszoną wartość wykonywanych robót w stosunku do wymagań przyjętych w dokumentach umowy.</w:t>
      </w:r>
    </w:p>
    <w:p w14:paraId="5DD1412D" w14:textId="77777777" w:rsidR="000A3B2B" w:rsidRDefault="000A3B2B" w:rsidP="006904B4">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8.4.2.</w:t>
      </w:r>
      <w:r>
        <w:rPr>
          <w:rFonts w:ascii="Arial" w:hAnsi="Arial" w:cs="Arial"/>
          <w:b/>
          <w:bCs/>
          <w:color w:val="000000"/>
          <w:sz w:val="18"/>
          <w:szCs w:val="18"/>
          <w:lang w:val="x-none"/>
        </w:rPr>
        <w:tab/>
        <w:t>Dokumenty do odbioru ostatecznego</w:t>
      </w:r>
    </w:p>
    <w:p w14:paraId="3FBE4885"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Podstawowym dokumentem do dokonania odbioru ostatecznego robót jest protokół odbioru ostatecznego robót, sporządzony wg wzoru ustalonego przez Zamawiającego.</w:t>
      </w:r>
    </w:p>
    <w:p w14:paraId="01F0E2BF" w14:textId="77777777" w:rsidR="000A3B2B" w:rsidRDefault="000A3B2B" w:rsidP="006904B4">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Do odbioru ostatecznego Wykonawca jest zobowiązany przygotować następujące dokumenty:</w:t>
      </w:r>
    </w:p>
    <w:p w14:paraId="1137775B" w14:textId="77777777" w:rsidR="000A3B2B" w:rsidRDefault="000A3B2B" w:rsidP="006904B4">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1.</w:t>
      </w:r>
      <w:r>
        <w:rPr>
          <w:rFonts w:ascii="Arial" w:hAnsi="Arial" w:cs="Arial"/>
          <w:color w:val="000000"/>
          <w:sz w:val="18"/>
          <w:szCs w:val="18"/>
          <w:lang w:val="x-none"/>
        </w:rPr>
        <w:tab/>
        <w:t>dokumentację projektową z naniesionymi zmianami oraz dodatkową, jeśli została sporządzona w trakcie realizacji umowy,</w:t>
      </w:r>
    </w:p>
    <w:p w14:paraId="17EA99DB" w14:textId="77777777" w:rsidR="000A3B2B" w:rsidRDefault="000A3B2B" w:rsidP="006904B4">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2.</w:t>
      </w:r>
      <w:r>
        <w:rPr>
          <w:rFonts w:ascii="Arial" w:hAnsi="Arial" w:cs="Arial"/>
          <w:color w:val="000000"/>
          <w:sz w:val="18"/>
          <w:szCs w:val="18"/>
          <w:lang w:val="x-none"/>
        </w:rPr>
        <w:tab/>
        <w:t>szczegółowe specyfikacje techniczne (podstawowe z dokumentów umowy i ew. uzupełniające lub zamienne),</w:t>
      </w:r>
    </w:p>
    <w:p w14:paraId="1E1D2F17" w14:textId="77777777" w:rsidR="000A3B2B" w:rsidRDefault="000A3B2B" w:rsidP="006904B4">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3.</w:t>
      </w:r>
      <w:r>
        <w:rPr>
          <w:rFonts w:ascii="Arial" w:hAnsi="Arial" w:cs="Arial"/>
          <w:color w:val="000000"/>
          <w:sz w:val="18"/>
          <w:szCs w:val="18"/>
          <w:lang w:val="x-none"/>
        </w:rPr>
        <w:tab/>
        <w:t>recepty i ustalenia technologiczne,</w:t>
      </w:r>
    </w:p>
    <w:p w14:paraId="60A45899" w14:textId="77777777" w:rsidR="000A3B2B" w:rsidRDefault="000A3B2B" w:rsidP="006904B4">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4.</w:t>
      </w:r>
      <w:r>
        <w:rPr>
          <w:rFonts w:ascii="Arial" w:hAnsi="Arial" w:cs="Arial"/>
          <w:color w:val="000000"/>
          <w:sz w:val="18"/>
          <w:szCs w:val="18"/>
          <w:lang w:val="x-none"/>
        </w:rPr>
        <w:tab/>
        <w:t>dzienniki budowy i książki obmiarów (oryginały),</w:t>
      </w:r>
    </w:p>
    <w:p w14:paraId="1BE7DE38" w14:textId="77777777" w:rsidR="000A3B2B" w:rsidRDefault="000A3B2B" w:rsidP="006904B4">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5.</w:t>
      </w:r>
      <w:r>
        <w:rPr>
          <w:rFonts w:ascii="Arial" w:hAnsi="Arial" w:cs="Arial"/>
          <w:color w:val="000000"/>
          <w:sz w:val="18"/>
          <w:szCs w:val="18"/>
          <w:lang w:val="x-none"/>
        </w:rPr>
        <w:tab/>
        <w:t>wyniki pomiarów kontrolnych oraz badań i oznaczeń laboratoryjnych, zgodne z SST i ew. PZJ,</w:t>
      </w:r>
    </w:p>
    <w:p w14:paraId="2944CEC1" w14:textId="77777777" w:rsidR="000A3B2B" w:rsidRDefault="000A3B2B" w:rsidP="006904B4">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6.</w:t>
      </w:r>
      <w:r>
        <w:rPr>
          <w:rFonts w:ascii="Arial" w:hAnsi="Arial" w:cs="Arial"/>
          <w:color w:val="000000"/>
          <w:sz w:val="18"/>
          <w:szCs w:val="18"/>
          <w:lang w:val="x-none"/>
        </w:rPr>
        <w:tab/>
        <w:t>dokumenty świadczące o dopuszczeniu materiałów i wyrobów budowlanych używanych w robotach ziemnych do obrotu lub udostępnieniu na rynku krajowym bądź do jednostkowego zastosowania, zgodnie z właściwymi przepisami z SST i ew. PZJ,</w:t>
      </w:r>
    </w:p>
    <w:p w14:paraId="4FBC95BC" w14:textId="77777777" w:rsidR="000A3B2B" w:rsidRDefault="000A3B2B" w:rsidP="006904B4">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7.</w:t>
      </w:r>
      <w:r>
        <w:rPr>
          <w:rFonts w:ascii="Arial" w:hAnsi="Arial" w:cs="Arial"/>
          <w:color w:val="000000"/>
          <w:sz w:val="18"/>
          <w:szCs w:val="18"/>
          <w:lang w:val="x-none"/>
        </w:rPr>
        <w:tab/>
        <w:t>opinię technologiczną sporządzoną na podstawie wszystkich wyników badań i pomiarów załączonych dokumentów odbioru, wykonanych zgodnie z SST i PZJ,</w:t>
      </w:r>
    </w:p>
    <w:p w14:paraId="10C91C0D" w14:textId="77777777" w:rsidR="000A3B2B" w:rsidRDefault="000A3B2B" w:rsidP="006904B4">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8.</w:t>
      </w:r>
      <w:r>
        <w:rPr>
          <w:rFonts w:ascii="Arial" w:hAnsi="Arial" w:cs="Arial"/>
          <w:color w:val="000000"/>
          <w:sz w:val="18"/>
          <w:szCs w:val="18"/>
          <w:lang w:val="x-none"/>
        </w:rPr>
        <w:tab/>
        <w:t>rysunki (dokumentacje) na wykonanie robót towarzyszących (np. na przełożenie linii telefonicznej, energetycznej, gazowej, oświetlenia itp.) oraz protokoły odbioru i przekazania tych robót właścicielom urządzeń,</w:t>
      </w:r>
    </w:p>
    <w:p w14:paraId="0E45CE88" w14:textId="77777777" w:rsidR="000A3B2B" w:rsidRDefault="000A3B2B" w:rsidP="006904B4">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9.</w:t>
      </w:r>
      <w:r>
        <w:rPr>
          <w:rFonts w:ascii="Arial" w:hAnsi="Arial" w:cs="Arial"/>
          <w:color w:val="000000"/>
          <w:sz w:val="18"/>
          <w:szCs w:val="18"/>
          <w:lang w:val="x-none"/>
        </w:rPr>
        <w:tab/>
        <w:t>geodezyjną inwentaryzację powykonawczą robót i sieci uzbrojenia terenu,</w:t>
      </w:r>
    </w:p>
    <w:p w14:paraId="2710E68A" w14:textId="77777777" w:rsidR="000A3B2B" w:rsidRDefault="000A3B2B" w:rsidP="006904B4">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10.</w:t>
      </w:r>
      <w:r>
        <w:rPr>
          <w:rFonts w:ascii="Arial" w:hAnsi="Arial" w:cs="Arial"/>
          <w:color w:val="000000"/>
          <w:sz w:val="18"/>
          <w:szCs w:val="18"/>
          <w:lang w:val="x-none"/>
        </w:rPr>
        <w:tab/>
        <w:t>kopię mapy zasadniczej powstałej w wyniku geodezyjnej inwentaryzacji powykonawczej.</w:t>
      </w:r>
    </w:p>
    <w:p w14:paraId="4E68F946" w14:textId="77777777" w:rsidR="000A3B2B" w:rsidRDefault="000A3B2B" w:rsidP="006904B4">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 przypadku, gdy wg komisji, roboty pod względem przygotowania dokumentacyjnego nie będą gotowe do odbioru ostatecznego, komisja w porozumieniu z Wykonawcą wyznaczy ponowny termin odbioru ostatecznego robót.</w:t>
      </w:r>
    </w:p>
    <w:p w14:paraId="2C2FD4AA" w14:textId="77777777" w:rsidR="000A3B2B" w:rsidRDefault="000A3B2B" w:rsidP="006904B4">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Wszystkie zarządzone przez komisję roboty poprawkowe lub uzupełniające będą zestawione wg wzoru ustalonego przez Zamawiającego.</w:t>
      </w:r>
    </w:p>
    <w:p w14:paraId="41FE3641" w14:textId="77777777" w:rsidR="000A3B2B" w:rsidRDefault="000A3B2B" w:rsidP="006904B4">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Termin wykonania robót poprawkowych i robót uzupełniających wyznaczy komisja i stwierdzi ich wykonanie.</w:t>
      </w:r>
    </w:p>
    <w:p w14:paraId="507433CE"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p>
    <w:p w14:paraId="14F437A9" w14:textId="77777777" w:rsidR="000A3B2B" w:rsidRDefault="000A3B2B" w:rsidP="006904B4">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8.5.</w:t>
      </w:r>
      <w:r>
        <w:rPr>
          <w:rFonts w:ascii="Arial" w:hAnsi="Arial" w:cs="Arial"/>
          <w:b/>
          <w:bCs/>
          <w:color w:val="000000"/>
          <w:sz w:val="18"/>
          <w:szCs w:val="18"/>
          <w:lang w:val="x-none"/>
        </w:rPr>
        <w:tab/>
        <w:t>Odbiór pogwarancyjny</w:t>
      </w:r>
    </w:p>
    <w:p w14:paraId="78080F5B"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Odbiór pogwarancyjny polega na ocenie wykonanych robót związanych z usunięciem wad zaistniałych w okresie gwarancyjnym.</w:t>
      </w:r>
    </w:p>
    <w:p w14:paraId="68420267" w14:textId="77777777" w:rsidR="000A3B2B" w:rsidRDefault="000A3B2B" w:rsidP="006904B4">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Odbiór pogwarancyjny będzie dokonany na podstawie oceny wizualnej obiektu z uwzględnieniem zasad opisanych w punkcie 8.4. „Odbiór ostateczny robót”.</w:t>
      </w:r>
    </w:p>
    <w:p w14:paraId="47631C6F"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p>
    <w:p w14:paraId="4046A132" w14:textId="77777777" w:rsidR="000A3B2B" w:rsidRDefault="000A3B2B" w:rsidP="006904B4">
      <w:pPr>
        <w:autoSpaceDE w:val="0"/>
        <w:autoSpaceDN w:val="0"/>
        <w:adjustRightInd w:val="0"/>
        <w:spacing w:before="225" w:after="12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9.</w:t>
      </w:r>
      <w:r>
        <w:rPr>
          <w:rFonts w:ascii="Arial" w:hAnsi="Arial" w:cs="Arial"/>
          <w:b/>
          <w:bCs/>
          <w:color w:val="000000"/>
          <w:sz w:val="18"/>
          <w:szCs w:val="18"/>
          <w:lang w:val="x-none"/>
        </w:rPr>
        <w:tab/>
        <w:t>PODSTAWA ROZLICZENIA ROBÓT</w:t>
      </w:r>
    </w:p>
    <w:p w14:paraId="70A2D0F4"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Ogólne ustalenia dotyczące podstawy płatności podano w ST „Wymagania ogólne” Kod CPV 45000000-7, pkt 9.</w:t>
      </w:r>
    </w:p>
    <w:p w14:paraId="31372005"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p>
    <w:p w14:paraId="2AD43191" w14:textId="77777777" w:rsidR="000A3B2B" w:rsidRDefault="000A3B2B" w:rsidP="006904B4">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9.1.</w:t>
      </w:r>
      <w:r>
        <w:rPr>
          <w:rFonts w:ascii="Arial" w:hAnsi="Arial" w:cs="Arial"/>
          <w:b/>
          <w:bCs/>
          <w:color w:val="000000"/>
          <w:sz w:val="18"/>
          <w:szCs w:val="18"/>
          <w:lang w:val="x-none"/>
        </w:rPr>
        <w:tab/>
        <w:t>Ustalenia ogólne</w:t>
      </w:r>
    </w:p>
    <w:p w14:paraId="297E41AC"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Podstawą płatności jest cena jednostkowa skalkulowana przez Wykonawcę za jednostkę obmiarową ustaloną dla danej pozycji kosztorysu.</w:t>
      </w:r>
    </w:p>
    <w:p w14:paraId="6BAA2D96" w14:textId="77777777" w:rsidR="000A3B2B" w:rsidRDefault="000A3B2B" w:rsidP="006904B4">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Dla pozycji kosztorysowych wycenionych ryczałtowo podstawą płatności jest wartość (kwota) podana przez Wykonawcę w danej pozycji kosztorysu.</w:t>
      </w:r>
    </w:p>
    <w:p w14:paraId="7AA3C5FB" w14:textId="77777777" w:rsidR="000A3B2B" w:rsidRDefault="000A3B2B" w:rsidP="006904B4">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Cena jednostkowa lub kwota ryczałtowa pozycji kosztorysowej będzie uwzględniać wszystkie czynności, wymagania i badania składające się na jej wykonanie, określone dla tej roboty w SST i w dokumentacji projektowej.</w:t>
      </w:r>
    </w:p>
    <w:p w14:paraId="77EF1D00"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Ceny jednostkowe lub kwoty ryczałtowe robót będą obejmować:</w:t>
      </w:r>
    </w:p>
    <w:p w14:paraId="2B387BB8" w14:textId="77777777" w:rsidR="000A3B2B" w:rsidRDefault="000A3B2B" w:rsidP="006904B4">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robociznę bezpośrednią wraz z towarzyszącymi kosztami,</w:t>
      </w:r>
    </w:p>
    <w:p w14:paraId="30EEF8EB" w14:textId="77777777" w:rsidR="000A3B2B" w:rsidRDefault="000A3B2B" w:rsidP="006904B4">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wartość zużytych materiałów wraz z kosztami zakupu, magazynowania, ewentualnych ubytków i transportu na teren budowy,</w:t>
      </w:r>
    </w:p>
    <w:p w14:paraId="5AD01640" w14:textId="77777777" w:rsidR="000A3B2B" w:rsidRDefault="000A3B2B" w:rsidP="006904B4">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wartość pracy sprzętu wraz z towarzyszącymi kosztami,</w:t>
      </w:r>
    </w:p>
    <w:p w14:paraId="7BF28F01" w14:textId="77777777" w:rsidR="000A3B2B" w:rsidRDefault="000A3B2B" w:rsidP="006904B4">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koszty pośrednie, zysk kalkulacyjny i ryzyko.</w:t>
      </w:r>
    </w:p>
    <w:p w14:paraId="23651FF0"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Ceny jednostkowe mogą być waloryzowane zgodnie z ustaleniami umownymi.</w:t>
      </w:r>
    </w:p>
    <w:p w14:paraId="7986F65A"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Do cen jednostkowych nie należy wliczać podatku VAT.</w:t>
      </w:r>
    </w:p>
    <w:p w14:paraId="49A5D56D"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lastRenderedPageBreak/>
        <w:t xml:space="preserve"> </w:t>
      </w:r>
    </w:p>
    <w:p w14:paraId="79F9A4D0" w14:textId="77777777" w:rsidR="000A3B2B" w:rsidRDefault="000A3B2B" w:rsidP="006904B4">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9.2.</w:t>
      </w:r>
      <w:r>
        <w:rPr>
          <w:rFonts w:ascii="Arial" w:hAnsi="Arial" w:cs="Arial"/>
          <w:b/>
          <w:bCs/>
          <w:color w:val="000000"/>
          <w:sz w:val="18"/>
          <w:szCs w:val="18"/>
          <w:lang w:val="x-none"/>
        </w:rPr>
        <w:tab/>
        <w:t>Organizacja ruchu</w:t>
      </w:r>
    </w:p>
    <w:p w14:paraId="7934C72E"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Koszty związane z organizacją ruchu obejmują:</w:t>
      </w:r>
    </w:p>
    <w:p w14:paraId="78CA2738" w14:textId="77777777" w:rsidR="000A3B2B" w:rsidRDefault="000A3B2B" w:rsidP="006904B4">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a)</w:t>
      </w:r>
      <w:r>
        <w:rPr>
          <w:rFonts w:ascii="Arial" w:hAnsi="Arial" w:cs="Arial"/>
          <w:color w:val="000000"/>
          <w:sz w:val="18"/>
          <w:szCs w:val="18"/>
          <w:lang w:val="x-none"/>
        </w:rPr>
        <w:tab/>
        <w:t>opracowanie oraz uzgodnienie z Inspektorem nadzoru i odpowiednimi instytucjami, projektu organizacji ruchu na czas trwania budowy, wraz z dostarczeniem kopii projektu Inspektora nadzoru i wprowadzeniem dalszych zmian i uzgodnień wynikających z postępu robót,</w:t>
      </w:r>
    </w:p>
    <w:p w14:paraId="7E4F84C1" w14:textId="77777777" w:rsidR="000A3B2B" w:rsidRDefault="000A3B2B" w:rsidP="006904B4">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b)</w:t>
      </w:r>
      <w:r>
        <w:rPr>
          <w:rFonts w:ascii="Arial" w:hAnsi="Arial" w:cs="Arial"/>
          <w:color w:val="000000"/>
          <w:sz w:val="18"/>
          <w:szCs w:val="18"/>
          <w:lang w:val="x-none"/>
        </w:rPr>
        <w:tab/>
        <w:t>ustawienie tymczasowego oznakowania i oświetlenia, zgodnie z wymaganiami bezpieczeństwa ruchu,</w:t>
      </w:r>
    </w:p>
    <w:p w14:paraId="4BA4D23B" w14:textId="77777777" w:rsidR="000A3B2B" w:rsidRDefault="000A3B2B" w:rsidP="006904B4">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c)</w:t>
      </w:r>
      <w:r>
        <w:rPr>
          <w:rFonts w:ascii="Arial" w:hAnsi="Arial" w:cs="Arial"/>
          <w:color w:val="000000"/>
          <w:sz w:val="18"/>
          <w:szCs w:val="18"/>
          <w:lang w:val="x-none"/>
        </w:rPr>
        <w:tab/>
        <w:t>opłaty/dzierżawy terenu,</w:t>
      </w:r>
    </w:p>
    <w:p w14:paraId="0D21ED7D" w14:textId="77777777" w:rsidR="000A3B2B" w:rsidRDefault="000A3B2B" w:rsidP="006904B4">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d)</w:t>
      </w:r>
      <w:r>
        <w:rPr>
          <w:rFonts w:ascii="Arial" w:hAnsi="Arial" w:cs="Arial"/>
          <w:color w:val="000000"/>
          <w:sz w:val="18"/>
          <w:szCs w:val="18"/>
          <w:lang w:val="x-none"/>
        </w:rPr>
        <w:tab/>
        <w:t>przygotowanie terenu,</w:t>
      </w:r>
    </w:p>
    <w:p w14:paraId="69A095E5" w14:textId="77777777" w:rsidR="000A3B2B" w:rsidRDefault="000A3B2B" w:rsidP="006904B4">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e)</w:t>
      </w:r>
      <w:r>
        <w:rPr>
          <w:rFonts w:ascii="Arial" w:hAnsi="Arial" w:cs="Arial"/>
          <w:color w:val="000000"/>
          <w:sz w:val="18"/>
          <w:szCs w:val="18"/>
          <w:lang w:val="x-none"/>
        </w:rPr>
        <w:tab/>
        <w:t xml:space="preserve">konstrukcję tymczasowej nawierzchni, ramp, chodników, krawężników, barier, </w:t>
      </w:r>
      <w:proofErr w:type="spellStart"/>
      <w:r>
        <w:rPr>
          <w:rFonts w:ascii="Arial" w:hAnsi="Arial" w:cs="Arial"/>
          <w:color w:val="000000"/>
          <w:sz w:val="18"/>
          <w:szCs w:val="18"/>
          <w:lang w:val="x-none"/>
        </w:rPr>
        <w:t>oznakowań</w:t>
      </w:r>
      <w:proofErr w:type="spellEnd"/>
      <w:r>
        <w:rPr>
          <w:rFonts w:ascii="Arial" w:hAnsi="Arial" w:cs="Arial"/>
          <w:color w:val="000000"/>
          <w:sz w:val="18"/>
          <w:szCs w:val="18"/>
          <w:lang w:val="x-none"/>
        </w:rPr>
        <w:t xml:space="preserve"> i drenażu,</w:t>
      </w:r>
    </w:p>
    <w:p w14:paraId="50A368F4" w14:textId="77777777" w:rsidR="000A3B2B" w:rsidRDefault="000A3B2B" w:rsidP="006904B4">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f)</w:t>
      </w:r>
      <w:r>
        <w:rPr>
          <w:rFonts w:ascii="Arial" w:hAnsi="Arial" w:cs="Arial"/>
          <w:color w:val="000000"/>
          <w:sz w:val="18"/>
          <w:szCs w:val="18"/>
          <w:lang w:val="x-none"/>
        </w:rPr>
        <w:tab/>
        <w:t>tymczasową przebudowę urządzeń obcych.</w:t>
      </w:r>
    </w:p>
    <w:p w14:paraId="27FE2EA9"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Koszt utrzymania organizacji ruchu:</w:t>
      </w:r>
    </w:p>
    <w:p w14:paraId="5D50D0F3" w14:textId="77777777" w:rsidR="000A3B2B" w:rsidRDefault="000A3B2B" w:rsidP="006904B4">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a)</w:t>
      </w:r>
      <w:r>
        <w:rPr>
          <w:rFonts w:ascii="Arial" w:hAnsi="Arial" w:cs="Arial"/>
          <w:color w:val="000000"/>
          <w:sz w:val="18"/>
          <w:szCs w:val="18"/>
          <w:lang w:val="x-none"/>
        </w:rPr>
        <w:tab/>
        <w:t xml:space="preserve">oczyszczanie, przestawienie, przykrycie i usunięcie tymczasowych </w:t>
      </w:r>
      <w:proofErr w:type="spellStart"/>
      <w:r>
        <w:rPr>
          <w:rFonts w:ascii="Arial" w:hAnsi="Arial" w:cs="Arial"/>
          <w:color w:val="000000"/>
          <w:sz w:val="18"/>
          <w:szCs w:val="18"/>
          <w:lang w:val="x-none"/>
        </w:rPr>
        <w:t>oznakowań</w:t>
      </w:r>
      <w:proofErr w:type="spellEnd"/>
      <w:r>
        <w:rPr>
          <w:rFonts w:ascii="Arial" w:hAnsi="Arial" w:cs="Arial"/>
          <w:color w:val="000000"/>
          <w:sz w:val="18"/>
          <w:szCs w:val="18"/>
          <w:lang w:val="x-none"/>
        </w:rPr>
        <w:t xml:space="preserve"> pionowych, poziomych, barier i świateł.</w:t>
      </w:r>
    </w:p>
    <w:p w14:paraId="006CE607"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Koszt uruchomienia i likwidacji dotyczących organizacji ruchu obejmuje:</w:t>
      </w:r>
    </w:p>
    <w:p w14:paraId="6CC155A9" w14:textId="77777777" w:rsidR="000A3B2B" w:rsidRDefault="000A3B2B" w:rsidP="006904B4">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a)</w:t>
      </w:r>
      <w:r>
        <w:rPr>
          <w:rFonts w:ascii="Arial" w:hAnsi="Arial" w:cs="Arial"/>
          <w:color w:val="000000"/>
          <w:sz w:val="18"/>
          <w:szCs w:val="18"/>
          <w:lang w:val="x-none"/>
        </w:rPr>
        <w:tab/>
        <w:t>usunięcie wbudowanych materiałów i oznakowania,</w:t>
      </w:r>
    </w:p>
    <w:p w14:paraId="50001A4C" w14:textId="77777777" w:rsidR="000A3B2B" w:rsidRDefault="000A3B2B" w:rsidP="006904B4">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b)</w:t>
      </w:r>
      <w:r>
        <w:rPr>
          <w:rFonts w:ascii="Arial" w:hAnsi="Arial" w:cs="Arial"/>
          <w:color w:val="000000"/>
          <w:sz w:val="18"/>
          <w:szCs w:val="18"/>
          <w:lang w:val="x-none"/>
        </w:rPr>
        <w:tab/>
        <w:t>doprowadzenie terenu do stanu pierwotnego,</w:t>
      </w:r>
    </w:p>
    <w:p w14:paraId="2EFDBC30" w14:textId="77777777" w:rsidR="000A3B2B" w:rsidRDefault="000A3B2B" w:rsidP="006904B4">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c)</w:t>
      </w:r>
      <w:r>
        <w:rPr>
          <w:rFonts w:ascii="Arial" w:hAnsi="Arial" w:cs="Arial"/>
          <w:color w:val="000000"/>
          <w:sz w:val="18"/>
          <w:szCs w:val="18"/>
          <w:lang w:val="x-none"/>
        </w:rPr>
        <w:tab/>
        <w:t>koszty związane z organizacją ruchu publicznego.</w:t>
      </w:r>
    </w:p>
    <w:p w14:paraId="57294A76"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p>
    <w:p w14:paraId="661A8694" w14:textId="77777777" w:rsidR="000A3B2B" w:rsidRDefault="000A3B2B" w:rsidP="006904B4">
      <w:pPr>
        <w:autoSpaceDE w:val="0"/>
        <w:autoSpaceDN w:val="0"/>
        <w:adjustRightInd w:val="0"/>
        <w:spacing w:before="225" w:after="12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10.</w:t>
      </w:r>
      <w:r>
        <w:rPr>
          <w:rFonts w:ascii="Arial" w:hAnsi="Arial" w:cs="Arial"/>
          <w:b/>
          <w:bCs/>
          <w:color w:val="000000"/>
          <w:sz w:val="18"/>
          <w:szCs w:val="18"/>
          <w:lang w:val="x-none"/>
        </w:rPr>
        <w:tab/>
        <w:t xml:space="preserve">DOKUMENTY ODNIESIENIA </w:t>
      </w:r>
    </w:p>
    <w:p w14:paraId="22A9C352" w14:textId="77777777" w:rsidR="000A3B2B" w:rsidRDefault="000A3B2B" w:rsidP="006904B4">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10.1.</w:t>
      </w:r>
      <w:r>
        <w:rPr>
          <w:rFonts w:ascii="Arial" w:hAnsi="Arial" w:cs="Arial"/>
          <w:b/>
          <w:bCs/>
          <w:color w:val="000000"/>
          <w:sz w:val="18"/>
          <w:szCs w:val="18"/>
          <w:lang w:val="x-none"/>
        </w:rPr>
        <w:tab/>
        <w:t xml:space="preserve"> Normy</w:t>
      </w:r>
    </w:p>
    <w:tbl>
      <w:tblPr>
        <w:tblW w:w="0" w:type="auto"/>
        <w:tblCellSpacing w:w="0" w:type="dxa"/>
        <w:tblLayout w:type="fixed"/>
        <w:tblCellMar>
          <w:left w:w="0" w:type="dxa"/>
          <w:right w:w="0" w:type="dxa"/>
        </w:tblCellMar>
        <w:tblLook w:val="0000" w:firstRow="0" w:lastRow="0" w:firstColumn="0" w:lastColumn="0" w:noHBand="0" w:noVBand="0"/>
      </w:tblPr>
      <w:tblGrid>
        <w:gridCol w:w="382"/>
        <w:gridCol w:w="2280"/>
        <w:gridCol w:w="6466"/>
      </w:tblGrid>
      <w:tr w:rsidR="000A3B2B" w14:paraId="7ACCE3C4" w14:textId="77777777" w:rsidTr="006904B4">
        <w:trPr>
          <w:trHeight w:val="60"/>
          <w:tblCellSpacing w:w="0" w:type="dxa"/>
        </w:trPr>
        <w:tc>
          <w:tcPr>
            <w:tcW w:w="382" w:type="dxa"/>
            <w:tcBorders>
              <w:top w:val="nil"/>
              <w:left w:val="nil"/>
              <w:bottom w:val="nil"/>
              <w:right w:val="nil"/>
            </w:tcBorders>
          </w:tcPr>
          <w:p w14:paraId="65B6D550"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1. </w:t>
            </w:r>
          </w:p>
        </w:tc>
        <w:tc>
          <w:tcPr>
            <w:tcW w:w="2280" w:type="dxa"/>
            <w:tcBorders>
              <w:top w:val="nil"/>
              <w:left w:val="nil"/>
              <w:bottom w:val="nil"/>
              <w:right w:val="nil"/>
            </w:tcBorders>
          </w:tcPr>
          <w:p w14:paraId="32224491"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PN-B-02481:1998 </w:t>
            </w:r>
          </w:p>
        </w:tc>
        <w:tc>
          <w:tcPr>
            <w:tcW w:w="6466" w:type="dxa"/>
            <w:tcBorders>
              <w:top w:val="nil"/>
              <w:left w:val="nil"/>
              <w:bottom w:val="nil"/>
              <w:right w:val="nil"/>
            </w:tcBorders>
          </w:tcPr>
          <w:p w14:paraId="67AD34BB"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Geotechnika – Terminologia podstawowa, symbole literowe i jednostki miar.</w:t>
            </w:r>
          </w:p>
        </w:tc>
      </w:tr>
      <w:tr w:rsidR="000A3B2B" w14:paraId="2C9271CD" w14:textId="77777777" w:rsidTr="006904B4">
        <w:trPr>
          <w:trHeight w:val="60"/>
          <w:tblCellSpacing w:w="0" w:type="dxa"/>
        </w:trPr>
        <w:tc>
          <w:tcPr>
            <w:tcW w:w="382" w:type="dxa"/>
            <w:tcBorders>
              <w:top w:val="nil"/>
              <w:left w:val="nil"/>
              <w:bottom w:val="nil"/>
              <w:right w:val="nil"/>
            </w:tcBorders>
          </w:tcPr>
          <w:p w14:paraId="214ABD62"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2. </w:t>
            </w:r>
          </w:p>
        </w:tc>
        <w:tc>
          <w:tcPr>
            <w:tcW w:w="2280" w:type="dxa"/>
            <w:tcBorders>
              <w:top w:val="nil"/>
              <w:left w:val="nil"/>
              <w:bottom w:val="nil"/>
              <w:right w:val="nil"/>
            </w:tcBorders>
          </w:tcPr>
          <w:p w14:paraId="4B5010B9"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PN-EN 1997-2:2009 </w:t>
            </w:r>
          </w:p>
        </w:tc>
        <w:tc>
          <w:tcPr>
            <w:tcW w:w="6466" w:type="dxa"/>
            <w:tcBorders>
              <w:top w:val="nil"/>
              <w:left w:val="nil"/>
              <w:bottom w:val="nil"/>
              <w:right w:val="nil"/>
            </w:tcBorders>
          </w:tcPr>
          <w:p w14:paraId="599E64EB"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Projektowanie geotechniczne – Część 2: Rozpoznanie i badanie podłoża gruntowego.</w:t>
            </w:r>
          </w:p>
        </w:tc>
      </w:tr>
      <w:tr w:rsidR="000A3B2B" w14:paraId="15DEFFC7" w14:textId="77777777" w:rsidTr="006904B4">
        <w:trPr>
          <w:trHeight w:val="60"/>
          <w:tblCellSpacing w:w="0" w:type="dxa"/>
        </w:trPr>
        <w:tc>
          <w:tcPr>
            <w:tcW w:w="382" w:type="dxa"/>
            <w:tcBorders>
              <w:top w:val="nil"/>
              <w:left w:val="nil"/>
              <w:bottom w:val="nil"/>
              <w:right w:val="nil"/>
            </w:tcBorders>
          </w:tcPr>
          <w:p w14:paraId="09248491"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3.  </w:t>
            </w:r>
          </w:p>
        </w:tc>
        <w:tc>
          <w:tcPr>
            <w:tcW w:w="2280" w:type="dxa"/>
            <w:tcBorders>
              <w:top w:val="nil"/>
              <w:left w:val="nil"/>
              <w:bottom w:val="nil"/>
              <w:right w:val="nil"/>
            </w:tcBorders>
          </w:tcPr>
          <w:p w14:paraId="58FE5FE7"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PN-B-04481</w:t>
            </w:r>
          </w:p>
        </w:tc>
        <w:tc>
          <w:tcPr>
            <w:tcW w:w="6466" w:type="dxa"/>
            <w:tcBorders>
              <w:top w:val="nil"/>
              <w:left w:val="nil"/>
              <w:bottom w:val="nil"/>
              <w:right w:val="nil"/>
            </w:tcBorders>
          </w:tcPr>
          <w:p w14:paraId="31B207B9" w14:textId="77777777" w:rsidR="000A3B2B" w:rsidRDefault="000A3B2B" w:rsidP="006904B4">
            <w:pPr>
              <w:autoSpaceDE w:val="0"/>
              <w:autoSpaceDN w:val="0"/>
              <w:adjustRightInd w:val="0"/>
              <w:spacing w:after="30" w:line="240" w:lineRule="auto"/>
              <w:jc w:val="both"/>
              <w:rPr>
                <w:rFonts w:ascii="Arial" w:hAnsi="Arial" w:cs="Arial"/>
                <w:i/>
                <w:iCs/>
                <w:color w:val="000000"/>
                <w:sz w:val="18"/>
                <w:szCs w:val="18"/>
                <w:lang w:val="x-none"/>
              </w:rPr>
            </w:pPr>
            <w:r>
              <w:rPr>
                <w:rFonts w:ascii="Arial" w:hAnsi="Arial" w:cs="Arial"/>
                <w:color w:val="000000"/>
                <w:sz w:val="18"/>
                <w:szCs w:val="18"/>
                <w:lang w:val="x-none"/>
              </w:rPr>
              <w:t xml:space="preserve">Grunty budowlane. Badania próbek gruntów </w:t>
            </w:r>
            <w:r>
              <w:rPr>
                <w:rFonts w:ascii="Arial" w:hAnsi="Arial" w:cs="Arial"/>
                <w:i/>
                <w:iCs/>
                <w:color w:val="000000"/>
                <w:sz w:val="18"/>
                <w:szCs w:val="18"/>
                <w:lang w:val="x-none"/>
              </w:rPr>
              <w:t>(norma wycofana).</w:t>
            </w:r>
          </w:p>
        </w:tc>
      </w:tr>
      <w:tr w:rsidR="000A3B2B" w14:paraId="323EC96C" w14:textId="77777777" w:rsidTr="006904B4">
        <w:trPr>
          <w:trHeight w:val="60"/>
          <w:tblCellSpacing w:w="0" w:type="dxa"/>
        </w:trPr>
        <w:tc>
          <w:tcPr>
            <w:tcW w:w="382" w:type="dxa"/>
            <w:tcBorders>
              <w:top w:val="nil"/>
              <w:left w:val="nil"/>
              <w:bottom w:val="nil"/>
              <w:right w:val="nil"/>
            </w:tcBorders>
          </w:tcPr>
          <w:p w14:paraId="27073848"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4.  </w:t>
            </w:r>
          </w:p>
        </w:tc>
        <w:tc>
          <w:tcPr>
            <w:tcW w:w="2280" w:type="dxa"/>
            <w:tcBorders>
              <w:top w:val="nil"/>
              <w:left w:val="nil"/>
              <w:bottom w:val="nil"/>
              <w:right w:val="nil"/>
            </w:tcBorders>
          </w:tcPr>
          <w:p w14:paraId="5B06E477"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PN-B-04493</w:t>
            </w:r>
          </w:p>
        </w:tc>
        <w:tc>
          <w:tcPr>
            <w:tcW w:w="6466" w:type="dxa"/>
            <w:tcBorders>
              <w:top w:val="nil"/>
              <w:left w:val="nil"/>
              <w:bottom w:val="nil"/>
              <w:right w:val="nil"/>
            </w:tcBorders>
          </w:tcPr>
          <w:p w14:paraId="32779FEB" w14:textId="77777777" w:rsidR="000A3B2B" w:rsidRDefault="000A3B2B" w:rsidP="006904B4">
            <w:pPr>
              <w:autoSpaceDE w:val="0"/>
              <w:autoSpaceDN w:val="0"/>
              <w:adjustRightInd w:val="0"/>
              <w:spacing w:after="30" w:line="240" w:lineRule="auto"/>
              <w:jc w:val="both"/>
              <w:rPr>
                <w:rFonts w:ascii="Arial" w:hAnsi="Arial" w:cs="Arial"/>
                <w:i/>
                <w:iCs/>
                <w:color w:val="000000"/>
                <w:sz w:val="18"/>
                <w:szCs w:val="18"/>
                <w:lang w:val="x-none"/>
              </w:rPr>
            </w:pPr>
            <w:r>
              <w:rPr>
                <w:rFonts w:ascii="Arial" w:hAnsi="Arial" w:cs="Arial"/>
                <w:color w:val="000000"/>
                <w:sz w:val="18"/>
                <w:szCs w:val="18"/>
                <w:lang w:val="x-none"/>
              </w:rPr>
              <w:t xml:space="preserve">Grunty budowlane. Oznaczanie kapilarności biernej </w:t>
            </w:r>
            <w:r>
              <w:rPr>
                <w:rFonts w:ascii="Arial" w:hAnsi="Arial" w:cs="Arial"/>
                <w:i/>
                <w:iCs/>
                <w:color w:val="000000"/>
                <w:sz w:val="18"/>
                <w:szCs w:val="18"/>
                <w:lang w:val="x-none"/>
              </w:rPr>
              <w:t>(norma wycofana).</w:t>
            </w:r>
          </w:p>
        </w:tc>
      </w:tr>
      <w:tr w:rsidR="000A3B2B" w14:paraId="644823A6" w14:textId="77777777" w:rsidTr="006904B4">
        <w:trPr>
          <w:trHeight w:val="60"/>
          <w:tblCellSpacing w:w="0" w:type="dxa"/>
        </w:trPr>
        <w:tc>
          <w:tcPr>
            <w:tcW w:w="382" w:type="dxa"/>
            <w:tcBorders>
              <w:top w:val="nil"/>
              <w:left w:val="nil"/>
              <w:bottom w:val="nil"/>
              <w:right w:val="nil"/>
            </w:tcBorders>
          </w:tcPr>
          <w:p w14:paraId="2DC1FFEA"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5.  </w:t>
            </w:r>
          </w:p>
        </w:tc>
        <w:tc>
          <w:tcPr>
            <w:tcW w:w="2280" w:type="dxa"/>
            <w:tcBorders>
              <w:top w:val="nil"/>
              <w:left w:val="nil"/>
              <w:bottom w:val="nil"/>
              <w:right w:val="nil"/>
            </w:tcBorders>
          </w:tcPr>
          <w:p w14:paraId="06837905"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BN-77/8931-12</w:t>
            </w:r>
          </w:p>
        </w:tc>
        <w:tc>
          <w:tcPr>
            <w:tcW w:w="6466" w:type="dxa"/>
            <w:tcBorders>
              <w:top w:val="nil"/>
              <w:left w:val="nil"/>
              <w:bottom w:val="nil"/>
              <w:right w:val="nil"/>
            </w:tcBorders>
          </w:tcPr>
          <w:p w14:paraId="7CC67374" w14:textId="77777777" w:rsidR="000A3B2B" w:rsidRDefault="000A3B2B" w:rsidP="006904B4">
            <w:pPr>
              <w:autoSpaceDE w:val="0"/>
              <w:autoSpaceDN w:val="0"/>
              <w:adjustRightInd w:val="0"/>
              <w:spacing w:after="30" w:line="240" w:lineRule="auto"/>
              <w:jc w:val="both"/>
              <w:rPr>
                <w:rFonts w:ascii="Arial" w:hAnsi="Arial" w:cs="Arial"/>
                <w:i/>
                <w:iCs/>
                <w:color w:val="000000"/>
                <w:sz w:val="18"/>
                <w:szCs w:val="18"/>
                <w:lang w:val="x-none"/>
              </w:rPr>
            </w:pPr>
            <w:r>
              <w:rPr>
                <w:rFonts w:ascii="Arial" w:hAnsi="Arial" w:cs="Arial"/>
                <w:color w:val="000000"/>
                <w:sz w:val="18"/>
                <w:szCs w:val="18"/>
                <w:lang w:val="x-none"/>
              </w:rPr>
              <w:t xml:space="preserve">Oznaczanie wskaźnika zagęszczenia gruntu </w:t>
            </w:r>
            <w:r>
              <w:rPr>
                <w:rFonts w:ascii="Arial" w:hAnsi="Arial" w:cs="Arial"/>
                <w:i/>
                <w:iCs/>
                <w:color w:val="000000"/>
                <w:sz w:val="18"/>
                <w:szCs w:val="18"/>
                <w:lang w:val="x-none"/>
              </w:rPr>
              <w:t>(norma wycofana).</w:t>
            </w:r>
          </w:p>
        </w:tc>
      </w:tr>
      <w:tr w:rsidR="000A3B2B" w14:paraId="2A6CD7B4" w14:textId="77777777" w:rsidTr="006904B4">
        <w:trPr>
          <w:trHeight w:val="555"/>
          <w:tblCellSpacing w:w="0" w:type="dxa"/>
        </w:trPr>
        <w:tc>
          <w:tcPr>
            <w:tcW w:w="382" w:type="dxa"/>
            <w:tcBorders>
              <w:top w:val="nil"/>
              <w:left w:val="nil"/>
              <w:bottom w:val="nil"/>
              <w:right w:val="nil"/>
            </w:tcBorders>
          </w:tcPr>
          <w:p w14:paraId="3E8C708B"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6.  </w:t>
            </w:r>
          </w:p>
        </w:tc>
        <w:tc>
          <w:tcPr>
            <w:tcW w:w="2280" w:type="dxa"/>
            <w:tcBorders>
              <w:top w:val="nil"/>
              <w:left w:val="nil"/>
              <w:bottom w:val="nil"/>
              <w:right w:val="nil"/>
            </w:tcBorders>
          </w:tcPr>
          <w:p w14:paraId="2CC66B26"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PN-B-06050</w:t>
            </w:r>
          </w:p>
        </w:tc>
        <w:tc>
          <w:tcPr>
            <w:tcW w:w="6466" w:type="dxa"/>
            <w:tcBorders>
              <w:top w:val="nil"/>
              <w:left w:val="nil"/>
              <w:bottom w:val="nil"/>
              <w:right w:val="nil"/>
            </w:tcBorders>
          </w:tcPr>
          <w:p w14:paraId="530964CC" w14:textId="77777777" w:rsidR="000A3B2B" w:rsidRDefault="000A3B2B" w:rsidP="006904B4">
            <w:pPr>
              <w:autoSpaceDE w:val="0"/>
              <w:autoSpaceDN w:val="0"/>
              <w:adjustRightInd w:val="0"/>
              <w:spacing w:after="30" w:line="240" w:lineRule="auto"/>
              <w:jc w:val="both"/>
              <w:rPr>
                <w:rFonts w:ascii="Arial" w:hAnsi="Arial" w:cs="Arial"/>
                <w:i/>
                <w:iCs/>
                <w:color w:val="000000"/>
                <w:sz w:val="18"/>
                <w:szCs w:val="18"/>
                <w:lang w:val="x-none"/>
              </w:rPr>
            </w:pPr>
            <w:r>
              <w:rPr>
                <w:rFonts w:ascii="Arial" w:hAnsi="Arial" w:cs="Arial"/>
                <w:color w:val="000000"/>
                <w:sz w:val="18"/>
                <w:szCs w:val="18"/>
                <w:lang w:val="x-none"/>
              </w:rPr>
              <w:t xml:space="preserve">Roboty ziemne budowlane. Wymagania w zakresie wykonywania i badania przy odbiorze </w:t>
            </w:r>
            <w:r>
              <w:rPr>
                <w:rFonts w:ascii="Arial" w:hAnsi="Arial" w:cs="Arial"/>
                <w:i/>
                <w:iCs/>
                <w:color w:val="000000"/>
                <w:sz w:val="18"/>
                <w:szCs w:val="18"/>
                <w:lang w:val="x-none"/>
              </w:rPr>
              <w:t>(norma wycofana).</w:t>
            </w:r>
          </w:p>
        </w:tc>
      </w:tr>
      <w:tr w:rsidR="000A3B2B" w14:paraId="79627921" w14:textId="77777777" w:rsidTr="006904B4">
        <w:trPr>
          <w:trHeight w:val="555"/>
          <w:tblCellSpacing w:w="0" w:type="dxa"/>
        </w:trPr>
        <w:tc>
          <w:tcPr>
            <w:tcW w:w="382" w:type="dxa"/>
            <w:tcBorders>
              <w:top w:val="nil"/>
              <w:left w:val="nil"/>
              <w:bottom w:val="nil"/>
              <w:right w:val="nil"/>
            </w:tcBorders>
          </w:tcPr>
          <w:p w14:paraId="2C9BD5F4"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7.</w:t>
            </w:r>
          </w:p>
        </w:tc>
        <w:tc>
          <w:tcPr>
            <w:tcW w:w="2280" w:type="dxa"/>
            <w:tcBorders>
              <w:top w:val="nil"/>
              <w:left w:val="nil"/>
              <w:bottom w:val="nil"/>
              <w:right w:val="nil"/>
            </w:tcBorders>
          </w:tcPr>
          <w:p w14:paraId="716BC901"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PN-S-02205:1998</w:t>
            </w:r>
          </w:p>
        </w:tc>
        <w:tc>
          <w:tcPr>
            <w:tcW w:w="6466" w:type="dxa"/>
            <w:tcBorders>
              <w:top w:val="nil"/>
              <w:left w:val="nil"/>
              <w:bottom w:val="nil"/>
              <w:right w:val="nil"/>
            </w:tcBorders>
          </w:tcPr>
          <w:p w14:paraId="4F0B239F"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Drogi samochodowe – Roboty ziemne – Wymagania i badania.</w:t>
            </w:r>
          </w:p>
        </w:tc>
      </w:tr>
    </w:tbl>
    <w:p w14:paraId="51CDD62E"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p>
    <w:p w14:paraId="609E91D4" w14:textId="77777777" w:rsidR="000A3B2B" w:rsidRDefault="000A3B2B" w:rsidP="006904B4">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10.2. Ustawy</w:t>
      </w:r>
    </w:p>
    <w:p w14:paraId="3E4D5A2B" w14:textId="77777777" w:rsidR="000A3B2B" w:rsidRDefault="000A3B2B" w:rsidP="006904B4">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Ustawa z dnia 7 lipca 1994 r. – Prawo budowlane (tekst jednolity Dz. U. z 2016 r. Nr 0, poz. 290).</w:t>
      </w:r>
    </w:p>
    <w:p w14:paraId="3888E988" w14:textId="77777777" w:rsidR="000A3B2B" w:rsidRDefault="000A3B2B" w:rsidP="006904B4">
      <w:pPr>
        <w:autoSpaceDE w:val="0"/>
        <w:autoSpaceDN w:val="0"/>
        <w:adjustRightInd w:val="0"/>
        <w:spacing w:after="30" w:line="240" w:lineRule="auto"/>
        <w:ind w:left="285" w:hanging="285"/>
        <w:jc w:val="both"/>
        <w:rPr>
          <w:rFonts w:ascii="Arial" w:hAnsi="Arial" w:cs="Arial"/>
          <w:color w:val="000000"/>
          <w:sz w:val="18"/>
          <w:szCs w:val="18"/>
          <w:lang w:val="x-none"/>
        </w:rPr>
      </w:pPr>
    </w:p>
    <w:p w14:paraId="7773CBF0" w14:textId="77777777" w:rsidR="000A3B2B" w:rsidRDefault="000A3B2B" w:rsidP="006904B4">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10.3. Rozporządzenia</w:t>
      </w:r>
    </w:p>
    <w:p w14:paraId="3063A59B" w14:textId="77777777" w:rsidR="000A3B2B" w:rsidRDefault="000A3B2B" w:rsidP="006904B4">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Rozporządzenie Ministra Infrastruktury z dnia 26.06.2002 r. w sprawie dziennika budowy, montażu i rozbiórki tablicy informacyjnej oraz ogłoszenia zawierającego dane dotyczące bezpieczeństwa pracy i ochrony zdrowia (Dz. U. z 2002 r. Nr 108 poz. 953, z późniejszymi zmianami).</w:t>
      </w:r>
    </w:p>
    <w:p w14:paraId="79D5090A" w14:textId="77777777" w:rsidR="000A3B2B" w:rsidRDefault="000A3B2B" w:rsidP="006904B4">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Rozporządzenie Ministra Infrastruktury z dnia 6 lutego 2003 r. w sprawie bezpieczeństwa i higieny pracy podczas wykonywania robót budowlanych (Dz. U. z 2003 r. Nr 48 poz. 401).</w:t>
      </w:r>
    </w:p>
    <w:p w14:paraId="7CC8CDC0" w14:textId="77777777" w:rsidR="000A3B2B" w:rsidRDefault="000A3B2B" w:rsidP="006904B4">
      <w:pPr>
        <w:autoSpaceDE w:val="0"/>
        <w:autoSpaceDN w:val="0"/>
        <w:adjustRightInd w:val="0"/>
        <w:spacing w:after="60" w:line="240" w:lineRule="auto"/>
        <w:ind w:left="390" w:hanging="390"/>
        <w:jc w:val="both"/>
        <w:rPr>
          <w:rFonts w:ascii="Arial" w:hAnsi="Arial" w:cs="Arial"/>
          <w:b/>
          <w:bCs/>
          <w:color w:val="000000"/>
          <w:sz w:val="18"/>
          <w:szCs w:val="18"/>
          <w:lang w:val="x-none"/>
        </w:rPr>
      </w:pPr>
    </w:p>
    <w:p w14:paraId="3E8A282D" w14:textId="77777777" w:rsidR="000A3B2B" w:rsidRDefault="000A3B2B" w:rsidP="006904B4">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10.4. Inne dokumenty i instrukcje</w:t>
      </w:r>
    </w:p>
    <w:p w14:paraId="55340FB4" w14:textId="77777777" w:rsidR="000A3B2B" w:rsidRDefault="000A3B2B" w:rsidP="006904B4">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 xml:space="preserve">- </w:t>
      </w:r>
      <w:r>
        <w:rPr>
          <w:rFonts w:ascii="Arial" w:hAnsi="Arial" w:cs="Arial"/>
          <w:color w:val="000000"/>
          <w:sz w:val="18"/>
          <w:szCs w:val="18"/>
          <w:lang w:val="x-none"/>
        </w:rPr>
        <w:tab/>
        <w:t>Specyfikacja techniczna wykonania i odbioru robót budowlanych – Wymagania ogólne Kod CPV 45000000-7, wydanie 3, OWEOB Promocja – 2017 rok.</w:t>
      </w:r>
    </w:p>
    <w:p w14:paraId="494B3F90" w14:textId="77777777" w:rsidR="000A3B2B" w:rsidRDefault="000A3B2B" w:rsidP="006904B4">
      <w:pPr>
        <w:autoSpaceDE w:val="0"/>
        <w:autoSpaceDN w:val="0"/>
        <w:adjustRightInd w:val="0"/>
        <w:spacing w:after="30" w:line="240" w:lineRule="auto"/>
        <w:jc w:val="right"/>
        <w:rPr>
          <w:rFonts w:ascii="Arial" w:hAnsi="Arial" w:cs="Arial"/>
          <w:i/>
          <w:iCs/>
          <w:color w:val="000000"/>
          <w:sz w:val="18"/>
          <w:szCs w:val="18"/>
          <w:lang w:val="x-none"/>
        </w:rPr>
      </w:pPr>
      <w:r>
        <w:rPr>
          <w:rFonts w:ascii="Arial" w:hAnsi="Arial" w:cs="Arial"/>
          <w:i/>
          <w:iCs/>
          <w:color w:val="000000"/>
          <w:sz w:val="18"/>
          <w:szCs w:val="18"/>
          <w:lang w:val="x-none"/>
        </w:rPr>
        <w:t>Załącznik 1</w:t>
      </w:r>
    </w:p>
    <w:p w14:paraId="66D2429D" w14:textId="77777777" w:rsidR="000A3B2B" w:rsidRDefault="000A3B2B" w:rsidP="006904B4">
      <w:pPr>
        <w:autoSpaceDE w:val="0"/>
        <w:autoSpaceDN w:val="0"/>
        <w:adjustRightInd w:val="0"/>
        <w:spacing w:after="30" w:line="240" w:lineRule="auto"/>
        <w:jc w:val="both"/>
        <w:rPr>
          <w:rFonts w:ascii="Arial" w:hAnsi="Arial" w:cs="Arial"/>
          <w:b/>
          <w:bCs/>
          <w:color w:val="000000"/>
          <w:sz w:val="18"/>
          <w:szCs w:val="18"/>
          <w:lang w:val="x-none"/>
        </w:rPr>
      </w:pPr>
      <w:r>
        <w:rPr>
          <w:rFonts w:ascii="Arial" w:hAnsi="Arial" w:cs="Arial"/>
          <w:b/>
          <w:bCs/>
          <w:color w:val="000000"/>
          <w:sz w:val="18"/>
          <w:szCs w:val="18"/>
          <w:lang w:val="x-none"/>
        </w:rPr>
        <w:t>Tablica 1. Podział gruntów na kategorie</w:t>
      </w:r>
    </w:p>
    <w:tbl>
      <w:tblPr>
        <w:tblW w:w="0" w:type="auto"/>
        <w:tblCellSpacing w:w="0" w:type="dxa"/>
        <w:tblInd w:w="-8" w:type="dxa"/>
        <w:tblLayout w:type="fixed"/>
        <w:tblCellMar>
          <w:left w:w="0" w:type="dxa"/>
          <w:right w:w="0" w:type="dxa"/>
        </w:tblCellMar>
        <w:tblLook w:val="0000" w:firstRow="0" w:lastRow="0" w:firstColumn="0" w:lastColumn="0" w:noHBand="0" w:noVBand="0"/>
      </w:tblPr>
      <w:tblGrid>
        <w:gridCol w:w="562"/>
        <w:gridCol w:w="6106"/>
        <w:gridCol w:w="1380"/>
        <w:gridCol w:w="1380"/>
      </w:tblGrid>
      <w:tr w:rsidR="000A3B2B" w14:paraId="33AD0643" w14:textId="77777777" w:rsidTr="006904B4">
        <w:trPr>
          <w:trHeight w:val="60"/>
          <w:tblHeader/>
          <w:tblCellSpacing w:w="0" w:type="dxa"/>
        </w:trPr>
        <w:tc>
          <w:tcPr>
            <w:tcW w:w="562"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2B526FEE"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Kategoria</w:t>
            </w:r>
          </w:p>
        </w:tc>
        <w:tc>
          <w:tcPr>
            <w:tcW w:w="6106"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149CD0B6"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Rodzaj i charakterystyka gruntu lub materiału</w:t>
            </w:r>
          </w:p>
        </w:tc>
        <w:tc>
          <w:tcPr>
            <w:tcW w:w="1380"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5EFF8206" w14:textId="77777777" w:rsidR="000A3B2B" w:rsidRDefault="000A3B2B" w:rsidP="006904B4">
            <w:pPr>
              <w:autoSpaceDE w:val="0"/>
              <w:autoSpaceDN w:val="0"/>
              <w:adjustRightInd w:val="0"/>
              <w:spacing w:after="0" w:line="240" w:lineRule="auto"/>
              <w:jc w:val="center"/>
              <w:rPr>
                <w:rFonts w:ascii="Arial" w:hAnsi="Arial" w:cs="Arial"/>
                <w:color w:val="000000"/>
                <w:position w:val="4"/>
                <w:sz w:val="8"/>
                <w:szCs w:val="8"/>
                <w:lang w:val="x-none"/>
              </w:rPr>
            </w:pPr>
            <w:r>
              <w:rPr>
                <w:rFonts w:ascii="Arial" w:hAnsi="Arial" w:cs="Arial"/>
                <w:color w:val="000000"/>
                <w:sz w:val="18"/>
                <w:szCs w:val="18"/>
                <w:lang w:val="x-none"/>
              </w:rPr>
              <w:t xml:space="preserve">Gęstość </w:t>
            </w:r>
            <w:r>
              <w:rPr>
                <w:rFonts w:ascii="Arial" w:hAnsi="Arial" w:cs="Arial"/>
                <w:color w:val="000000"/>
                <w:sz w:val="18"/>
                <w:szCs w:val="18"/>
                <w:lang w:val="x-none"/>
              </w:rPr>
              <w:br/>
              <w:t xml:space="preserve">objętościowa w stanie </w:t>
            </w:r>
            <w:r>
              <w:rPr>
                <w:rFonts w:ascii="Arial" w:hAnsi="Arial" w:cs="Arial"/>
                <w:color w:val="000000"/>
                <w:sz w:val="18"/>
                <w:szCs w:val="18"/>
                <w:lang w:val="x-none"/>
              </w:rPr>
              <w:br/>
              <w:t xml:space="preserve">naturalnym </w:t>
            </w:r>
            <w:proofErr w:type="spellStart"/>
            <w:r>
              <w:rPr>
                <w:rFonts w:ascii="Arial" w:hAnsi="Arial" w:cs="Arial"/>
                <w:color w:val="000000"/>
                <w:sz w:val="18"/>
                <w:szCs w:val="18"/>
                <w:lang w:val="x-none"/>
              </w:rPr>
              <w:t>kN</w:t>
            </w:r>
            <w:proofErr w:type="spellEnd"/>
            <w:r>
              <w:rPr>
                <w:rFonts w:ascii="Arial" w:hAnsi="Arial" w:cs="Arial"/>
                <w:color w:val="000000"/>
                <w:sz w:val="18"/>
                <w:szCs w:val="18"/>
                <w:lang w:val="x-none"/>
              </w:rPr>
              <w:t>/m</w:t>
            </w:r>
            <w:r>
              <w:rPr>
                <w:rFonts w:ascii="Arial" w:hAnsi="Arial" w:cs="Arial"/>
                <w:color w:val="000000"/>
                <w:position w:val="4"/>
                <w:sz w:val="8"/>
                <w:szCs w:val="8"/>
                <w:lang w:val="x-none"/>
              </w:rPr>
              <w:t>3</w:t>
            </w:r>
          </w:p>
        </w:tc>
        <w:tc>
          <w:tcPr>
            <w:tcW w:w="1380"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0B2C0AF5" w14:textId="77777777" w:rsidR="000A3B2B" w:rsidRDefault="000A3B2B" w:rsidP="006904B4">
            <w:pPr>
              <w:autoSpaceDE w:val="0"/>
              <w:autoSpaceDN w:val="0"/>
              <w:adjustRightInd w:val="0"/>
              <w:spacing w:after="0" w:line="240" w:lineRule="auto"/>
              <w:jc w:val="center"/>
              <w:rPr>
                <w:rFonts w:ascii="Arial" w:hAnsi="Arial" w:cs="Arial"/>
                <w:color w:val="000000"/>
                <w:position w:val="4"/>
                <w:sz w:val="10"/>
                <w:szCs w:val="10"/>
                <w:lang w:val="x-none"/>
              </w:rPr>
            </w:pPr>
            <w:r>
              <w:rPr>
                <w:rFonts w:ascii="Arial" w:hAnsi="Arial" w:cs="Arial"/>
                <w:color w:val="000000"/>
                <w:sz w:val="18"/>
                <w:szCs w:val="18"/>
                <w:lang w:val="x-none"/>
              </w:rPr>
              <w:t>Przeciętne spulchnienie po odspojeniu w % od pierwotnej objętości</w:t>
            </w:r>
            <w:r>
              <w:rPr>
                <w:rFonts w:ascii="Arial" w:hAnsi="Arial" w:cs="Arial"/>
                <w:color w:val="000000"/>
                <w:position w:val="4"/>
                <w:sz w:val="10"/>
                <w:szCs w:val="10"/>
                <w:lang w:val="x-none"/>
              </w:rPr>
              <w:t>1)</w:t>
            </w:r>
          </w:p>
        </w:tc>
      </w:tr>
      <w:tr w:rsidR="000A3B2B" w14:paraId="072D25A5" w14:textId="77777777" w:rsidTr="006904B4">
        <w:trPr>
          <w:trHeight w:val="60"/>
          <w:tblCellSpacing w:w="0" w:type="dxa"/>
        </w:trPr>
        <w:tc>
          <w:tcPr>
            <w:tcW w:w="562" w:type="dxa"/>
            <w:tcBorders>
              <w:top w:val="single" w:sz="6" w:space="0" w:color="000000"/>
              <w:left w:val="single" w:sz="6" w:space="0" w:color="000000"/>
              <w:bottom w:val="nil"/>
              <w:right w:val="single" w:sz="6" w:space="0" w:color="000000"/>
            </w:tcBorders>
          </w:tcPr>
          <w:p w14:paraId="0FD60718"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1.</w:t>
            </w:r>
          </w:p>
        </w:tc>
        <w:tc>
          <w:tcPr>
            <w:tcW w:w="6106" w:type="dxa"/>
            <w:tcBorders>
              <w:top w:val="single" w:sz="6" w:space="0" w:color="000000"/>
              <w:left w:val="single" w:sz="6" w:space="0" w:color="000000"/>
              <w:bottom w:val="nil"/>
              <w:right w:val="single" w:sz="6" w:space="0" w:color="000000"/>
            </w:tcBorders>
          </w:tcPr>
          <w:p w14:paraId="20DAD386" w14:textId="77777777" w:rsidR="000A3B2B" w:rsidRDefault="000A3B2B" w:rsidP="006904B4">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Piasek suchy bez spoiwa</w:t>
            </w:r>
          </w:p>
        </w:tc>
        <w:tc>
          <w:tcPr>
            <w:tcW w:w="1380" w:type="dxa"/>
            <w:tcBorders>
              <w:top w:val="single" w:sz="6" w:space="0" w:color="000000"/>
              <w:left w:val="single" w:sz="6" w:space="0" w:color="000000"/>
              <w:bottom w:val="nil"/>
              <w:right w:val="single" w:sz="6" w:space="0" w:color="000000"/>
            </w:tcBorders>
            <w:vAlign w:val="center"/>
          </w:tcPr>
          <w:p w14:paraId="05F1912D"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15,7</w:t>
            </w:r>
          </w:p>
        </w:tc>
        <w:tc>
          <w:tcPr>
            <w:tcW w:w="1380" w:type="dxa"/>
            <w:tcBorders>
              <w:top w:val="single" w:sz="6" w:space="0" w:color="000000"/>
              <w:left w:val="single" w:sz="6" w:space="0" w:color="000000"/>
              <w:bottom w:val="nil"/>
              <w:right w:val="single" w:sz="6" w:space="0" w:color="000000"/>
            </w:tcBorders>
            <w:vAlign w:val="center"/>
          </w:tcPr>
          <w:p w14:paraId="1F5B287E"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5 do 15</w:t>
            </w:r>
          </w:p>
        </w:tc>
      </w:tr>
      <w:tr w:rsidR="000A3B2B" w14:paraId="71D84EC6" w14:textId="77777777" w:rsidTr="006904B4">
        <w:trPr>
          <w:trHeight w:val="30"/>
          <w:tblCellSpacing w:w="0" w:type="dxa"/>
        </w:trPr>
        <w:tc>
          <w:tcPr>
            <w:tcW w:w="562" w:type="dxa"/>
            <w:tcBorders>
              <w:top w:val="nil"/>
              <w:left w:val="single" w:sz="6" w:space="0" w:color="000000"/>
              <w:bottom w:val="nil"/>
              <w:right w:val="single" w:sz="6" w:space="0" w:color="000000"/>
            </w:tcBorders>
          </w:tcPr>
          <w:p w14:paraId="6A09E36F" w14:textId="77777777" w:rsidR="000A3B2B" w:rsidRDefault="000A3B2B" w:rsidP="006904B4">
            <w:pPr>
              <w:autoSpaceDE w:val="0"/>
              <w:autoSpaceDN w:val="0"/>
              <w:adjustRightInd w:val="0"/>
              <w:spacing w:after="0" w:line="240" w:lineRule="auto"/>
              <w:rPr>
                <w:rFonts w:ascii="Arial" w:hAnsi="Arial" w:cs="Arial"/>
                <w:sz w:val="18"/>
                <w:szCs w:val="18"/>
                <w:lang w:val="x-none"/>
              </w:rPr>
            </w:pPr>
          </w:p>
        </w:tc>
        <w:tc>
          <w:tcPr>
            <w:tcW w:w="6106" w:type="dxa"/>
            <w:tcBorders>
              <w:top w:val="nil"/>
              <w:left w:val="single" w:sz="6" w:space="0" w:color="000000"/>
              <w:bottom w:val="nil"/>
              <w:right w:val="single" w:sz="6" w:space="0" w:color="000000"/>
            </w:tcBorders>
          </w:tcPr>
          <w:p w14:paraId="186717E1" w14:textId="77777777" w:rsidR="000A3B2B" w:rsidRDefault="000A3B2B" w:rsidP="006904B4">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Gleba uprawna zaorana lub ogrodowa</w:t>
            </w:r>
          </w:p>
        </w:tc>
        <w:tc>
          <w:tcPr>
            <w:tcW w:w="1380" w:type="dxa"/>
            <w:tcBorders>
              <w:top w:val="nil"/>
              <w:left w:val="single" w:sz="6" w:space="0" w:color="000000"/>
              <w:bottom w:val="nil"/>
              <w:right w:val="single" w:sz="6" w:space="0" w:color="000000"/>
            </w:tcBorders>
            <w:vAlign w:val="center"/>
          </w:tcPr>
          <w:p w14:paraId="460BE48F"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11,8</w:t>
            </w:r>
          </w:p>
        </w:tc>
        <w:tc>
          <w:tcPr>
            <w:tcW w:w="1380" w:type="dxa"/>
            <w:tcBorders>
              <w:top w:val="nil"/>
              <w:left w:val="single" w:sz="6" w:space="0" w:color="000000"/>
              <w:bottom w:val="nil"/>
              <w:right w:val="single" w:sz="6" w:space="0" w:color="000000"/>
            </w:tcBorders>
            <w:vAlign w:val="center"/>
          </w:tcPr>
          <w:p w14:paraId="514C2946"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5 do 15</w:t>
            </w:r>
          </w:p>
        </w:tc>
      </w:tr>
      <w:tr w:rsidR="000A3B2B" w14:paraId="68AB4AFA" w14:textId="77777777" w:rsidTr="006904B4">
        <w:trPr>
          <w:trHeight w:val="60"/>
          <w:tblCellSpacing w:w="0" w:type="dxa"/>
        </w:trPr>
        <w:tc>
          <w:tcPr>
            <w:tcW w:w="562" w:type="dxa"/>
            <w:tcBorders>
              <w:top w:val="nil"/>
              <w:left w:val="single" w:sz="6" w:space="0" w:color="000000"/>
              <w:bottom w:val="nil"/>
              <w:right w:val="single" w:sz="6" w:space="0" w:color="000000"/>
            </w:tcBorders>
          </w:tcPr>
          <w:p w14:paraId="1252F4CC" w14:textId="77777777" w:rsidR="000A3B2B" w:rsidRDefault="000A3B2B" w:rsidP="006904B4">
            <w:pPr>
              <w:autoSpaceDE w:val="0"/>
              <w:autoSpaceDN w:val="0"/>
              <w:adjustRightInd w:val="0"/>
              <w:spacing w:after="0" w:line="240" w:lineRule="auto"/>
              <w:rPr>
                <w:rFonts w:ascii="Arial" w:hAnsi="Arial" w:cs="Arial"/>
                <w:sz w:val="18"/>
                <w:szCs w:val="18"/>
                <w:lang w:val="x-none"/>
              </w:rPr>
            </w:pPr>
          </w:p>
        </w:tc>
        <w:tc>
          <w:tcPr>
            <w:tcW w:w="6106" w:type="dxa"/>
            <w:tcBorders>
              <w:top w:val="nil"/>
              <w:left w:val="single" w:sz="6" w:space="0" w:color="000000"/>
              <w:bottom w:val="nil"/>
              <w:right w:val="single" w:sz="6" w:space="0" w:color="000000"/>
            </w:tcBorders>
          </w:tcPr>
          <w:p w14:paraId="1385FB1F" w14:textId="77777777" w:rsidR="000A3B2B" w:rsidRDefault="000A3B2B" w:rsidP="006904B4">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Torf bez korzeni</w:t>
            </w:r>
          </w:p>
        </w:tc>
        <w:tc>
          <w:tcPr>
            <w:tcW w:w="1380" w:type="dxa"/>
            <w:tcBorders>
              <w:top w:val="nil"/>
              <w:left w:val="single" w:sz="6" w:space="0" w:color="000000"/>
              <w:bottom w:val="nil"/>
              <w:right w:val="single" w:sz="6" w:space="0" w:color="000000"/>
            </w:tcBorders>
            <w:vAlign w:val="center"/>
          </w:tcPr>
          <w:p w14:paraId="15FF92E8"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9,8</w:t>
            </w:r>
          </w:p>
        </w:tc>
        <w:tc>
          <w:tcPr>
            <w:tcW w:w="1380" w:type="dxa"/>
            <w:tcBorders>
              <w:top w:val="nil"/>
              <w:left w:val="single" w:sz="6" w:space="0" w:color="000000"/>
              <w:bottom w:val="nil"/>
              <w:right w:val="single" w:sz="6" w:space="0" w:color="000000"/>
            </w:tcBorders>
            <w:vAlign w:val="center"/>
          </w:tcPr>
          <w:p w14:paraId="08B37C11"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20 do 30</w:t>
            </w:r>
          </w:p>
        </w:tc>
      </w:tr>
      <w:tr w:rsidR="000A3B2B" w14:paraId="56694873" w14:textId="77777777" w:rsidTr="006904B4">
        <w:trPr>
          <w:trHeight w:val="60"/>
          <w:tblCellSpacing w:w="0" w:type="dxa"/>
        </w:trPr>
        <w:tc>
          <w:tcPr>
            <w:tcW w:w="562" w:type="dxa"/>
            <w:tcBorders>
              <w:top w:val="nil"/>
              <w:left w:val="single" w:sz="6" w:space="0" w:color="000000"/>
              <w:bottom w:val="single" w:sz="6" w:space="0" w:color="000000"/>
              <w:right w:val="single" w:sz="6" w:space="0" w:color="000000"/>
            </w:tcBorders>
          </w:tcPr>
          <w:p w14:paraId="0E683882" w14:textId="77777777" w:rsidR="000A3B2B" w:rsidRDefault="000A3B2B" w:rsidP="006904B4">
            <w:pPr>
              <w:autoSpaceDE w:val="0"/>
              <w:autoSpaceDN w:val="0"/>
              <w:adjustRightInd w:val="0"/>
              <w:spacing w:after="0" w:line="240" w:lineRule="auto"/>
              <w:rPr>
                <w:rFonts w:ascii="Arial" w:hAnsi="Arial" w:cs="Arial"/>
                <w:sz w:val="18"/>
                <w:szCs w:val="18"/>
                <w:lang w:val="x-none"/>
              </w:rPr>
            </w:pPr>
          </w:p>
        </w:tc>
        <w:tc>
          <w:tcPr>
            <w:tcW w:w="6106" w:type="dxa"/>
            <w:tcBorders>
              <w:top w:val="nil"/>
              <w:left w:val="single" w:sz="6" w:space="0" w:color="000000"/>
              <w:bottom w:val="single" w:sz="6" w:space="0" w:color="000000"/>
              <w:right w:val="single" w:sz="6" w:space="0" w:color="000000"/>
            </w:tcBorders>
          </w:tcPr>
          <w:p w14:paraId="4F4C84FA" w14:textId="77777777" w:rsidR="000A3B2B" w:rsidRDefault="000A3B2B" w:rsidP="006904B4">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Popioły lotne niezleżałe</w:t>
            </w:r>
          </w:p>
        </w:tc>
        <w:tc>
          <w:tcPr>
            <w:tcW w:w="1380" w:type="dxa"/>
            <w:tcBorders>
              <w:top w:val="nil"/>
              <w:left w:val="single" w:sz="6" w:space="0" w:color="000000"/>
              <w:bottom w:val="single" w:sz="6" w:space="0" w:color="000000"/>
              <w:right w:val="single" w:sz="6" w:space="0" w:color="000000"/>
            </w:tcBorders>
            <w:vAlign w:val="center"/>
          </w:tcPr>
          <w:p w14:paraId="45965C09"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11,8</w:t>
            </w:r>
          </w:p>
        </w:tc>
        <w:tc>
          <w:tcPr>
            <w:tcW w:w="1380" w:type="dxa"/>
            <w:tcBorders>
              <w:top w:val="nil"/>
              <w:left w:val="single" w:sz="6" w:space="0" w:color="000000"/>
              <w:bottom w:val="single" w:sz="6" w:space="0" w:color="000000"/>
              <w:right w:val="single" w:sz="6" w:space="0" w:color="000000"/>
            </w:tcBorders>
            <w:vAlign w:val="center"/>
          </w:tcPr>
          <w:p w14:paraId="3455B0B8"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5 do 15</w:t>
            </w:r>
          </w:p>
        </w:tc>
      </w:tr>
      <w:tr w:rsidR="000A3B2B" w14:paraId="4F0EB65A" w14:textId="77777777" w:rsidTr="006904B4">
        <w:trPr>
          <w:trHeight w:val="60"/>
          <w:tblCellSpacing w:w="0" w:type="dxa"/>
        </w:trPr>
        <w:tc>
          <w:tcPr>
            <w:tcW w:w="562" w:type="dxa"/>
            <w:tcBorders>
              <w:top w:val="single" w:sz="6" w:space="0" w:color="000000"/>
              <w:left w:val="single" w:sz="6" w:space="0" w:color="000000"/>
              <w:bottom w:val="nil"/>
              <w:right w:val="single" w:sz="6" w:space="0" w:color="000000"/>
            </w:tcBorders>
          </w:tcPr>
          <w:p w14:paraId="200D5A2B"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2.</w:t>
            </w:r>
          </w:p>
        </w:tc>
        <w:tc>
          <w:tcPr>
            <w:tcW w:w="6106" w:type="dxa"/>
            <w:tcBorders>
              <w:top w:val="single" w:sz="6" w:space="0" w:color="000000"/>
              <w:left w:val="single" w:sz="6" w:space="0" w:color="000000"/>
              <w:bottom w:val="nil"/>
              <w:right w:val="single" w:sz="6" w:space="0" w:color="000000"/>
            </w:tcBorders>
          </w:tcPr>
          <w:p w14:paraId="3B48D6CC" w14:textId="77777777" w:rsidR="000A3B2B" w:rsidRDefault="000A3B2B" w:rsidP="006904B4">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Piasek wilgotny</w:t>
            </w:r>
          </w:p>
        </w:tc>
        <w:tc>
          <w:tcPr>
            <w:tcW w:w="1380" w:type="dxa"/>
            <w:tcBorders>
              <w:top w:val="single" w:sz="6" w:space="0" w:color="000000"/>
              <w:left w:val="single" w:sz="6" w:space="0" w:color="000000"/>
              <w:bottom w:val="nil"/>
              <w:right w:val="single" w:sz="6" w:space="0" w:color="000000"/>
            </w:tcBorders>
            <w:vAlign w:val="center"/>
          </w:tcPr>
          <w:p w14:paraId="74652C45"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16,7</w:t>
            </w:r>
          </w:p>
        </w:tc>
        <w:tc>
          <w:tcPr>
            <w:tcW w:w="1380" w:type="dxa"/>
            <w:tcBorders>
              <w:top w:val="single" w:sz="6" w:space="0" w:color="000000"/>
              <w:left w:val="single" w:sz="6" w:space="0" w:color="000000"/>
              <w:bottom w:val="nil"/>
              <w:right w:val="single" w:sz="6" w:space="0" w:color="000000"/>
            </w:tcBorders>
            <w:vAlign w:val="center"/>
          </w:tcPr>
          <w:p w14:paraId="68603CF0"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15 do 25</w:t>
            </w:r>
          </w:p>
        </w:tc>
      </w:tr>
      <w:tr w:rsidR="000A3B2B" w14:paraId="656D4728" w14:textId="77777777" w:rsidTr="006904B4">
        <w:trPr>
          <w:trHeight w:val="60"/>
          <w:tblCellSpacing w:w="0" w:type="dxa"/>
        </w:trPr>
        <w:tc>
          <w:tcPr>
            <w:tcW w:w="562" w:type="dxa"/>
            <w:tcBorders>
              <w:top w:val="nil"/>
              <w:left w:val="single" w:sz="6" w:space="0" w:color="000000"/>
              <w:bottom w:val="nil"/>
              <w:right w:val="single" w:sz="6" w:space="0" w:color="000000"/>
            </w:tcBorders>
          </w:tcPr>
          <w:p w14:paraId="02767B82" w14:textId="77777777" w:rsidR="000A3B2B" w:rsidRDefault="000A3B2B" w:rsidP="006904B4">
            <w:pPr>
              <w:autoSpaceDE w:val="0"/>
              <w:autoSpaceDN w:val="0"/>
              <w:adjustRightInd w:val="0"/>
              <w:spacing w:after="0" w:line="240" w:lineRule="auto"/>
              <w:rPr>
                <w:rFonts w:ascii="Arial" w:hAnsi="Arial" w:cs="Arial"/>
                <w:sz w:val="18"/>
                <w:szCs w:val="18"/>
                <w:lang w:val="x-none"/>
              </w:rPr>
            </w:pPr>
          </w:p>
        </w:tc>
        <w:tc>
          <w:tcPr>
            <w:tcW w:w="6106" w:type="dxa"/>
            <w:tcBorders>
              <w:top w:val="nil"/>
              <w:left w:val="single" w:sz="6" w:space="0" w:color="000000"/>
              <w:bottom w:val="nil"/>
              <w:right w:val="single" w:sz="6" w:space="0" w:color="000000"/>
            </w:tcBorders>
          </w:tcPr>
          <w:p w14:paraId="166CD16B" w14:textId="77777777" w:rsidR="000A3B2B" w:rsidRDefault="000A3B2B" w:rsidP="006904B4">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Piasek gliniasty, pył i lessy wilgotne, twardoplastyczne i plastyczne</w:t>
            </w:r>
          </w:p>
        </w:tc>
        <w:tc>
          <w:tcPr>
            <w:tcW w:w="1380" w:type="dxa"/>
            <w:tcBorders>
              <w:top w:val="nil"/>
              <w:left w:val="single" w:sz="6" w:space="0" w:color="000000"/>
              <w:bottom w:val="nil"/>
              <w:right w:val="single" w:sz="6" w:space="0" w:color="000000"/>
            </w:tcBorders>
            <w:vAlign w:val="center"/>
          </w:tcPr>
          <w:p w14:paraId="67AAA946"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17,7</w:t>
            </w:r>
          </w:p>
        </w:tc>
        <w:tc>
          <w:tcPr>
            <w:tcW w:w="1380" w:type="dxa"/>
            <w:tcBorders>
              <w:top w:val="nil"/>
              <w:left w:val="single" w:sz="6" w:space="0" w:color="000000"/>
              <w:bottom w:val="nil"/>
              <w:right w:val="single" w:sz="6" w:space="0" w:color="000000"/>
            </w:tcBorders>
            <w:vAlign w:val="center"/>
          </w:tcPr>
          <w:p w14:paraId="192CC424"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15 do 25</w:t>
            </w:r>
          </w:p>
        </w:tc>
      </w:tr>
      <w:tr w:rsidR="000A3B2B" w14:paraId="41854B34" w14:textId="77777777" w:rsidTr="006904B4">
        <w:trPr>
          <w:trHeight w:val="60"/>
          <w:tblCellSpacing w:w="0" w:type="dxa"/>
        </w:trPr>
        <w:tc>
          <w:tcPr>
            <w:tcW w:w="562" w:type="dxa"/>
            <w:tcBorders>
              <w:top w:val="nil"/>
              <w:left w:val="single" w:sz="6" w:space="0" w:color="000000"/>
              <w:bottom w:val="nil"/>
              <w:right w:val="single" w:sz="6" w:space="0" w:color="000000"/>
            </w:tcBorders>
          </w:tcPr>
          <w:p w14:paraId="2C4FBE92" w14:textId="77777777" w:rsidR="000A3B2B" w:rsidRDefault="000A3B2B" w:rsidP="006904B4">
            <w:pPr>
              <w:autoSpaceDE w:val="0"/>
              <w:autoSpaceDN w:val="0"/>
              <w:adjustRightInd w:val="0"/>
              <w:spacing w:after="0" w:line="240" w:lineRule="auto"/>
              <w:rPr>
                <w:rFonts w:ascii="Arial" w:hAnsi="Arial" w:cs="Arial"/>
                <w:sz w:val="18"/>
                <w:szCs w:val="18"/>
                <w:lang w:val="x-none"/>
              </w:rPr>
            </w:pPr>
          </w:p>
        </w:tc>
        <w:tc>
          <w:tcPr>
            <w:tcW w:w="6106" w:type="dxa"/>
            <w:tcBorders>
              <w:top w:val="nil"/>
              <w:left w:val="single" w:sz="6" w:space="0" w:color="000000"/>
              <w:bottom w:val="nil"/>
              <w:right w:val="single" w:sz="6" w:space="0" w:color="000000"/>
            </w:tcBorders>
          </w:tcPr>
          <w:p w14:paraId="0A4EB63E" w14:textId="77777777" w:rsidR="000A3B2B" w:rsidRDefault="000A3B2B" w:rsidP="006904B4">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Gleba uprawna z darniną lub korzeniami grub. do 30 mm</w:t>
            </w:r>
          </w:p>
        </w:tc>
        <w:tc>
          <w:tcPr>
            <w:tcW w:w="1380" w:type="dxa"/>
            <w:tcBorders>
              <w:top w:val="nil"/>
              <w:left w:val="single" w:sz="6" w:space="0" w:color="000000"/>
              <w:bottom w:val="nil"/>
              <w:right w:val="single" w:sz="6" w:space="0" w:color="000000"/>
            </w:tcBorders>
            <w:vAlign w:val="center"/>
          </w:tcPr>
          <w:p w14:paraId="08B21BC7"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12,7</w:t>
            </w:r>
          </w:p>
        </w:tc>
        <w:tc>
          <w:tcPr>
            <w:tcW w:w="1380" w:type="dxa"/>
            <w:tcBorders>
              <w:top w:val="nil"/>
              <w:left w:val="single" w:sz="6" w:space="0" w:color="000000"/>
              <w:bottom w:val="nil"/>
              <w:right w:val="single" w:sz="6" w:space="0" w:color="000000"/>
            </w:tcBorders>
            <w:vAlign w:val="center"/>
          </w:tcPr>
          <w:p w14:paraId="33E05E10"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15 do 25</w:t>
            </w:r>
          </w:p>
        </w:tc>
      </w:tr>
      <w:tr w:rsidR="000A3B2B" w14:paraId="260172A3" w14:textId="77777777" w:rsidTr="006904B4">
        <w:trPr>
          <w:trHeight w:val="60"/>
          <w:tblCellSpacing w:w="0" w:type="dxa"/>
        </w:trPr>
        <w:tc>
          <w:tcPr>
            <w:tcW w:w="562" w:type="dxa"/>
            <w:tcBorders>
              <w:top w:val="nil"/>
              <w:left w:val="single" w:sz="6" w:space="0" w:color="000000"/>
              <w:bottom w:val="nil"/>
              <w:right w:val="single" w:sz="6" w:space="0" w:color="000000"/>
            </w:tcBorders>
          </w:tcPr>
          <w:p w14:paraId="31A2D6FE" w14:textId="77777777" w:rsidR="000A3B2B" w:rsidRDefault="000A3B2B" w:rsidP="006904B4">
            <w:pPr>
              <w:autoSpaceDE w:val="0"/>
              <w:autoSpaceDN w:val="0"/>
              <w:adjustRightInd w:val="0"/>
              <w:spacing w:after="0" w:line="240" w:lineRule="auto"/>
              <w:rPr>
                <w:rFonts w:ascii="Arial" w:hAnsi="Arial" w:cs="Arial"/>
                <w:sz w:val="18"/>
                <w:szCs w:val="18"/>
                <w:lang w:val="x-none"/>
              </w:rPr>
            </w:pPr>
          </w:p>
        </w:tc>
        <w:tc>
          <w:tcPr>
            <w:tcW w:w="6106" w:type="dxa"/>
            <w:tcBorders>
              <w:top w:val="nil"/>
              <w:left w:val="single" w:sz="6" w:space="0" w:color="000000"/>
              <w:bottom w:val="nil"/>
              <w:right w:val="single" w:sz="6" w:space="0" w:color="000000"/>
            </w:tcBorders>
          </w:tcPr>
          <w:p w14:paraId="4F1EA497" w14:textId="77777777" w:rsidR="000A3B2B" w:rsidRDefault="000A3B2B" w:rsidP="006904B4">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Torf z korzeniami grub. do 30 mm</w:t>
            </w:r>
          </w:p>
        </w:tc>
        <w:tc>
          <w:tcPr>
            <w:tcW w:w="1380" w:type="dxa"/>
            <w:tcBorders>
              <w:top w:val="nil"/>
              <w:left w:val="single" w:sz="6" w:space="0" w:color="000000"/>
              <w:bottom w:val="nil"/>
              <w:right w:val="single" w:sz="6" w:space="0" w:color="000000"/>
            </w:tcBorders>
            <w:vAlign w:val="center"/>
          </w:tcPr>
          <w:p w14:paraId="659D1849"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10,8</w:t>
            </w:r>
          </w:p>
        </w:tc>
        <w:tc>
          <w:tcPr>
            <w:tcW w:w="1380" w:type="dxa"/>
            <w:tcBorders>
              <w:top w:val="nil"/>
              <w:left w:val="single" w:sz="6" w:space="0" w:color="000000"/>
              <w:bottom w:val="nil"/>
              <w:right w:val="single" w:sz="6" w:space="0" w:color="000000"/>
            </w:tcBorders>
            <w:vAlign w:val="center"/>
          </w:tcPr>
          <w:p w14:paraId="56B983C8"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20 do 30</w:t>
            </w:r>
          </w:p>
        </w:tc>
      </w:tr>
      <w:tr w:rsidR="000A3B2B" w14:paraId="0A3785E9" w14:textId="77777777" w:rsidTr="006904B4">
        <w:trPr>
          <w:trHeight w:val="60"/>
          <w:tblCellSpacing w:w="0" w:type="dxa"/>
        </w:trPr>
        <w:tc>
          <w:tcPr>
            <w:tcW w:w="562" w:type="dxa"/>
            <w:tcBorders>
              <w:top w:val="nil"/>
              <w:left w:val="single" w:sz="6" w:space="0" w:color="000000"/>
              <w:bottom w:val="nil"/>
              <w:right w:val="single" w:sz="6" w:space="0" w:color="000000"/>
            </w:tcBorders>
          </w:tcPr>
          <w:p w14:paraId="2097AF08" w14:textId="77777777" w:rsidR="000A3B2B" w:rsidRDefault="000A3B2B" w:rsidP="006904B4">
            <w:pPr>
              <w:autoSpaceDE w:val="0"/>
              <w:autoSpaceDN w:val="0"/>
              <w:adjustRightInd w:val="0"/>
              <w:spacing w:after="0" w:line="240" w:lineRule="auto"/>
              <w:rPr>
                <w:rFonts w:ascii="Arial" w:hAnsi="Arial" w:cs="Arial"/>
                <w:sz w:val="18"/>
                <w:szCs w:val="18"/>
                <w:lang w:val="x-none"/>
              </w:rPr>
            </w:pPr>
          </w:p>
        </w:tc>
        <w:tc>
          <w:tcPr>
            <w:tcW w:w="6106" w:type="dxa"/>
            <w:tcBorders>
              <w:top w:val="nil"/>
              <w:left w:val="single" w:sz="6" w:space="0" w:color="000000"/>
              <w:bottom w:val="nil"/>
              <w:right w:val="single" w:sz="6" w:space="0" w:color="000000"/>
            </w:tcBorders>
          </w:tcPr>
          <w:p w14:paraId="76229B3F" w14:textId="77777777" w:rsidR="000A3B2B" w:rsidRDefault="000A3B2B" w:rsidP="006904B4">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Nasyp z piasku oraz piasku gliniastego z gruzem, tłuczniem lub odpadkami drewna</w:t>
            </w:r>
          </w:p>
        </w:tc>
        <w:tc>
          <w:tcPr>
            <w:tcW w:w="1380" w:type="dxa"/>
            <w:tcBorders>
              <w:top w:val="nil"/>
              <w:left w:val="single" w:sz="6" w:space="0" w:color="000000"/>
              <w:bottom w:val="nil"/>
              <w:right w:val="single" w:sz="6" w:space="0" w:color="000000"/>
            </w:tcBorders>
            <w:vAlign w:val="center"/>
          </w:tcPr>
          <w:p w14:paraId="28AABBD2"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16,7</w:t>
            </w:r>
          </w:p>
        </w:tc>
        <w:tc>
          <w:tcPr>
            <w:tcW w:w="1380" w:type="dxa"/>
            <w:tcBorders>
              <w:top w:val="nil"/>
              <w:left w:val="single" w:sz="6" w:space="0" w:color="000000"/>
              <w:bottom w:val="nil"/>
              <w:right w:val="single" w:sz="6" w:space="0" w:color="000000"/>
            </w:tcBorders>
            <w:vAlign w:val="center"/>
          </w:tcPr>
          <w:p w14:paraId="38F42B8D"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15 do 25</w:t>
            </w:r>
          </w:p>
        </w:tc>
      </w:tr>
      <w:tr w:rsidR="000A3B2B" w14:paraId="5B6507FC" w14:textId="77777777" w:rsidTr="006904B4">
        <w:trPr>
          <w:trHeight w:val="60"/>
          <w:tblCellSpacing w:w="0" w:type="dxa"/>
        </w:trPr>
        <w:tc>
          <w:tcPr>
            <w:tcW w:w="562" w:type="dxa"/>
            <w:tcBorders>
              <w:top w:val="nil"/>
              <w:left w:val="single" w:sz="6" w:space="0" w:color="000000"/>
              <w:bottom w:val="single" w:sz="6" w:space="0" w:color="000000"/>
              <w:right w:val="single" w:sz="6" w:space="0" w:color="000000"/>
            </w:tcBorders>
          </w:tcPr>
          <w:p w14:paraId="0F18EC47" w14:textId="77777777" w:rsidR="000A3B2B" w:rsidRDefault="000A3B2B" w:rsidP="006904B4">
            <w:pPr>
              <w:autoSpaceDE w:val="0"/>
              <w:autoSpaceDN w:val="0"/>
              <w:adjustRightInd w:val="0"/>
              <w:spacing w:after="0" w:line="240" w:lineRule="auto"/>
              <w:rPr>
                <w:rFonts w:ascii="Arial" w:hAnsi="Arial" w:cs="Arial"/>
                <w:sz w:val="18"/>
                <w:szCs w:val="18"/>
                <w:lang w:val="x-none"/>
              </w:rPr>
            </w:pPr>
          </w:p>
        </w:tc>
        <w:tc>
          <w:tcPr>
            <w:tcW w:w="6106" w:type="dxa"/>
            <w:tcBorders>
              <w:top w:val="nil"/>
              <w:left w:val="single" w:sz="6" w:space="0" w:color="000000"/>
              <w:bottom w:val="single" w:sz="6" w:space="0" w:color="000000"/>
              <w:right w:val="single" w:sz="6" w:space="0" w:color="000000"/>
            </w:tcBorders>
          </w:tcPr>
          <w:p w14:paraId="4A2D0ED9" w14:textId="77777777" w:rsidR="000A3B2B" w:rsidRDefault="000A3B2B" w:rsidP="006904B4">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 xml:space="preserve">Żwir bez spoiwa lub </w:t>
            </w:r>
            <w:proofErr w:type="spellStart"/>
            <w:r>
              <w:rPr>
                <w:rFonts w:ascii="Arial" w:hAnsi="Arial" w:cs="Arial"/>
                <w:color w:val="000000"/>
                <w:sz w:val="18"/>
                <w:szCs w:val="18"/>
                <w:lang w:val="x-none"/>
              </w:rPr>
              <w:t>małospoisty</w:t>
            </w:r>
            <w:proofErr w:type="spellEnd"/>
          </w:p>
        </w:tc>
        <w:tc>
          <w:tcPr>
            <w:tcW w:w="1380" w:type="dxa"/>
            <w:tcBorders>
              <w:top w:val="nil"/>
              <w:left w:val="single" w:sz="6" w:space="0" w:color="000000"/>
              <w:bottom w:val="single" w:sz="6" w:space="0" w:color="000000"/>
              <w:right w:val="single" w:sz="6" w:space="0" w:color="000000"/>
            </w:tcBorders>
            <w:vAlign w:val="center"/>
          </w:tcPr>
          <w:p w14:paraId="3D9F775E"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16,7</w:t>
            </w:r>
          </w:p>
        </w:tc>
        <w:tc>
          <w:tcPr>
            <w:tcW w:w="1380" w:type="dxa"/>
            <w:tcBorders>
              <w:top w:val="nil"/>
              <w:left w:val="single" w:sz="6" w:space="0" w:color="000000"/>
              <w:bottom w:val="single" w:sz="6" w:space="0" w:color="000000"/>
              <w:right w:val="single" w:sz="6" w:space="0" w:color="000000"/>
            </w:tcBorders>
            <w:vAlign w:val="center"/>
          </w:tcPr>
          <w:p w14:paraId="29B33781"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15 do 25</w:t>
            </w:r>
          </w:p>
        </w:tc>
      </w:tr>
      <w:tr w:rsidR="000A3B2B" w14:paraId="0D3A24C0" w14:textId="77777777" w:rsidTr="006904B4">
        <w:trPr>
          <w:trHeight w:val="60"/>
          <w:tblCellSpacing w:w="0" w:type="dxa"/>
        </w:trPr>
        <w:tc>
          <w:tcPr>
            <w:tcW w:w="562" w:type="dxa"/>
            <w:tcBorders>
              <w:top w:val="single" w:sz="6" w:space="0" w:color="000000"/>
              <w:left w:val="single" w:sz="6" w:space="0" w:color="000000"/>
              <w:bottom w:val="nil"/>
              <w:right w:val="single" w:sz="6" w:space="0" w:color="000000"/>
            </w:tcBorders>
          </w:tcPr>
          <w:p w14:paraId="4DF02A42"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3.</w:t>
            </w:r>
          </w:p>
        </w:tc>
        <w:tc>
          <w:tcPr>
            <w:tcW w:w="6106" w:type="dxa"/>
            <w:tcBorders>
              <w:top w:val="single" w:sz="6" w:space="0" w:color="000000"/>
              <w:left w:val="single" w:sz="6" w:space="0" w:color="000000"/>
              <w:bottom w:val="nil"/>
              <w:right w:val="single" w:sz="6" w:space="0" w:color="000000"/>
            </w:tcBorders>
          </w:tcPr>
          <w:p w14:paraId="11920C68" w14:textId="77777777" w:rsidR="000A3B2B" w:rsidRDefault="000A3B2B" w:rsidP="006904B4">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 xml:space="preserve">Piasek gliniasty, pył i lessy </w:t>
            </w:r>
            <w:proofErr w:type="spellStart"/>
            <w:r>
              <w:rPr>
                <w:rFonts w:ascii="Arial" w:hAnsi="Arial" w:cs="Arial"/>
                <w:color w:val="000000"/>
                <w:sz w:val="18"/>
                <w:szCs w:val="18"/>
                <w:lang w:val="x-none"/>
              </w:rPr>
              <w:t>małowilgotne</w:t>
            </w:r>
            <w:proofErr w:type="spellEnd"/>
            <w:r>
              <w:rPr>
                <w:rFonts w:ascii="Arial" w:hAnsi="Arial" w:cs="Arial"/>
                <w:color w:val="000000"/>
                <w:sz w:val="18"/>
                <w:szCs w:val="18"/>
                <w:lang w:val="x-none"/>
              </w:rPr>
              <w:t>, półzwarte</w:t>
            </w:r>
          </w:p>
        </w:tc>
        <w:tc>
          <w:tcPr>
            <w:tcW w:w="1380" w:type="dxa"/>
            <w:tcBorders>
              <w:top w:val="single" w:sz="6" w:space="0" w:color="000000"/>
              <w:left w:val="single" w:sz="6" w:space="0" w:color="000000"/>
              <w:bottom w:val="nil"/>
              <w:right w:val="single" w:sz="6" w:space="0" w:color="000000"/>
            </w:tcBorders>
            <w:vAlign w:val="center"/>
          </w:tcPr>
          <w:p w14:paraId="2AF2B0DF"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18,6</w:t>
            </w:r>
          </w:p>
        </w:tc>
        <w:tc>
          <w:tcPr>
            <w:tcW w:w="1380" w:type="dxa"/>
            <w:tcBorders>
              <w:top w:val="single" w:sz="6" w:space="0" w:color="000000"/>
              <w:left w:val="single" w:sz="6" w:space="0" w:color="000000"/>
              <w:bottom w:val="nil"/>
              <w:right w:val="single" w:sz="6" w:space="0" w:color="000000"/>
            </w:tcBorders>
            <w:vAlign w:val="center"/>
          </w:tcPr>
          <w:p w14:paraId="3B78329A"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20 do 30</w:t>
            </w:r>
          </w:p>
        </w:tc>
      </w:tr>
      <w:tr w:rsidR="000A3B2B" w14:paraId="6654CCE6" w14:textId="77777777" w:rsidTr="006904B4">
        <w:trPr>
          <w:trHeight w:val="60"/>
          <w:tblCellSpacing w:w="0" w:type="dxa"/>
        </w:trPr>
        <w:tc>
          <w:tcPr>
            <w:tcW w:w="562" w:type="dxa"/>
            <w:tcBorders>
              <w:top w:val="nil"/>
              <w:left w:val="single" w:sz="6" w:space="0" w:color="000000"/>
              <w:bottom w:val="nil"/>
              <w:right w:val="single" w:sz="6" w:space="0" w:color="000000"/>
            </w:tcBorders>
          </w:tcPr>
          <w:p w14:paraId="0AA09552" w14:textId="77777777" w:rsidR="000A3B2B" w:rsidRDefault="000A3B2B" w:rsidP="006904B4">
            <w:pPr>
              <w:autoSpaceDE w:val="0"/>
              <w:autoSpaceDN w:val="0"/>
              <w:adjustRightInd w:val="0"/>
              <w:spacing w:after="0" w:line="240" w:lineRule="auto"/>
              <w:rPr>
                <w:rFonts w:ascii="Arial" w:hAnsi="Arial" w:cs="Arial"/>
                <w:sz w:val="18"/>
                <w:szCs w:val="18"/>
                <w:lang w:val="x-none"/>
              </w:rPr>
            </w:pPr>
          </w:p>
        </w:tc>
        <w:tc>
          <w:tcPr>
            <w:tcW w:w="6106" w:type="dxa"/>
            <w:tcBorders>
              <w:top w:val="nil"/>
              <w:left w:val="single" w:sz="6" w:space="0" w:color="000000"/>
              <w:bottom w:val="nil"/>
              <w:right w:val="single" w:sz="6" w:space="0" w:color="000000"/>
            </w:tcBorders>
          </w:tcPr>
          <w:p w14:paraId="4D8D2DC6" w14:textId="77777777" w:rsidR="000A3B2B" w:rsidRDefault="000A3B2B" w:rsidP="006904B4">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Gleba uprawna z korzeniami grub. ponad 30 mm</w:t>
            </w:r>
          </w:p>
        </w:tc>
        <w:tc>
          <w:tcPr>
            <w:tcW w:w="1380" w:type="dxa"/>
            <w:tcBorders>
              <w:top w:val="nil"/>
              <w:left w:val="single" w:sz="6" w:space="0" w:color="000000"/>
              <w:bottom w:val="nil"/>
              <w:right w:val="single" w:sz="6" w:space="0" w:color="000000"/>
            </w:tcBorders>
            <w:vAlign w:val="center"/>
          </w:tcPr>
          <w:p w14:paraId="3C21ED9B"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13,7</w:t>
            </w:r>
          </w:p>
        </w:tc>
        <w:tc>
          <w:tcPr>
            <w:tcW w:w="1380" w:type="dxa"/>
            <w:tcBorders>
              <w:top w:val="nil"/>
              <w:left w:val="single" w:sz="6" w:space="0" w:color="000000"/>
              <w:bottom w:val="nil"/>
              <w:right w:val="single" w:sz="6" w:space="0" w:color="000000"/>
            </w:tcBorders>
            <w:vAlign w:val="center"/>
          </w:tcPr>
          <w:p w14:paraId="7CA523A1"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20 do 30</w:t>
            </w:r>
          </w:p>
        </w:tc>
      </w:tr>
      <w:tr w:rsidR="000A3B2B" w14:paraId="40B6D4B6" w14:textId="77777777" w:rsidTr="006904B4">
        <w:trPr>
          <w:trHeight w:val="60"/>
          <w:tblCellSpacing w:w="0" w:type="dxa"/>
        </w:trPr>
        <w:tc>
          <w:tcPr>
            <w:tcW w:w="562" w:type="dxa"/>
            <w:tcBorders>
              <w:top w:val="nil"/>
              <w:left w:val="single" w:sz="6" w:space="0" w:color="000000"/>
              <w:bottom w:val="nil"/>
              <w:right w:val="single" w:sz="6" w:space="0" w:color="000000"/>
            </w:tcBorders>
          </w:tcPr>
          <w:p w14:paraId="5E4585AB" w14:textId="77777777" w:rsidR="000A3B2B" w:rsidRDefault="000A3B2B" w:rsidP="006904B4">
            <w:pPr>
              <w:autoSpaceDE w:val="0"/>
              <w:autoSpaceDN w:val="0"/>
              <w:adjustRightInd w:val="0"/>
              <w:spacing w:after="0" w:line="240" w:lineRule="auto"/>
              <w:rPr>
                <w:rFonts w:ascii="Arial" w:hAnsi="Arial" w:cs="Arial"/>
                <w:sz w:val="18"/>
                <w:szCs w:val="18"/>
                <w:lang w:val="x-none"/>
              </w:rPr>
            </w:pPr>
          </w:p>
        </w:tc>
        <w:tc>
          <w:tcPr>
            <w:tcW w:w="6106" w:type="dxa"/>
            <w:tcBorders>
              <w:top w:val="nil"/>
              <w:left w:val="single" w:sz="6" w:space="0" w:color="000000"/>
              <w:bottom w:val="nil"/>
              <w:right w:val="single" w:sz="6" w:space="0" w:color="000000"/>
            </w:tcBorders>
          </w:tcPr>
          <w:p w14:paraId="2C25E377" w14:textId="77777777" w:rsidR="000A3B2B" w:rsidRDefault="000A3B2B" w:rsidP="006904B4">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Torf z korzeniami grub. ponad 30 mm</w:t>
            </w:r>
          </w:p>
        </w:tc>
        <w:tc>
          <w:tcPr>
            <w:tcW w:w="1380" w:type="dxa"/>
            <w:tcBorders>
              <w:top w:val="nil"/>
              <w:left w:val="single" w:sz="6" w:space="0" w:color="000000"/>
              <w:bottom w:val="nil"/>
              <w:right w:val="single" w:sz="6" w:space="0" w:color="000000"/>
            </w:tcBorders>
            <w:vAlign w:val="center"/>
          </w:tcPr>
          <w:p w14:paraId="449406C0"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13,7</w:t>
            </w:r>
          </w:p>
        </w:tc>
        <w:tc>
          <w:tcPr>
            <w:tcW w:w="1380" w:type="dxa"/>
            <w:tcBorders>
              <w:top w:val="nil"/>
              <w:left w:val="single" w:sz="6" w:space="0" w:color="000000"/>
              <w:bottom w:val="nil"/>
              <w:right w:val="single" w:sz="6" w:space="0" w:color="000000"/>
            </w:tcBorders>
            <w:vAlign w:val="center"/>
          </w:tcPr>
          <w:p w14:paraId="7DD3C844"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20 do 30</w:t>
            </w:r>
          </w:p>
        </w:tc>
      </w:tr>
      <w:tr w:rsidR="000A3B2B" w14:paraId="13DF5866" w14:textId="77777777" w:rsidTr="006904B4">
        <w:trPr>
          <w:trHeight w:val="60"/>
          <w:tblCellSpacing w:w="0" w:type="dxa"/>
        </w:trPr>
        <w:tc>
          <w:tcPr>
            <w:tcW w:w="562" w:type="dxa"/>
            <w:tcBorders>
              <w:top w:val="nil"/>
              <w:left w:val="single" w:sz="6" w:space="0" w:color="000000"/>
              <w:bottom w:val="nil"/>
              <w:right w:val="single" w:sz="6" w:space="0" w:color="000000"/>
            </w:tcBorders>
          </w:tcPr>
          <w:p w14:paraId="410B1545" w14:textId="77777777" w:rsidR="000A3B2B" w:rsidRDefault="000A3B2B" w:rsidP="006904B4">
            <w:pPr>
              <w:autoSpaceDE w:val="0"/>
              <w:autoSpaceDN w:val="0"/>
              <w:adjustRightInd w:val="0"/>
              <w:spacing w:after="0" w:line="240" w:lineRule="auto"/>
              <w:rPr>
                <w:rFonts w:ascii="Arial" w:hAnsi="Arial" w:cs="Arial"/>
                <w:sz w:val="18"/>
                <w:szCs w:val="18"/>
                <w:lang w:val="x-none"/>
              </w:rPr>
            </w:pPr>
          </w:p>
        </w:tc>
        <w:tc>
          <w:tcPr>
            <w:tcW w:w="6106" w:type="dxa"/>
            <w:tcBorders>
              <w:top w:val="nil"/>
              <w:left w:val="single" w:sz="6" w:space="0" w:color="000000"/>
              <w:bottom w:val="nil"/>
              <w:right w:val="single" w:sz="6" w:space="0" w:color="000000"/>
            </w:tcBorders>
          </w:tcPr>
          <w:p w14:paraId="613BD906" w14:textId="77777777" w:rsidR="000A3B2B" w:rsidRDefault="000A3B2B" w:rsidP="006904B4">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Nasyp zleżały z piasku gliniastego, pyłu i lessu z gruzem, tłuczniem lub odpadkami drewna</w:t>
            </w:r>
          </w:p>
        </w:tc>
        <w:tc>
          <w:tcPr>
            <w:tcW w:w="1380" w:type="dxa"/>
            <w:tcBorders>
              <w:top w:val="nil"/>
              <w:left w:val="single" w:sz="6" w:space="0" w:color="000000"/>
              <w:bottom w:val="nil"/>
              <w:right w:val="single" w:sz="6" w:space="0" w:color="000000"/>
            </w:tcBorders>
            <w:vAlign w:val="center"/>
          </w:tcPr>
          <w:p w14:paraId="500196AB"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18,6</w:t>
            </w:r>
          </w:p>
        </w:tc>
        <w:tc>
          <w:tcPr>
            <w:tcW w:w="1380" w:type="dxa"/>
            <w:tcBorders>
              <w:top w:val="nil"/>
              <w:left w:val="single" w:sz="6" w:space="0" w:color="000000"/>
              <w:bottom w:val="nil"/>
              <w:right w:val="single" w:sz="6" w:space="0" w:color="000000"/>
            </w:tcBorders>
            <w:vAlign w:val="center"/>
          </w:tcPr>
          <w:p w14:paraId="67FDEFA4"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20 do 30</w:t>
            </w:r>
          </w:p>
        </w:tc>
      </w:tr>
      <w:tr w:rsidR="000A3B2B" w14:paraId="182D3805" w14:textId="77777777" w:rsidTr="006904B4">
        <w:trPr>
          <w:trHeight w:val="60"/>
          <w:tblCellSpacing w:w="0" w:type="dxa"/>
        </w:trPr>
        <w:tc>
          <w:tcPr>
            <w:tcW w:w="562" w:type="dxa"/>
            <w:tcBorders>
              <w:top w:val="nil"/>
              <w:left w:val="single" w:sz="6" w:space="0" w:color="000000"/>
              <w:bottom w:val="nil"/>
              <w:right w:val="single" w:sz="6" w:space="0" w:color="000000"/>
            </w:tcBorders>
          </w:tcPr>
          <w:p w14:paraId="7A4EF128" w14:textId="77777777" w:rsidR="000A3B2B" w:rsidRDefault="000A3B2B" w:rsidP="006904B4">
            <w:pPr>
              <w:autoSpaceDE w:val="0"/>
              <w:autoSpaceDN w:val="0"/>
              <w:adjustRightInd w:val="0"/>
              <w:spacing w:after="0" w:line="240" w:lineRule="auto"/>
              <w:rPr>
                <w:rFonts w:ascii="Arial" w:hAnsi="Arial" w:cs="Arial"/>
                <w:sz w:val="18"/>
                <w:szCs w:val="18"/>
                <w:lang w:val="x-none"/>
              </w:rPr>
            </w:pPr>
          </w:p>
        </w:tc>
        <w:tc>
          <w:tcPr>
            <w:tcW w:w="6106" w:type="dxa"/>
            <w:tcBorders>
              <w:top w:val="nil"/>
              <w:left w:val="single" w:sz="6" w:space="0" w:color="000000"/>
              <w:bottom w:val="nil"/>
              <w:right w:val="single" w:sz="6" w:space="0" w:color="000000"/>
            </w:tcBorders>
          </w:tcPr>
          <w:p w14:paraId="41867CE6" w14:textId="77777777" w:rsidR="000A3B2B" w:rsidRDefault="000A3B2B" w:rsidP="006904B4">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Rumosz skalny zwietrzelinowy z otoczakami o wym. do 40 mm</w:t>
            </w:r>
          </w:p>
        </w:tc>
        <w:tc>
          <w:tcPr>
            <w:tcW w:w="1380" w:type="dxa"/>
            <w:tcBorders>
              <w:top w:val="nil"/>
              <w:left w:val="single" w:sz="6" w:space="0" w:color="000000"/>
              <w:bottom w:val="nil"/>
              <w:right w:val="single" w:sz="6" w:space="0" w:color="000000"/>
            </w:tcBorders>
            <w:vAlign w:val="center"/>
          </w:tcPr>
          <w:p w14:paraId="5F7256A6"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17,7</w:t>
            </w:r>
          </w:p>
        </w:tc>
        <w:tc>
          <w:tcPr>
            <w:tcW w:w="1380" w:type="dxa"/>
            <w:tcBorders>
              <w:top w:val="nil"/>
              <w:left w:val="single" w:sz="6" w:space="0" w:color="000000"/>
              <w:bottom w:val="nil"/>
              <w:right w:val="single" w:sz="6" w:space="0" w:color="000000"/>
            </w:tcBorders>
            <w:vAlign w:val="center"/>
          </w:tcPr>
          <w:p w14:paraId="40730901"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20 do 30</w:t>
            </w:r>
          </w:p>
        </w:tc>
      </w:tr>
      <w:tr w:rsidR="000A3B2B" w14:paraId="7521369C" w14:textId="77777777" w:rsidTr="006904B4">
        <w:trPr>
          <w:trHeight w:val="60"/>
          <w:tblCellSpacing w:w="0" w:type="dxa"/>
        </w:trPr>
        <w:tc>
          <w:tcPr>
            <w:tcW w:w="562" w:type="dxa"/>
            <w:tcBorders>
              <w:top w:val="nil"/>
              <w:left w:val="single" w:sz="6" w:space="0" w:color="000000"/>
              <w:bottom w:val="nil"/>
              <w:right w:val="single" w:sz="6" w:space="0" w:color="000000"/>
            </w:tcBorders>
          </w:tcPr>
          <w:p w14:paraId="19CAC454" w14:textId="77777777" w:rsidR="000A3B2B" w:rsidRDefault="000A3B2B" w:rsidP="006904B4">
            <w:pPr>
              <w:autoSpaceDE w:val="0"/>
              <w:autoSpaceDN w:val="0"/>
              <w:adjustRightInd w:val="0"/>
              <w:spacing w:after="0" w:line="240" w:lineRule="auto"/>
              <w:rPr>
                <w:rFonts w:ascii="Arial" w:hAnsi="Arial" w:cs="Arial"/>
                <w:sz w:val="18"/>
                <w:szCs w:val="18"/>
                <w:lang w:val="x-none"/>
              </w:rPr>
            </w:pPr>
          </w:p>
        </w:tc>
        <w:tc>
          <w:tcPr>
            <w:tcW w:w="6106" w:type="dxa"/>
            <w:tcBorders>
              <w:top w:val="nil"/>
              <w:left w:val="single" w:sz="6" w:space="0" w:color="000000"/>
              <w:bottom w:val="nil"/>
              <w:right w:val="single" w:sz="6" w:space="0" w:color="000000"/>
            </w:tcBorders>
          </w:tcPr>
          <w:p w14:paraId="12DA79F3" w14:textId="77777777" w:rsidR="000A3B2B" w:rsidRDefault="000A3B2B" w:rsidP="006904B4">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Glina, glina ciężka i iły wilgotne, twardoplastyczne i plastyczne, bez głazów</w:t>
            </w:r>
          </w:p>
        </w:tc>
        <w:tc>
          <w:tcPr>
            <w:tcW w:w="1380" w:type="dxa"/>
            <w:tcBorders>
              <w:top w:val="nil"/>
              <w:left w:val="single" w:sz="6" w:space="0" w:color="000000"/>
              <w:bottom w:val="nil"/>
              <w:right w:val="single" w:sz="6" w:space="0" w:color="000000"/>
            </w:tcBorders>
            <w:vAlign w:val="center"/>
          </w:tcPr>
          <w:p w14:paraId="628511ED"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19,6</w:t>
            </w:r>
          </w:p>
        </w:tc>
        <w:tc>
          <w:tcPr>
            <w:tcW w:w="1380" w:type="dxa"/>
            <w:tcBorders>
              <w:top w:val="nil"/>
              <w:left w:val="single" w:sz="6" w:space="0" w:color="000000"/>
              <w:bottom w:val="nil"/>
              <w:right w:val="single" w:sz="6" w:space="0" w:color="000000"/>
            </w:tcBorders>
            <w:vAlign w:val="center"/>
          </w:tcPr>
          <w:p w14:paraId="260DA936"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20 do 30</w:t>
            </w:r>
          </w:p>
        </w:tc>
      </w:tr>
      <w:tr w:rsidR="000A3B2B" w14:paraId="12C4285D" w14:textId="77777777" w:rsidTr="006904B4">
        <w:trPr>
          <w:trHeight w:val="60"/>
          <w:tblCellSpacing w:w="0" w:type="dxa"/>
        </w:trPr>
        <w:tc>
          <w:tcPr>
            <w:tcW w:w="562" w:type="dxa"/>
            <w:tcBorders>
              <w:top w:val="nil"/>
              <w:left w:val="single" w:sz="6" w:space="0" w:color="000000"/>
              <w:bottom w:val="nil"/>
              <w:right w:val="single" w:sz="6" w:space="0" w:color="000000"/>
            </w:tcBorders>
          </w:tcPr>
          <w:p w14:paraId="1638EF24" w14:textId="77777777" w:rsidR="000A3B2B" w:rsidRDefault="000A3B2B" w:rsidP="006904B4">
            <w:pPr>
              <w:autoSpaceDE w:val="0"/>
              <w:autoSpaceDN w:val="0"/>
              <w:adjustRightInd w:val="0"/>
              <w:spacing w:after="0" w:line="240" w:lineRule="auto"/>
              <w:rPr>
                <w:rFonts w:ascii="Arial" w:hAnsi="Arial" w:cs="Arial"/>
                <w:sz w:val="18"/>
                <w:szCs w:val="18"/>
                <w:lang w:val="x-none"/>
              </w:rPr>
            </w:pPr>
          </w:p>
        </w:tc>
        <w:tc>
          <w:tcPr>
            <w:tcW w:w="6106" w:type="dxa"/>
            <w:tcBorders>
              <w:top w:val="nil"/>
              <w:left w:val="single" w:sz="6" w:space="0" w:color="000000"/>
              <w:bottom w:val="nil"/>
              <w:right w:val="single" w:sz="6" w:space="0" w:color="000000"/>
            </w:tcBorders>
          </w:tcPr>
          <w:p w14:paraId="213B0448" w14:textId="77777777" w:rsidR="000A3B2B" w:rsidRDefault="000A3B2B" w:rsidP="006904B4">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Mady i namuły gliniaste rzeczne</w:t>
            </w:r>
          </w:p>
        </w:tc>
        <w:tc>
          <w:tcPr>
            <w:tcW w:w="1380" w:type="dxa"/>
            <w:tcBorders>
              <w:top w:val="nil"/>
              <w:left w:val="single" w:sz="6" w:space="0" w:color="000000"/>
              <w:bottom w:val="nil"/>
              <w:right w:val="single" w:sz="6" w:space="0" w:color="000000"/>
            </w:tcBorders>
            <w:vAlign w:val="center"/>
          </w:tcPr>
          <w:p w14:paraId="70200D94"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17,719,6</w:t>
            </w:r>
          </w:p>
        </w:tc>
        <w:tc>
          <w:tcPr>
            <w:tcW w:w="1380" w:type="dxa"/>
            <w:tcBorders>
              <w:top w:val="nil"/>
              <w:left w:val="single" w:sz="6" w:space="0" w:color="000000"/>
              <w:bottom w:val="nil"/>
              <w:right w:val="single" w:sz="6" w:space="0" w:color="000000"/>
            </w:tcBorders>
            <w:vAlign w:val="center"/>
          </w:tcPr>
          <w:p w14:paraId="18B5D54A"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20 do 30</w:t>
            </w:r>
          </w:p>
        </w:tc>
      </w:tr>
      <w:tr w:rsidR="000A3B2B" w14:paraId="515D34FE" w14:textId="77777777" w:rsidTr="006904B4">
        <w:trPr>
          <w:trHeight w:val="60"/>
          <w:tblCellSpacing w:w="0" w:type="dxa"/>
        </w:trPr>
        <w:tc>
          <w:tcPr>
            <w:tcW w:w="562" w:type="dxa"/>
            <w:tcBorders>
              <w:top w:val="nil"/>
              <w:left w:val="single" w:sz="6" w:space="0" w:color="000000"/>
              <w:bottom w:val="single" w:sz="6" w:space="0" w:color="000000"/>
              <w:right w:val="single" w:sz="6" w:space="0" w:color="000000"/>
            </w:tcBorders>
          </w:tcPr>
          <w:p w14:paraId="0A4D3F45" w14:textId="77777777" w:rsidR="000A3B2B" w:rsidRDefault="000A3B2B" w:rsidP="006904B4">
            <w:pPr>
              <w:autoSpaceDE w:val="0"/>
              <w:autoSpaceDN w:val="0"/>
              <w:adjustRightInd w:val="0"/>
              <w:spacing w:after="0" w:line="240" w:lineRule="auto"/>
              <w:rPr>
                <w:rFonts w:ascii="Arial" w:hAnsi="Arial" w:cs="Arial"/>
                <w:sz w:val="18"/>
                <w:szCs w:val="18"/>
                <w:lang w:val="x-none"/>
              </w:rPr>
            </w:pPr>
          </w:p>
        </w:tc>
        <w:tc>
          <w:tcPr>
            <w:tcW w:w="6106" w:type="dxa"/>
            <w:tcBorders>
              <w:top w:val="nil"/>
              <w:left w:val="single" w:sz="6" w:space="0" w:color="000000"/>
              <w:bottom w:val="single" w:sz="6" w:space="0" w:color="000000"/>
              <w:right w:val="single" w:sz="6" w:space="0" w:color="000000"/>
            </w:tcBorders>
          </w:tcPr>
          <w:p w14:paraId="5080F87B" w14:textId="77777777" w:rsidR="000A3B2B" w:rsidRDefault="000A3B2B" w:rsidP="006904B4">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Popioły lotne zleżałe</w:t>
            </w:r>
          </w:p>
        </w:tc>
        <w:tc>
          <w:tcPr>
            <w:tcW w:w="1380" w:type="dxa"/>
            <w:tcBorders>
              <w:top w:val="nil"/>
              <w:left w:val="single" w:sz="6" w:space="0" w:color="000000"/>
              <w:bottom w:val="single" w:sz="6" w:space="0" w:color="000000"/>
              <w:right w:val="single" w:sz="6" w:space="0" w:color="000000"/>
            </w:tcBorders>
            <w:vAlign w:val="center"/>
          </w:tcPr>
          <w:p w14:paraId="7EC96C48"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17,719,6</w:t>
            </w:r>
          </w:p>
        </w:tc>
        <w:tc>
          <w:tcPr>
            <w:tcW w:w="1380" w:type="dxa"/>
            <w:tcBorders>
              <w:top w:val="nil"/>
              <w:left w:val="single" w:sz="6" w:space="0" w:color="000000"/>
              <w:bottom w:val="single" w:sz="6" w:space="0" w:color="000000"/>
              <w:right w:val="single" w:sz="6" w:space="0" w:color="000000"/>
            </w:tcBorders>
            <w:vAlign w:val="center"/>
          </w:tcPr>
          <w:p w14:paraId="104C120D"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20 do 30</w:t>
            </w:r>
          </w:p>
        </w:tc>
      </w:tr>
      <w:tr w:rsidR="000A3B2B" w14:paraId="5D882C1F" w14:textId="77777777" w:rsidTr="006904B4">
        <w:trPr>
          <w:trHeight w:val="240"/>
          <w:tblCellSpacing w:w="0" w:type="dxa"/>
        </w:trPr>
        <w:tc>
          <w:tcPr>
            <w:tcW w:w="562" w:type="dxa"/>
            <w:tcBorders>
              <w:top w:val="single" w:sz="6" w:space="0" w:color="000000"/>
              <w:left w:val="single" w:sz="6" w:space="0" w:color="000000"/>
              <w:bottom w:val="nil"/>
              <w:right w:val="single" w:sz="6" w:space="0" w:color="000000"/>
            </w:tcBorders>
          </w:tcPr>
          <w:p w14:paraId="7FC6DDEB"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4.</w:t>
            </w:r>
          </w:p>
        </w:tc>
        <w:tc>
          <w:tcPr>
            <w:tcW w:w="6106" w:type="dxa"/>
            <w:tcBorders>
              <w:top w:val="single" w:sz="6" w:space="0" w:color="000000"/>
              <w:left w:val="single" w:sz="6" w:space="0" w:color="000000"/>
              <w:bottom w:val="nil"/>
              <w:right w:val="single" w:sz="6" w:space="0" w:color="000000"/>
            </w:tcBorders>
          </w:tcPr>
          <w:p w14:paraId="0B3C84EC" w14:textId="77777777" w:rsidR="000A3B2B" w:rsidRDefault="000A3B2B" w:rsidP="006904B4">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Less suchy zwarty</w:t>
            </w:r>
          </w:p>
        </w:tc>
        <w:tc>
          <w:tcPr>
            <w:tcW w:w="1380" w:type="dxa"/>
            <w:tcBorders>
              <w:top w:val="single" w:sz="6" w:space="0" w:color="000000"/>
              <w:left w:val="single" w:sz="6" w:space="0" w:color="000000"/>
              <w:bottom w:val="nil"/>
              <w:right w:val="single" w:sz="6" w:space="0" w:color="000000"/>
            </w:tcBorders>
            <w:vAlign w:val="center"/>
          </w:tcPr>
          <w:p w14:paraId="2BC411A6"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18,6</w:t>
            </w:r>
          </w:p>
        </w:tc>
        <w:tc>
          <w:tcPr>
            <w:tcW w:w="1380" w:type="dxa"/>
            <w:tcBorders>
              <w:top w:val="single" w:sz="6" w:space="0" w:color="000000"/>
              <w:left w:val="single" w:sz="6" w:space="0" w:color="000000"/>
              <w:bottom w:val="nil"/>
              <w:right w:val="single" w:sz="6" w:space="0" w:color="000000"/>
            </w:tcBorders>
            <w:vAlign w:val="center"/>
          </w:tcPr>
          <w:p w14:paraId="1BE5E4D3"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25 do 35</w:t>
            </w:r>
          </w:p>
        </w:tc>
      </w:tr>
      <w:tr w:rsidR="000A3B2B" w14:paraId="5BCA6612" w14:textId="77777777" w:rsidTr="006904B4">
        <w:trPr>
          <w:trHeight w:val="60"/>
          <w:tblCellSpacing w:w="0" w:type="dxa"/>
        </w:trPr>
        <w:tc>
          <w:tcPr>
            <w:tcW w:w="562" w:type="dxa"/>
            <w:tcBorders>
              <w:top w:val="nil"/>
              <w:left w:val="single" w:sz="6" w:space="0" w:color="000000"/>
              <w:bottom w:val="nil"/>
              <w:right w:val="single" w:sz="6" w:space="0" w:color="000000"/>
            </w:tcBorders>
          </w:tcPr>
          <w:p w14:paraId="4C118750" w14:textId="77777777" w:rsidR="000A3B2B" w:rsidRDefault="000A3B2B" w:rsidP="006904B4">
            <w:pPr>
              <w:autoSpaceDE w:val="0"/>
              <w:autoSpaceDN w:val="0"/>
              <w:adjustRightInd w:val="0"/>
              <w:spacing w:after="0" w:line="240" w:lineRule="auto"/>
              <w:rPr>
                <w:rFonts w:ascii="Arial" w:hAnsi="Arial" w:cs="Arial"/>
                <w:sz w:val="18"/>
                <w:szCs w:val="18"/>
                <w:lang w:val="x-none"/>
              </w:rPr>
            </w:pPr>
          </w:p>
        </w:tc>
        <w:tc>
          <w:tcPr>
            <w:tcW w:w="6106" w:type="dxa"/>
            <w:tcBorders>
              <w:top w:val="nil"/>
              <w:left w:val="single" w:sz="6" w:space="0" w:color="000000"/>
              <w:bottom w:val="nil"/>
              <w:right w:val="single" w:sz="6" w:space="0" w:color="000000"/>
            </w:tcBorders>
          </w:tcPr>
          <w:p w14:paraId="5780F109" w14:textId="77777777" w:rsidR="000A3B2B" w:rsidRDefault="000A3B2B" w:rsidP="006904B4">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Nasyp zleżały z gliny lub iłu z gruzem, tłuczniem i odpadkami drewna lub głazami o masie do 25 kg, stanowiącymi do 10% objętości gruntu</w:t>
            </w:r>
          </w:p>
        </w:tc>
        <w:tc>
          <w:tcPr>
            <w:tcW w:w="1380" w:type="dxa"/>
            <w:tcBorders>
              <w:top w:val="nil"/>
              <w:left w:val="single" w:sz="6" w:space="0" w:color="000000"/>
              <w:bottom w:val="nil"/>
              <w:right w:val="single" w:sz="6" w:space="0" w:color="000000"/>
            </w:tcBorders>
            <w:vAlign w:val="center"/>
          </w:tcPr>
          <w:p w14:paraId="08ABD278"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19,6</w:t>
            </w:r>
          </w:p>
        </w:tc>
        <w:tc>
          <w:tcPr>
            <w:tcW w:w="1380" w:type="dxa"/>
            <w:tcBorders>
              <w:top w:val="nil"/>
              <w:left w:val="single" w:sz="6" w:space="0" w:color="000000"/>
              <w:bottom w:val="nil"/>
              <w:right w:val="single" w:sz="6" w:space="0" w:color="000000"/>
            </w:tcBorders>
            <w:vAlign w:val="center"/>
          </w:tcPr>
          <w:p w14:paraId="42B60429"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25 do 35</w:t>
            </w:r>
          </w:p>
        </w:tc>
      </w:tr>
      <w:tr w:rsidR="000A3B2B" w14:paraId="70501203" w14:textId="77777777" w:rsidTr="006904B4">
        <w:trPr>
          <w:trHeight w:val="60"/>
          <w:tblCellSpacing w:w="0" w:type="dxa"/>
        </w:trPr>
        <w:tc>
          <w:tcPr>
            <w:tcW w:w="562" w:type="dxa"/>
            <w:tcBorders>
              <w:top w:val="nil"/>
              <w:left w:val="single" w:sz="6" w:space="0" w:color="000000"/>
              <w:bottom w:val="nil"/>
              <w:right w:val="single" w:sz="6" w:space="0" w:color="000000"/>
            </w:tcBorders>
          </w:tcPr>
          <w:p w14:paraId="7EBA9DD2" w14:textId="77777777" w:rsidR="000A3B2B" w:rsidRDefault="000A3B2B" w:rsidP="006904B4">
            <w:pPr>
              <w:autoSpaceDE w:val="0"/>
              <w:autoSpaceDN w:val="0"/>
              <w:adjustRightInd w:val="0"/>
              <w:spacing w:after="0" w:line="240" w:lineRule="auto"/>
              <w:rPr>
                <w:rFonts w:ascii="Arial" w:hAnsi="Arial" w:cs="Arial"/>
                <w:sz w:val="18"/>
                <w:szCs w:val="18"/>
                <w:lang w:val="x-none"/>
              </w:rPr>
            </w:pPr>
          </w:p>
        </w:tc>
        <w:tc>
          <w:tcPr>
            <w:tcW w:w="6106" w:type="dxa"/>
            <w:tcBorders>
              <w:top w:val="nil"/>
              <w:left w:val="single" w:sz="6" w:space="0" w:color="000000"/>
              <w:bottom w:val="nil"/>
              <w:right w:val="single" w:sz="6" w:space="0" w:color="000000"/>
            </w:tcBorders>
          </w:tcPr>
          <w:p w14:paraId="584586F6" w14:textId="77777777" w:rsidR="000A3B2B" w:rsidRDefault="000A3B2B" w:rsidP="006904B4">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 xml:space="preserve">Glina, glina ciężka i iły </w:t>
            </w:r>
            <w:proofErr w:type="spellStart"/>
            <w:r>
              <w:rPr>
                <w:rFonts w:ascii="Arial" w:hAnsi="Arial" w:cs="Arial"/>
                <w:color w:val="000000"/>
                <w:sz w:val="18"/>
                <w:szCs w:val="18"/>
                <w:lang w:val="x-none"/>
              </w:rPr>
              <w:t>małowilgotne</w:t>
            </w:r>
            <w:proofErr w:type="spellEnd"/>
            <w:r>
              <w:rPr>
                <w:rFonts w:ascii="Arial" w:hAnsi="Arial" w:cs="Arial"/>
                <w:color w:val="000000"/>
                <w:sz w:val="18"/>
                <w:szCs w:val="18"/>
                <w:lang w:val="x-none"/>
              </w:rPr>
              <w:t>, półzwarte i zwarte</w:t>
            </w:r>
          </w:p>
        </w:tc>
        <w:tc>
          <w:tcPr>
            <w:tcW w:w="1380" w:type="dxa"/>
            <w:tcBorders>
              <w:top w:val="nil"/>
              <w:left w:val="single" w:sz="6" w:space="0" w:color="000000"/>
              <w:bottom w:val="nil"/>
              <w:right w:val="single" w:sz="6" w:space="0" w:color="000000"/>
            </w:tcBorders>
            <w:vAlign w:val="center"/>
          </w:tcPr>
          <w:p w14:paraId="7E576700"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20,6</w:t>
            </w:r>
          </w:p>
        </w:tc>
        <w:tc>
          <w:tcPr>
            <w:tcW w:w="1380" w:type="dxa"/>
            <w:tcBorders>
              <w:top w:val="nil"/>
              <w:left w:val="single" w:sz="6" w:space="0" w:color="000000"/>
              <w:bottom w:val="nil"/>
              <w:right w:val="single" w:sz="6" w:space="0" w:color="000000"/>
            </w:tcBorders>
            <w:vAlign w:val="center"/>
          </w:tcPr>
          <w:p w14:paraId="7A1770D2"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25 do 35</w:t>
            </w:r>
          </w:p>
        </w:tc>
      </w:tr>
      <w:tr w:rsidR="000A3B2B" w14:paraId="6B08B94B" w14:textId="77777777" w:rsidTr="006904B4">
        <w:trPr>
          <w:trHeight w:val="435"/>
          <w:tblCellSpacing w:w="0" w:type="dxa"/>
        </w:trPr>
        <w:tc>
          <w:tcPr>
            <w:tcW w:w="562" w:type="dxa"/>
            <w:tcBorders>
              <w:top w:val="nil"/>
              <w:left w:val="single" w:sz="6" w:space="0" w:color="000000"/>
              <w:bottom w:val="nil"/>
              <w:right w:val="single" w:sz="6" w:space="0" w:color="000000"/>
            </w:tcBorders>
          </w:tcPr>
          <w:p w14:paraId="4ACFE251" w14:textId="77777777" w:rsidR="000A3B2B" w:rsidRDefault="000A3B2B" w:rsidP="006904B4">
            <w:pPr>
              <w:autoSpaceDE w:val="0"/>
              <w:autoSpaceDN w:val="0"/>
              <w:adjustRightInd w:val="0"/>
              <w:spacing w:after="0" w:line="240" w:lineRule="auto"/>
              <w:rPr>
                <w:rFonts w:ascii="Arial" w:hAnsi="Arial" w:cs="Arial"/>
                <w:sz w:val="18"/>
                <w:szCs w:val="18"/>
                <w:lang w:val="x-none"/>
              </w:rPr>
            </w:pPr>
          </w:p>
        </w:tc>
        <w:tc>
          <w:tcPr>
            <w:tcW w:w="6106" w:type="dxa"/>
            <w:tcBorders>
              <w:top w:val="nil"/>
              <w:left w:val="single" w:sz="6" w:space="0" w:color="000000"/>
              <w:bottom w:val="nil"/>
              <w:right w:val="single" w:sz="6" w:space="0" w:color="000000"/>
            </w:tcBorders>
          </w:tcPr>
          <w:p w14:paraId="242A268D" w14:textId="77777777" w:rsidR="000A3B2B" w:rsidRDefault="000A3B2B" w:rsidP="006904B4">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Glina zwałowa z głazami do 50 kg stanowiącymi do 10% objętości gruntu</w:t>
            </w:r>
          </w:p>
        </w:tc>
        <w:tc>
          <w:tcPr>
            <w:tcW w:w="1380" w:type="dxa"/>
            <w:tcBorders>
              <w:top w:val="nil"/>
              <w:left w:val="single" w:sz="6" w:space="0" w:color="000000"/>
              <w:bottom w:val="nil"/>
              <w:right w:val="single" w:sz="6" w:space="0" w:color="000000"/>
            </w:tcBorders>
            <w:vAlign w:val="center"/>
          </w:tcPr>
          <w:p w14:paraId="0015C2FF"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20,6</w:t>
            </w:r>
          </w:p>
        </w:tc>
        <w:tc>
          <w:tcPr>
            <w:tcW w:w="1380" w:type="dxa"/>
            <w:tcBorders>
              <w:top w:val="nil"/>
              <w:left w:val="single" w:sz="6" w:space="0" w:color="000000"/>
              <w:bottom w:val="nil"/>
              <w:right w:val="single" w:sz="6" w:space="0" w:color="000000"/>
            </w:tcBorders>
            <w:vAlign w:val="center"/>
          </w:tcPr>
          <w:p w14:paraId="5DE666F5"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25 do 35</w:t>
            </w:r>
          </w:p>
        </w:tc>
      </w:tr>
      <w:tr w:rsidR="000A3B2B" w14:paraId="2675524F" w14:textId="77777777" w:rsidTr="006904B4">
        <w:trPr>
          <w:trHeight w:val="60"/>
          <w:tblCellSpacing w:w="0" w:type="dxa"/>
        </w:trPr>
        <w:tc>
          <w:tcPr>
            <w:tcW w:w="562" w:type="dxa"/>
            <w:tcBorders>
              <w:top w:val="nil"/>
              <w:left w:val="single" w:sz="6" w:space="0" w:color="000000"/>
              <w:bottom w:val="nil"/>
              <w:right w:val="single" w:sz="6" w:space="0" w:color="000000"/>
            </w:tcBorders>
          </w:tcPr>
          <w:p w14:paraId="48B95620" w14:textId="77777777" w:rsidR="000A3B2B" w:rsidRDefault="000A3B2B" w:rsidP="006904B4">
            <w:pPr>
              <w:autoSpaceDE w:val="0"/>
              <w:autoSpaceDN w:val="0"/>
              <w:adjustRightInd w:val="0"/>
              <w:spacing w:after="0" w:line="240" w:lineRule="auto"/>
              <w:rPr>
                <w:rFonts w:ascii="Arial" w:hAnsi="Arial" w:cs="Arial"/>
                <w:sz w:val="18"/>
                <w:szCs w:val="18"/>
                <w:lang w:val="x-none"/>
              </w:rPr>
            </w:pPr>
          </w:p>
        </w:tc>
        <w:tc>
          <w:tcPr>
            <w:tcW w:w="6106" w:type="dxa"/>
            <w:tcBorders>
              <w:top w:val="nil"/>
              <w:left w:val="single" w:sz="6" w:space="0" w:color="000000"/>
              <w:bottom w:val="nil"/>
              <w:right w:val="single" w:sz="6" w:space="0" w:color="000000"/>
            </w:tcBorders>
          </w:tcPr>
          <w:p w14:paraId="0929E86A" w14:textId="77777777" w:rsidR="000A3B2B" w:rsidRDefault="000A3B2B" w:rsidP="006904B4">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Gruz ceglany i rumowisko budowlane z blokami do 50 kg</w:t>
            </w:r>
          </w:p>
        </w:tc>
        <w:tc>
          <w:tcPr>
            <w:tcW w:w="1380" w:type="dxa"/>
            <w:tcBorders>
              <w:top w:val="nil"/>
              <w:left w:val="single" w:sz="6" w:space="0" w:color="000000"/>
              <w:bottom w:val="nil"/>
              <w:right w:val="single" w:sz="6" w:space="0" w:color="000000"/>
            </w:tcBorders>
            <w:vAlign w:val="center"/>
          </w:tcPr>
          <w:p w14:paraId="27C5D55E"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16,7</w:t>
            </w:r>
          </w:p>
        </w:tc>
        <w:tc>
          <w:tcPr>
            <w:tcW w:w="1380" w:type="dxa"/>
            <w:tcBorders>
              <w:top w:val="nil"/>
              <w:left w:val="single" w:sz="6" w:space="0" w:color="000000"/>
              <w:bottom w:val="nil"/>
              <w:right w:val="single" w:sz="6" w:space="0" w:color="000000"/>
            </w:tcBorders>
            <w:vAlign w:val="center"/>
          </w:tcPr>
          <w:p w14:paraId="6B974D17"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25 do 35</w:t>
            </w:r>
          </w:p>
        </w:tc>
      </w:tr>
      <w:tr w:rsidR="000A3B2B" w14:paraId="386FFB71" w14:textId="77777777" w:rsidTr="006904B4">
        <w:trPr>
          <w:trHeight w:val="60"/>
          <w:tblCellSpacing w:w="0" w:type="dxa"/>
        </w:trPr>
        <w:tc>
          <w:tcPr>
            <w:tcW w:w="562" w:type="dxa"/>
            <w:tcBorders>
              <w:top w:val="nil"/>
              <w:left w:val="single" w:sz="6" w:space="0" w:color="000000"/>
              <w:bottom w:val="nil"/>
              <w:right w:val="single" w:sz="6" w:space="0" w:color="000000"/>
            </w:tcBorders>
          </w:tcPr>
          <w:p w14:paraId="7DE36A5A" w14:textId="77777777" w:rsidR="000A3B2B" w:rsidRDefault="000A3B2B" w:rsidP="006904B4">
            <w:pPr>
              <w:autoSpaceDE w:val="0"/>
              <w:autoSpaceDN w:val="0"/>
              <w:adjustRightInd w:val="0"/>
              <w:spacing w:after="0" w:line="240" w:lineRule="auto"/>
              <w:rPr>
                <w:rFonts w:ascii="Arial" w:hAnsi="Arial" w:cs="Arial"/>
                <w:sz w:val="18"/>
                <w:szCs w:val="18"/>
                <w:lang w:val="x-none"/>
              </w:rPr>
            </w:pPr>
          </w:p>
        </w:tc>
        <w:tc>
          <w:tcPr>
            <w:tcW w:w="6106" w:type="dxa"/>
            <w:tcBorders>
              <w:top w:val="nil"/>
              <w:left w:val="single" w:sz="6" w:space="0" w:color="000000"/>
              <w:bottom w:val="nil"/>
              <w:right w:val="single" w:sz="6" w:space="0" w:color="000000"/>
            </w:tcBorders>
          </w:tcPr>
          <w:p w14:paraId="1873EDBE" w14:textId="77777777" w:rsidR="000A3B2B" w:rsidRDefault="000A3B2B" w:rsidP="006904B4">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Iłołupek miękki</w:t>
            </w:r>
          </w:p>
        </w:tc>
        <w:tc>
          <w:tcPr>
            <w:tcW w:w="1380" w:type="dxa"/>
            <w:tcBorders>
              <w:top w:val="nil"/>
              <w:left w:val="single" w:sz="6" w:space="0" w:color="000000"/>
              <w:bottom w:val="nil"/>
              <w:right w:val="single" w:sz="6" w:space="0" w:color="000000"/>
            </w:tcBorders>
            <w:vAlign w:val="center"/>
          </w:tcPr>
          <w:p w14:paraId="32744CFE"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19,6</w:t>
            </w:r>
          </w:p>
        </w:tc>
        <w:tc>
          <w:tcPr>
            <w:tcW w:w="1380" w:type="dxa"/>
            <w:tcBorders>
              <w:top w:val="nil"/>
              <w:left w:val="single" w:sz="6" w:space="0" w:color="000000"/>
              <w:bottom w:val="nil"/>
              <w:right w:val="single" w:sz="6" w:space="0" w:color="000000"/>
            </w:tcBorders>
            <w:vAlign w:val="center"/>
          </w:tcPr>
          <w:p w14:paraId="32BA843E"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25 do 35</w:t>
            </w:r>
          </w:p>
        </w:tc>
      </w:tr>
      <w:tr w:rsidR="000A3B2B" w14:paraId="710BED4A" w14:textId="77777777" w:rsidTr="006904B4">
        <w:trPr>
          <w:trHeight w:val="60"/>
          <w:tblCellSpacing w:w="0" w:type="dxa"/>
        </w:trPr>
        <w:tc>
          <w:tcPr>
            <w:tcW w:w="562" w:type="dxa"/>
            <w:tcBorders>
              <w:top w:val="nil"/>
              <w:left w:val="single" w:sz="6" w:space="0" w:color="000000"/>
              <w:bottom w:val="single" w:sz="6" w:space="0" w:color="000000"/>
              <w:right w:val="single" w:sz="6" w:space="0" w:color="000000"/>
            </w:tcBorders>
          </w:tcPr>
          <w:p w14:paraId="3B0DEB61" w14:textId="77777777" w:rsidR="000A3B2B" w:rsidRDefault="000A3B2B" w:rsidP="006904B4">
            <w:pPr>
              <w:autoSpaceDE w:val="0"/>
              <w:autoSpaceDN w:val="0"/>
              <w:adjustRightInd w:val="0"/>
              <w:spacing w:after="0" w:line="240" w:lineRule="auto"/>
              <w:rPr>
                <w:rFonts w:ascii="Arial" w:hAnsi="Arial" w:cs="Arial"/>
                <w:sz w:val="18"/>
                <w:szCs w:val="18"/>
                <w:lang w:val="x-none"/>
              </w:rPr>
            </w:pPr>
          </w:p>
        </w:tc>
        <w:tc>
          <w:tcPr>
            <w:tcW w:w="6106" w:type="dxa"/>
            <w:tcBorders>
              <w:top w:val="nil"/>
              <w:left w:val="single" w:sz="6" w:space="0" w:color="000000"/>
              <w:bottom w:val="single" w:sz="6" w:space="0" w:color="000000"/>
              <w:right w:val="single" w:sz="6" w:space="0" w:color="000000"/>
            </w:tcBorders>
          </w:tcPr>
          <w:p w14:paraId="200BAD1A" w14:textId="77777777" w:rsidR="000A3B2B" w:rsidRDefault="000A3B2B" w:rsidP="006904B4">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Grube otoczaki lub rumosz o wymiarach do 90 mm lub z głazami o masie do 10 kg</w:t>
            </w:r>
          </w:p>
        </w:tc>
        <w:tc>
          <w:tcPr>
            <w:tcW w:w="1380" w:type="dxa"/>
            <w:tcBorders>
              <w:top w:val="nil"/>
              <w:left w:val="single" w:sz="6" w:space="0" w:color="000000"/>
              <w:bottom w:val="single" w:sz="6" w:space="0" w:color="000000"/>
              <w:right w:val="single" w:sz="6" w:space="0" w:color="000000"/>
            </w:tcBorders>
            <w:vAlign w:val="center"/>
          </w:tcPr>
          <w:p w14:paraId="7AFC6F25"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19,6</w:t>
            </w:r>
          </w:p>
        </w:tc>
        <w:tc>
          <w:tcPr>
            <w:tcW w:w="1380" w:type="dxa"/>
            <w:tcBorders>
              <w:top w:val="nil"/>
              <w:left w:val="single" w:sz="6" w:space="0" w:color="000000"/>
              <w:bottom w:val="single" w:sz="6" w:space="0" w:color="000000"/>
              <w:right w:val="single" w:sz="6" w:space="0" w:color="000000"/>
            </w:tcBorders>
            <w:vAlign w:val="center"/>
          </w:tcPr>
          <w:p w14:paraId="4140E131"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25 do 35</w:t>
            </w:r>
          </w:p>
        </w:tc>
      </w:tr>
      <w:tr w:rsidR="000A3B2B" w14:paraId="77360868" w14:textId="77777777" w:rsidTr="006904B4">
        <w:trPr>
          <w:trHeight w:val="60"/>
          <w:tblCellSpacing w:w="0" w:type="dxa"/>
        </w:trPr>
        <w:tc>
          <w:tcPr>
            <w:tcW w:w="562" w:type="dxa"/>
            <w:tcBorders>
              <w:top w:val="single" w:sz="6" w:space="0" w:color="000000"/>
              <w:left w:val="single" w:sz="6" w:space="0" w:color="000000"/>
              <w:bottom w:val="nil"/>
              <w:right w:val="single" w:sz="6" w:space="0" w:color="000000"/>
            </w:tcBorders>
          </w:tcPr>
          <w:p w14:paraId="719B1D93"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5.</w:t>
            </w:r>
          </w:p>
        </w:tc>
        <w:tc>
          <w:tcPr>
            <w:tcW w:w="6106" w:type="dxa"/>
            <w:tcBorders>
              <w:top w:val="single" w:sz="6" w:space="0" w:color="000000"/>
              <w:left w:val="single" w:sz="6" w:space="0" w:color="000000"/>
              <w:bottom w:val="nil"/>
              <w:right w:val="single" w:sz="6" w:space="0" w:color="000000"/>
            </w:tcBorders>
          </w:tcPr>
          <w:p w14:paraId="66CA8D9B" w14:textId="77777777" w:rsidR="000A3B2B" w:rsidRDefault="000A3B2B" w:rsidP="006904B4">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Żużel hutniczy niezwietrzały</w:t>
            </w:r>
          </w:p>
        </w:tc>
        <w:tc>
          <w:tcPr>
            <w:tcW w:w="1380" w:type="dxa"/>
            <w:tcBorders>
              <w:top w:val="single" w:sz="6" w:space="0" w:color="000000"/>
              <w:left w:val="single" w:sz="6" w:space="0" w:color="000000"/>
              <w:bottom w:val="nil"/>
              <w:right w:val="single" w:sz="6" w:space="0" w:color="000000"/>
            </w:tcBorders>
            <w:vAlign w:val="center"/>
          </w:tcPr>
          <w:p w14:paraId="03A7613B"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14,719,6</w:t>
            </w:r>
          </w:p>
        </w:tc>
        <w:tc>
          <w:tcPr>
            <w:tcW w:w="1380" w:type="dxa"/>
            <w:tcBorders>
              <w:top w:val="single" w:sz="6" w:space="0" w:color="000000"/>
              <w:left w:val="single" w:sz="6" w:space="0" w:color="000000"/>
              <w:bottom w:val="nil"/>
              <w:right w:val="single" w:sz="6" w:space="0" w:color="000000"/>
            </w:tcBorders>
            <w:vAlign w:val="center"/>
          </w:tcPr>
          <w:p w14:paraId="4749D9D1"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30 do 45</w:t>
            </w:r>
          </w:p>
        </w:tc>
      </w:tr>
      <w:tr w:rsidR="000A3B2B" w14:paraId="7327ACF4" w14:textId="77777777" w:rsidTr="006904B4">
        <w:trPr>
          <w:trHeight w:val="60"/>
          <w:tblCellSpacing w:w="0" w:type="dxa"/>
        </w:trPr>
        <w:tc>
          <w:tcPr>
            <w:tcW w:w="562" w:type="dxa"/>
            <w:tcBorders>
              <w:top w:val="nil"/>
              <w:left w:val="single" w:sz="6" w:space="0" w:color="000000"/>
              <w:bottom w:val="nil"/>
              <w:right w:val="single" w:sz="6" w:space="0" w:color="000000"/>
            </w:tcBorders>
          </w:tcPr>
          <w:p w14:paraId="6EED63AE" w14:textId="77777777" w:rsidR="000A3B2B" w:rsidRDefault="000A3B2B" w:rsidP="006904B4">
            <w:pPr>
              <w:autoSpaceDE w:val="0"/>
              <w:autoSpaceDN w:val="0"/>
              <w:adjustRightInd w:val="0"/>
              <w:spacing w:after="0" w:line="240" w:lineRule="auto"/>
              <w:rPr>
                <w:rFonts w:ascii="Arial" w:hAnsi="Arial" w:cs="Arial"/>
                <w:sz w:val="18"/>
                <w:szCs w:val="18"/>
                <w:lang w:val="x-none"/>
              </w:rPr>
            </w:pPr>
          </w:p>
        </w:tc>
        <w:tc>
          <w:tcPr>
            <w:tcW w:w="6106" w:type="dxa"/>
            <w:tcBorders>
              <w:top w:val="nil"/>
              <w:left w:val="single" w:sz="6" w:space="0" w:color="000000"/>
              <w:bottom w:val="nil"/>
              <w:right w:val="single" w:sz="6" w:space="0" w:color="000000"/>
            </w:tcBorders>
          </w:tcPr>
          <w:p w14:paraId="24160B9D" w14:textId="77777777" w:rsidR="000A3B2B" w:rsidRDefault="000A3B2B" w:rsidP="006904B4">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Glina zwałowa z głazami do 50 kg stanowiącymi 10÷30% objętości gruntu</w:t>
            </w:r>
          </w:p>
        </w:tc>
        <w:tc>
          <w:tcPr>
            <w:tcW w:w="1380" w:type="dxa"/>
            <w:tcBorders>
              <w:top w:val="nil"/>
              <w:left w:val="single" w:sz="6" w:space="0" w:color="000000"/>
              <w:bottom w:val="nil"/>
              <w:right w:val="single" w:sz="6" w:space="0" w:color="000000"/>
            </w:tcBorders>
            <w:vAlign w:val="center"/>
          </w:tcPr>
          <w:p w14:paraId="7CC8542F"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20,6</w:t>
            </w:r>
          </w:p>
        </w:tc>
        <w:tc>
          <w:tcPr>
            <w:tcW w:w="1380" w:type="dxa"/>
            <w:tcBorders>
              <w:top w:val="nil"/>
              <w:left w:val="single" w:sz="6" w:space="0" w:color="000000"/>
              <w:bottom w:val="nil"/>
              <w:right w:val="single" w:sz="6" w:space="0" w:color="000000"/>
            </w:tcBorders>
            <w:vAlign w:val="center"/>
          </w:tcPr>
          <w:p w14:paraId="2C527A39"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30 do 45</w:t>
            </w:r>
          </w:p>
        </w:tc>
      </w:tr>
      <w:tr w:rsidR="000A3B2B" w14:paraId="15CDF113" w14:textId="77777777" w:rsidTr="006904B4">
        <w:trPr>
          <w:trHeight w:val="60"/>
          <w:tblCellSpacing w:w="0" w:type="dxa"/>
        </w:trPr>
        <w:tc>
          <w:tcPr>
            <w:tcW w:w="562" w:type="dxa"/>
            <w:tcBorders>
              <w:top w:val="nil"/>
              <w:left w:val="single" w:sz="6" w:space="0" w:color="000000"/>
              <w:bottom w:val="nil"/>
              <w:right w:val="single" w:sz="6" w:space="0" w:color="000000"/>
            </w:tcBorders>
          </w:tcPr>
          <w:p w14:paraId="5422FB16" w14:textId="77777777" w:rsidR="000A3B2B" w:rsidRDefault="000A3B2B" w:rsidP="006904B4">
            <w:pPr>
              <w:autoSpaceDE w:val="0"/>
              <w:autoSpaceDN w:val="0"/>
              <w:adjustRightInd w:val="0"/>
              <w:spacing w:after="0" w:line="240" w:lineRule="auto"/>
              <w:rPr>
                <w:rFonts w:ascii="Arial" w:hAnsi="Arial" w:cs="Arial"/>
                <w:sz w:val="18"/>
                <w:szCs w:val="18"/>
                <w:lang w:val="x-none"/>
              </w:rPr>
            </w:pPr>
          </w:p>
        </w:tc>
        <w:tc>
          <w:tcPr>
            <w:tcW w:w="6106" w:type="dxa"/>
            <w:tcBorders>
              <w:top w:val="nil"/>
              <w:left w:val="single" w:sz="6" w:space="0" w:color="000000"/>
              <w:bottom w:val="nil"/>
              <w:right w:val="single" w:sz="6" w:space="0" w:color="000000"/>
            </w:tcBorders>
          </w:tcPr>
          <w:p w14:paraId="5D074AF0" w14:textId="77777777" w:rsidR="000A3B2B" w:rsidRDefault="000A3B2B" w:rsidP="006904B4">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Rumosz skalny zwietrzelinowy o wymiarach ponad 90 mm</w:t>
            </w:r>
          </w:p>
        </w:tc>
        <w:tc>
          <w:tcPr>
            <w:tcW w:w="1380" w:type="dxa"/>
            <w:tcBorders>
              <w:top w:val="nil"/>
              <w:left w:val="single" w:sz="6" w:space="0" w:color="000000"/>
              <w:bottom w:val="nil"/>
              <w:right w:val="single" w:sz="6" w:space="0" w:color="000000"/>
            </w:tcBorders>
            <w:vAlign w:val="center"/>
          </w:tcPr>
          <w:p w14:paraId="7BD2D21E"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17,7</w:t>
            </w:r>
          </w:p>
        </w:tc>
        <w:tc>
          <w:tcPr>
            <w:tcW w:w="1380" w:type="dxa"/>
            <w:tcBorders>
              <w:top w:val="nil"/>
              <w:left w:val="single" w:sz="6" w:space="0" w:color="000000"/>
              <w:bottom w:val="nil"/>
              <w:right w:val="single" w:sz="6" w:space="0" w:color="000000"/>
            </w:tcBorders>
            <w:vAlign w:val="center"/>
          </w:tcPr>
          <w:p w14:paraId="61D3CF8B"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30 do 45</w:t>
            </w:r>
          </w:p>
        </w:tc>
      </w:tr>
      <w:tr w:rsidR="000A3B2B" w14:paraId="20C79BFA" w14:textId="77777777" w:rsidTr="006904B4">
        <w:trPr>
          <w:trHeight w:val="60"/>
          <w:tblCellSpacing w:w="0" w:type="dxa"/>
        </w:trPr>
        <w:tc>
          <w:tcPr>
            <w:tcW w:w="562" w:type="dxa"/>
            <w:tcBorders>
              <w:top w:val="nil"/>
              <w:left w:val="single" w:sz="6" w:space="0" w:color="000000"/>
              <w:bottom w:val="nil"/>
              <w:right w:val="single" w:sz="6" w:space="0" w:color="000000"/>
            </w:tcBorders>
          </w:tcPr>
          <w:p w14:paraId="18A616C2" w14:textId="77777777" w:rsidR="000A3B2B" w:rsidRDefault="000A3B2B" w:rsidP="006904B4">
            <w:pPr>
              <w:autoSpaceDE w:val="0"/>
              <w:autoSpaceDN w:val="0"/>
              <w:adjustRightInd w:val="0"/>
              <w:spacing w:after="0" w:line="240" w:lineRule="auto"/>
              <w:rPr>
                <w:rFonts w:ascii="Arial" w:hAnsi="Arial" w:cs="Arial"/>
                <w:sz w:val="18"/>
                <w:szCs w:val="18"/>
                <w:lang w:val="x-none"/>
              </w:rPr>
            </w:pPr>
          </w:p>
        </w:tc>
        <w:tc>
          <w:tcPr>
            <w:tcW w:w="6106" w:type="dxa"/>
            <w:tcBorders>
              <w:top w:val="nil"/>
              <w:left w:val="single" w:sz="6" w:space="0" w:color="000000"/>
              <w:bottom w:val="nil"/>
              <w:right w:val="single" w:sz="6" w:space="0" w:color="000000"/>
            </w:tcBorders>
          </w:tcPr>
          <w:p w14:paraId="36C3D470" w14:textId="77777777" w:rsidR="000A3B2B" w:rsidRDefault="000A3B2B" w:rsidP="006904B4">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Gruz ceglany i rumowisko budowlane silnie scementowane lub w blokach ponad 50 kg</w:t>
            </w:r>
          </w:p>
        </w:tc>
        <w:tc>
          <w:tcPr>
            <w:tcW w:w="1380" w:type="dxa"/>
            <w:tcBorders>
              <w:top w:val="nil"/>
              <w:left w:val="single" w:sz="6" w:space="0" w:color="000000"/>
              <w:bottom w:val="nil"/>
              <w:right w:val="single" w:sz="6" w:space="0" w:color="000000"/>
            </w:tcBorders>
            <w:vAlign w:val="center"/>
          </w:tcPr>
          <w:p w14:paraId="11B99CDD"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17,7</w:t>
            </w:r>
          </w:p>
        </w:tc>
        <w:tc>
          <w:tcPr>
            <w:tcW w:w="1380" w:type="dxa"/>
            <w:tcBorders>
              <w:top w:val="nil"/>
              <w:left w:val="single" w:sz="6" w:space="0" w:color="000000"/>
              <w:bottom w:val="nil"/>
              <w:right w:val="single" w:sz="6" w:space="0" w:color="000000"/>
            </w:tcBorders>
            <w:vAlign w:val="center"/>
          </w:tcPr>
          <w:p w14:paraId="18C38B67"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30 do 45</w:t>
            </w:r>
          </w:p>
        </w:tc>
      </w:tr>
      <w:tr w:rsidR="000A3B2B" w14:paraId="28285C67" w14:textId="77777777" w:rsidTr="006904B4">
        <w:trPr>
          <w:trHeight w:val="60"/>
          <w:tblCellSpacing w:w="0" w:type="dxa"/>
        </w:trPr>
        <w:tc>
          <w:tcPr>
            <w:tcW w:w="562" w:type="dxa"/>
            <w:tcBorders>
              <w:top w:val="nil"/>
              <w:left w:val="single" w:sz="6" w:space="0" w:color="000000"/>
              <w:bottom w:val="nil"/>
              <w:right w:val="single" w:sz="6" w:space="0" w:color="000000"/>
            </w:tcBorders>
          </w:tcPr>
          <w:p w14:paraId="24B78A15" w14:textId="77777777" w:rsidR="000A3B2B" w:rsidRDefault="000A3B2B" w:rsidP="006904B4">
            <w:pPr>
              <w:autoSpaceDE w:val="0"/>
              <w:autoSpaceDN w:val="0"/>
              <w:adjustRightInd w:val="0"/>
              <w:spacing w:after="0" w:line="240" w:lineRule="auto"/>
              <w:rPr>
                <w:rFonts w:ascii="Arial" w:hAnsi="Arial" w:cs="Arial"/>
                <w:sz w:val="18"/>
                <w:szCs w:val="18"/>
                <w:lang w:val="x-none"/>
              </w:rPr>
            </w:pPr>
          </w:p>
        </w:tc>
        <w:tc>
          <w:tcPr>
            <w:tcW w:w="6106" w:type="dxa"/>
            <w:tcBorders>
              <w:top w:val="nil"/>
              <w:left w:val="single" w:sz="6" w:space="0" w:color="000000"/>
              <w:bottom w:val="nil"/>
              <w:right w:val="single" w:sz="6" w:space="0" w:color="000000"/>
            </w:tcBorders>
          </w:tcPr>
          <w:p w14:paraId="30390D50" w14:textId="77777777" w:rsidR="000A3B2B" w:rsidRDefault="000A3B2B" w:rsidP="006904B4">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 xml:space="preserve">Margle miękkie lub </w:t>
            </w:r>
            <w:proofErr w:type="spellStart"/>
            <w:r>
              <w:rPr>
                <w:rFonts w:ascii="Arial" w:hAnsi="Arial" w:cs="Arial"/>
                <w:color w:val="000000"/>
                <w:sz w:val="18"/>
                <w:szCs w:val="18"/>
                <w:lang w:val="x-none"/>
              </w:rPr>
              <w:t>średniotwarde</w:t>
            </w:r>
            <w:proofErr w:type="spellEnd"/>
            <w:r>
              <w:rPr>
                <w:rFonts w:ascii="Arial" w:hAnsi="Arial" w:cs="Arial"/>
                <w:color w:val="000000"/>
                <w:sz w:val="18"/>
                <w:szCs w:val="18"/>
                <w:lang w:val="x-none"/>
              </w:rPr>
              <w:t xml:space="preserve"> słabo spękane</w:t>
            </w:r>
          </w:p>
        </w:tc>
        <w:tc>
          <w:tcPr>
            <w:tcW w:w="1380" w:type="dxa"/>
            <w:tcBorders>
              <w:top w:val="nil"/>
              <w:left w:val="single" w:sz="6" w:space="0" w:color="000000"/>
              <w:bottom w:val="nil"/>
              <w:right w:val="single" w:sz="6" w:space="0" w:color="000000"/>
            </w:tcBorders>
            <w:vAlign w:val="center"/>
          </w:tcPr>
          <w:p w14:paraId="17C08D0F"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16,722,6</w:t>
            </w:r>
          </w:p>
        </w:tc>
        <w:tc>
          <w:tcPr>
            <w:tcW w:w="1380" w:type="dxa"/>
            <w:tcBorders>
              <w:top w:val="nil"/>
              <w:left w:val="single" w:sz="6" w:space="0" w:color="000000"/>
              <w:bottom w:val="nil"/>
              <w:right w:val="single" w:sz="6" w:space="0" w:color="000000"/>
            </w:tcBorders>
            <w:vAlign w:val="center"/>
          </w:tcPr>
          <w:p w14:paraId="50F02781"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30 do 45</w:t>
            </w:r>
          </w:p>
        </w:tc>
      </w:tr>
      <w:tr w:rsidR="000A3B2B" w14:paraId="0750995B" w14:textId="77777777" w:rsidTr="006904B4">
        <w:trPr>
          <w:trHeight w:val="60"/>
          <w:tblCellSpacing w:w="0" w:type="dxa"/>
        </w:trPr>
        <w:tc>
          <w:tcPr>
            <w:tcW w:w="562" w:type="dxa"/>
            <w:tcBorders>
              <w:top w:val="nil"/>
              <w:left w:val="single" w:sz="6" w:space="0" w:color="000000"/>
              <w:bottom w:val="nil"/>
              <w:right w:val="single" w:sz="6" w:space="0" w:color="000000"/>
            </w:tcBorders>
          </w:tcPr>
          <w:p w14:paraId="2F6D9B68" w14:textId="77777777" w:rsidR="000A3B2B" w:rsidRDefault="000A3B2B" w:rsidP="006904B4">
            <w:pPr>
              <w:autoSpaceDE w:val="0"/>
              <w:autoSpaceDN w:val="0"/>
              <w:adjustRightInd w:val="0"/>
              <w:spacing w:after="0" w:line="240" w:lineRule="auto"/>
              <w:rPr>
                <w:rFonts w:ascii="Arial" w:hAnsi="Arial" w:cs="Arial"/>
                <w:sz w:val="18"/>
                <w:szCs w:val="18"/>
                <w:lang w:val="x-none"/>
              </w:rPr>
            </w:pPr>
          </w:p>
        </w:tc>
        <w:tc>
          <w:tcPr>
            <w:tcW w:w="6106" w:type="dxa"/>
            <w:tcBorders>
              <w:top w:val="nil"/>
              <w:left w:val="single" w:sz="6" w:space="0" w:color="000000"/>
              <w:bottom w:val="nil"/>
              <w:right w:val="single" w:sz="6" w:space="0" w:color="000000"/>
            </w:tcBorders>
          </w:tcPr>
          <w:p w14:paraId="1AEFC345" w14:textId="77777777" w:rsidR="000A3B2B" w:rsidRDefault="000A3B2B" w:rsidP="006904B4">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Węgiel kamienny i brunatny</w:t>
            </w:r>
          </w:p>
        </w:tc>
        <w:tc>
          <w:tcPr>
            <w:tcW w:w="1380" w:type="dxa"/>
            <w:tcBorders>
              <w:top w:val="nil"/>
              <w:left w:val="single" w:sz="6" w:space="0" w:color="000000"/>
              <w:bottom w:val="nil"/>
              <w:right w:val="single" w:sz="6" w:space="0" w:color="000000"/>
            </w:tcBorders>
            <w:vAlign w:val="center"/>
          </w:tcPr>
          <w:p w14:paraId="7B22E369"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41,8</w:t>
            </w:r>
          </w:p>
        </w:tc>
        <w:tc>
          <w:tcPr>
            <w:tcW w:w="1380" w:type="dxa"/>
            <w:tcBorders>
              <w:top w:val="nil"/>
              <w:left w:val="single" w:sz="6" w:space="0" w:color="000000"/>
              <w:bottom w:val="nil"/>
              <w:right w:val="single" w:sz="6" w:space="0" w:color="000000"/>
            </w:tcBorders>
            <w:vAlign w:val="center"/>
          </w:tcPr>
          <w:p w14:paraId="047B3FF0"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30 do 45</w:t>
            </w:r>
          </w:p>
        </w:tc>
      </w:tr>
      <w:tr w:rsidR="000A3B2B" w14:paraId="5CD4B8CA" w14:textId="77777777" w:rsidTr="006904B4">
        <w:trPr>
          <w:trHeight w:val="60"/>
          <w:tblCellSpacing w:w="0" w:type="dxa"/>
        </w:trPr>
        <w:tc>
          <w:tcPr>
            <w:tcW w:w="562" w:type="dxa"/>
            <w:tcBorders>
              <w:top w:val="nil"/>
              <w:left w:val="single" w:sz="6" w:space="0" w:color="000000"/>
              <w:bottom w:val="nil"/>
              <w:right w:val="single" w:sz="6" w:space="0" w:color="000000"/>
            </w:tcBorders>
          </w:tcPr>
          <w:p w14:paraId="3A17F041" w14:textId="77777777" w:rsidR="000A3B2B" w:rsidRDefault="000A3B2B" w:rsidP="006904B4">
            <w:pPr>
              <w:autoSpaceDE w:val="0"/>
              <w:autoSpaceDN w:val="0"/>
              <w:adjustRightInd w:val="0"/>
              <w:spacing w:after="0" w:line="240" w:lineRule="auto"/>
              <w:rPr>
                <w:rFonts w:ascii="Arial" w:hAnsi="Arial" w:cs="Arial"/>
                <w:sz w:val="18"/>
                <w:szCs w:val="18"/>
                <w:lang w:val="x-none"/>
              </w:rPr>
            </w:pPr>
          </w:p>
        </w:tc>
        <w:tc>
          <w:tcPr>
            <w:tcW w:w="6106" w:type="dxa"/>
            <w:tcBorders>
              <w:top w:val="nil"/>
              <w:left w:val="single" w:sz="6" w:space="0" w:color="000000"/>
              <w:bottom w:val="nil"/>
              <w:right w:val="single" w:sz="6" w:space="0" w:color="000000"/>
            </w:tcBorders>
          </w:tcPr>
          <w:p w14:paraId="4368D04B" w14:textId="77777777" w:rsidR="000A3B2B" w:rsidRDefault="000A3B2B" w:rsidP="006904B4">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Iły przewarstwione łupkiem</w:t>
            </w:r>
          </w:p>
        </w:tc>
        <w:tc>
          <w:tcPr>
            <w:tcW w:w="1380" w:type="dxa"/>
            <w:tcBorders>
              <w:top w:val="nil"/>
              <w:left w:val="single" w:sz="6" w:space="0" w:color="000000"/>
              <w:bottom w:val="nil"/>
              <w:right w:val="single" w:sz="6" w:space="0" w:color="000000"/>
            </w:tcBorders>
            <w:vAlign w:val="center"/>
          </w:tcPr>
          <w:p w14:paraId="270BAF8E"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14,719,6</w:t>
            </w:r>
          </w:p>
        </w:tc>
        <w:tc>
          <w:tcPr>
            <w:tcW w:w="1380" w:type="dxa"/>
            <w:tcBorders>
              <w:top w:val="nil"/>
              <w:left w:val="single" w:sz="6" w:space="0" w:color="000000"/>
              <w:bottom w:val="nil"/>
              <w:right w:val="single" w:sz="6" w:space="0" w:color="000000"/>
            </w:tcBorders>
            <w:vAlign w:val="center"/>
          </w:tcPr>
          <w:p w14:paraId="065A9A0E"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30 do 45</w:t>
            </w:r>
          </w:p>
        </w:tc>
      </w:tr>
      <w:tr w:rsidR="000A3B2B" w14:paraId="59600085" w14:textId="77777777" w:rsidTr="006904B4">
        <w:trPr>
          <w:trHeight w:val="60"/>
          <w:tblCellSpacing w:w="0" w:type="dxa"/>
        </w:trPr>
        <w:tc>
          <w:tcPr>
            <w:tcW w:w="562" w:type="dxa"/>
            <w:tcBorders>
              <w:top w:val="nil"/>
              <w:left w:val="single" w:sz="6" w:space="0" w:color="000000"/>
              <w:bottom w:val="nil"/>
              <w:right w:val="single" w:sz="6" w:space="0" w:color="000000"/>
            </w:tcBorders>
          </w:tcPr>
          <w:p w14:paraId="67C215F1" w14:textId="77777777" w:rsidR="000A3B2B" w:rsidRDefault="000A3B2B" w:rsidP="006904B4">
            <w:pPr>
              <w:autoSpaceDE w:val="0"/>
              <w:autoSpaceDN w:val="0"/>
              <w:adjustRightInd w:val="0"/>
              <w:spacing w:after="0" w:line="240" w:lineRule="auto"/>
              <w:rPr>
                <w:rFonts w:ascii="Arial" w:hAnsi="Arial" w:cs="Arial"/>
                <w:sz w:val="18"/>
                <w:szCs w:val="18"/>
                <w:lang w:val="x-none"/>
              </w:rPr>
            </w:pPr>
          </w:p>
        </w:tc>
        <w:tc>
          <w:tcPr>
            <w:tcW w:w="6106" w:type="dxa"/>
            <w:tcBorders>
              <w:top w:val="nil"/>
              <w:left w:val="single" w:sz="6" w:space="0" w:color="000000"/>
              <w:bottom w:val="nil"/>
              <w:right w:val="single" w:sz="6" w:space="0" w:color="000000"/>
            </w:tcBorders>
          </w:tcPr>
          <w:p w14:paraId="1BD0A25C" w14:textId="77777777" w:rsidR="000A3B2B" w:rsidRDefault="000A3B2B" w:rsidP="006904B4">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 xml:space="preserve">Iłołupek twardy, lecz </w:t>
            </w:r>
            <w:proofErr w:type="spellStart"/>
            <w:r>
              <w:rPr>
                <w:rFonts w:ascii="Arial" w:hAnsi="Arial" w:cs="Arial"/>
                <w:color w:val="000000"/>
                <w:sz w:val="18"/>
                <w:szCs w:val="18"/>
                <w:lang w:val="x-none"/>
              </w:rPr>
              <w:t>rozsypliwy</w:t>
            </w:r>
            <w:proofErr w:type="spellEnd"/>
          </w:p>
        </w:tc>
        <w:tc>
          <w:tcPr>
            <w:tcW w:w="1380" w:type="dxa"/>
            <w:tcBorders>
              <w:top w:val="nil"/>
              <w:left w:val="single" w:sz="6" w:space="0" w:color="000000"/>
              <w:bottom w:val="nil"/>
              <w:right w:val="single" w:sz="6" w:space="0" w:color="000000"/>
            </w:tcBorders>
            <w:vAlign w:val="center"/>
          </w:tcPr>
          <w:p w14:paraId="2DF154CD"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19,6</w:t>
            </w:r>
          </w:p>
        </w:tc>
        <w:tc>
          <w:tcPr>
            <w:tcW w:w="1380" w:type="dxa"/>
            <w:tcBorders>
              <w:top w:val="nil"/>
              <w:left w:val="single" w:sz="6" w:space="0" w:color="000000"/>
              <w:bottom w:val="nil"/>
              <w:right w:val="single" w:sz="6" w:space="0" w:color="000000"/>
            </w:tcBorders>
            <w:vAlign w:val="center"/>
          </w:tcPr>
          <w:p w14:paraId="1E4F0ADA"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30 do 45</w:t>
            </w:r>
          </w:p>
        </w:tc>
      </w:tr>
      <w:tr w:rsidR="000A3B2B" w14:paraId="2BD65E6D" w14:textId="77777777" w:rsidTr="006904B4">
        <w:trPr>
          <w:trHeight w:val="60"/>
          <w:tblCellSpacing w:w="0" w:type="dxa"/>
        </w:trPr>
        <w:tc>
          <w:tcPr>
            <w:tcW w:w="562" w:type="dxa"/>
            <w:tcBorders>
              <w:top w:val="nil"/>
              <w:left w:val="single" w:sz="6" w:space="0" w:color="000000"/>
              <w:bottom w:val="nil"/>
              <w:right w:val="single" w:sz="6" w:space="0" w:color="000000"/>
            </w:tcBorders>
          </w:tcPr>
          <w:p w14:paraId="5300D86A" w14:textId="77777777" w:rsidR="000A3B2B" w:rsidRDefault="000A3B2B" w:rsidP="006904B4">
            <w:pPr>
              <w:autoSpaceDE w:val="0"/>
              <w:autoSpaceDN w:val="0"/>
              <w:adjustRightInd w:val="0"/>
              <w:spacing w:after="0" w:line="240" w:lineRule="auto"/>
              <w:rPr>
                <w:rFonts w:ascii="Arial" w:hAnsi="Arial" w:cs="Arial"/>
                <w:sz w:val="18"/>
                <w:szCs w:val="18"/>
                <w:lang w:val="x-none"/>
              </w:rPr>
            </w:pPr>
          </w:p>
        </w:tc>
        <w:tc>
          <w:tcPr>
            <w:tcW w:w="6106" w:type="dxa"/>
            <w:tcBorders>
              <w:top w:val="nil"/>
              <w:left w:val="single" w:sz="6" w:space="0" w:color="000000"/>
              <w:bottom w:val="nil"/>
              <w:right w:val="single" w:sz="6" w:space="0" w:color="000000"/>
            </w:tcBorders>
          </w:tcPr>
          <w:p w14:paraId="627B3C23" w14:textId="77777777" w:rsidR="000A3B2B" w:rsidRDefault="000A3B2B" w:rsidP="006904B4">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Zlepieńce słabo scementowane</w:t>
            </w:r>
          </w:p>
        </w:tc>
        <w:tc>
          <w:tcPr>
            <w:tcW w:w="1380" w:type="dxa"/>
            <w:tcBorders>
              <w:top w:val="nil"/>
              <w:left w:val="single" w:sz="6" w:space="0" w:color="000000"/>
              <w:bottom w:val="nil"/>
              <w:right w:val="single" w:sz="6" w:space="0" w:color="000000"/>
            </w:tcBorders>
            <w:vAlign w:val="center"/>
          </w:tcPr>
          <w:p w14:paraId="2CBEFE8E"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20,6</w:t>
            </w:r>
          </w:p>
        </w:tc>
        <w:tc>
          <w:tcPr>
            <w:tcW w:w="1380" w:type="dxa"/>
            <w:tcBorders>
              <w:top w:val="nil"/>
              <w:left w:val="single" w:sz="6" w:space="0" w:color="000000"/>
              <w:bottom w:val="nil"/>
              <w:right w:val="single" w:sz="6" w:space="0" w:color="000000"/>
            </w:tcBorders>
            <w:vAlign w:val="center"/>
          </w:tcPr>
          <w:p w14:paraId="36386062"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30 do 45</w:t>
            </w:r>
          </w:p>
        </w:tc>
      </w:tr>
      <w:tr w:rsidR="000A3B2B" w14:paraId="31602360" w14:textId="77777777" w:rsidTr="006904B4">
        <w:trPr>
          <w:trHeight w:val="60"/>
          <w:tblCellSpacing w:w="0" w:type="dxa"/>
        </w:trPr>
        <w:tc>
          <w:tcPr>
            <w:tcW w:w="562" w:type="dxa"/>
            <w:tcBorders>
              <w:top w:val="nil"/>
              <w:left w:val="single" w:sz="6" w:space="0" w:color="000000"/>
              <w:bottom w:val="nil"/>
              <w:right w:val="single" w:sz="6" w:space="0" w:color="000000"/>
            </w:tcBorders>
          </w:tcPr>
          <w:p w14:paraId="59F158BB" w14:textId="77777777" w:rsidR="000A3B2B" w:rsidRDefault="000A3B2B" w:rsidP="006904B4">
            <w:pPr>
              <w:autoSpaceDE w:val="0"/>
              <w:autoSpaceDN w:val="0"/>
              <w:adjustRightInd w:val="0"/>
              <w:spacing w:after="0" w:line="240" w:lineRule="auto"/>
              <w:rPr>
                <w:rFonts w:ascii="Arial" w:hAnsi="Arial" w:cs="Arial"/>
                <w:sz w:val="18"/>
                <w:szCs w:val="18"/>
                <w:lang w:val="x-none"/>
              </w:rPr>
            </w:pPr>
          </w:p>
        </w:tc>
        <w:tc>
          <w:tcPr>
            <w:tcW w:w="6106" w:type="dxa"/>
            <w:tcBorders>
              <w:top w:val="nil"/>
              <w:left w:val="single" w:sz="6" w:space="0" w:color="000000"/>
              <w:bottom w:val="nil"/>
              <w:right w:val="single" w:sz="6" w:space="0" w:color="000000"/>
            </w:tcBorders>
          </w:tcPr>
          <w:p w14:paraId="1AE5F5AC" w14:textId="77777777" w:rsidR="000A3B2B" w:rsidRDefault="000A3B2B" w:rsidP="006904B4">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Gips</w:t>
            </w:r>
          </w:p>
        </w:tc>
        <w:tc>
          <w:tcPr>
            <w:tcW w:w="1380" w:type="dxa"/>
            <w:tcBorders>
              <w:top w:val="nil"/>
              <w:left w:val="single" w:sz="6" w:space="0" w:color="000000"/>
              <w:bottom w:val="nil"/>
              <w:right w:val="single" w:sz="6" w:space="0" w:color="000000"/>
            </w:tcBorders>
            <w:vAlign w:val="center"/>
          </w:tcPr>
          <w:p w14:paraId="030E8501"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21,6</w:t>
            </w:r>
          </w:p>
        </w:tc>
        <w:tc>
          <w:tcPr>
            <w:tcW w:w="1380" w:type="dxa"/>
            <w:tcBorders>
              <w:top w:val="nil"/>
              <w:left w:val="single" w:sz="6" w:space="0" w:color="000000"/>
              <w:bottom w:val="nil"/>
              <w:right w:val="single" w:sz="6" w:space="0" w:color="000000"/>
            </w:tcBorders>
            <w:vAlign w:val="center"/>
          </w:tcPr>
          <w:p w14:paraId="5F112FB5"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30 do 45</w:t>
            </w:r>
          </w:p>
        </w:tc>
      </w:tr>
      <w:tr w:rsidR="000A3B2B" w14:paraId="3028F791" w14:textId="77777777" w:rsidTr="006904B4">
        <w:trPr>
          <w:trHeight w:val="60"/>
          <w:tblCellSpacing w:w="0" w:type="dxa"/>
        </w:trPr>
        <w:tc>
          <w:tcPr>
            <w:tcW w:w="562" w:type="dxa"/>
            <w:tcBorders>
              <w:top w:val="nil"/>
              <w:left w:val="single" w:sz="6" w:space="0" w:color="000000"/>
              <w:bottom w:val="single" w:sz="6" w:space="0" w:color="000000"/>
              <w:right w:val="single" w:sz="6" w:space="0" w:color="000000"/>
            </w:tcBorders>
          </w:tcPr>
          <w:p w14:paraId="5039E494" w14:textId="77777777" w:rsidR="000A3B2B" w:rsidRDefault="000A3B2B" w:rsidP="006904B4">
            <w:pPr>
              <w:autoSpaceDE w:val="0"/>
              <w:autoSpaceDN w:val="0"/>
              <w:adjustRightInd w:val="0"/>
              <w:spacing w:after="0" w:line="240" w:lineRule="auto"/>
              <w:rPr>
                <w:rFonts w:ascii="Arial" w:hAnsi="Arial" w:cs="Arial"/>
                <w:sz w:val="18"/>
                <w:szCs w:val="18"/>
                <w:lang w:val="x-none"/>
              </w:rPr>
            </w:pPr>
          </w:p>
        </w:tc>
        <w:tc>
          <w:tcPr>
            <w:tcW w:w="6106" w:type="dxa"/>
            <w:tcBorders>
              <w:top w:val="nil"/>
              <w:left w:val="single" w:sz="6" w:space="0" w:color="000000"/>
              <w:bottom w:val="single" w:sz="6" w:space="0" w:color="000000"/>
              <w:right w:val="single" w:sz="6" w:space="0" w:color="000000"/>
            </w:tcBorders>
          </w:tcPr>
          <w:p w14:paraId="5802DF46" w14:textId="77777777" w:rsidR="000A3B2B" w:rsidRDefault="000A3B2B" w:rsidP="006904B4">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Tuf wulkaniczny, częściowo sypki</w:t>
            </w:r>
          </w:p>
        </w:tc>
        <w:tc>
          <w:tcPr>
            <w:tcW w:w="1380" w:type="dxa"/>
            <w:tcBorders>
              <w:top w:val="nil"/>
              <w:left w:val="single" w:sz="6" w:space="0" w:color="000000"/>
              <w:bottom w:val="single" w:sz="6" w:space="0" w:color="000000"/>
              <w:right w:val="single" w:sz="6" w:space="0" w:color="000000"/>
            </w:tcBorders>
            <w:vAlign w:val="center"/>
          </w:tcPr>
          <w:p w14:paraId="013C74A6"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15,7</w:t>
            </w:r>
          </w:p>
        </w:tc>
        <w:tc>
          <w:tcPr>
            <w:tcW w:w="1380" w:type="dxa"/>
            <w:tcBorders>
              <w:top w:val="nil"/>
              <w:left w:val="single" w:sz="6" w:space="0" w:color="000000"/>
              <w:bottom w:val="single" w:sz="6" w:space="0" w:color="000000"/>
              <w:right w:val="single" w:sz="6" w:space="0" w:color="000000"/>
            </w:tcBorders>
            <w:vAlign w:val="center"/>
          </w:tcPr>
          <w:p w14:paraId="0753AD38"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30 do 45</w:t>
            </w:r>
          </w:p>
        </w:tc>
      </w:tr>
      <w:tr w:rsidR="000A3B2B" w14:paraId="723F3812" w14:textId="77777777" w:rsidTr="006904B4">
        <w:trPr>
          <w:trHeight w:val="60"/>
          <w:tblCellSpacing w:w="0" w:type="dxa"/>
        </w:trPr>
        <w:tc>
          <w:tcPr>
            <w:tcW w:w="562" w:type="dxa"/>
            <w:tcBorders>
              <w:top w:val="single" w:sz="6" w:space="0" w:color="000000"/>
              <w:left w:val="single" w:sz="6" w:space="0" w:color="000000"/>
              <w:bottom w:val="nil"/>
              <w:right w:val="single" w:sz="6" w:space="0" w:color="000000"/>
            </w:tcBorders>
          </w:tcPr>
          <w:p w14:paraId="2EAE39D3"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6.</w:t>
            </w:r>
          </w:p>
        </w:tc>
        <w:tc>
          <w:tcPr>
            <w:tcW w:w="6106" w:type="dxa"/>
            <w:tcBorders>
              <w:top w:val="single" w:sz="6" w:space="0" w:color="000000"/>
              <w:left w:val="single" w:sz="6" w:space="0" w:color="000000"/>
              <w:bottom w:val="nil"/>
              <w:right w:val="single" w:sz="6" w:space="0" w:color="000000"/>
            </w:tcBorders>
          </w:tcPr>
          <w:p w14:paraId="6CED2210" w14:textId="77777777" w:rsidR="000A3B2B" w:rsidRDefault="000A3B2B" w:rsidP="006904B4">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Iłołupek twardy</w:t>
            </w:r>
          </w:p>
        </w:tc>
        <w:tc>
          <w:tcPr>
            <w:tcW w:w="1380" w:type="dxa"/>
            <w:tcBorders>
              <w:top w:val="single" w:sz="6" w:space="0" w:color="000000"/>
              <w:left w:val="single" w:sz="6" w:space="0" w:color="000000"/>
              <w:bottom w:val="nil"/>
              <w:right w:val="single" w:sz="6" w:space="0" w:color="000000"/>
            </w:tcBorders>
            <w:vAlign w:val="center"/>
          </w:tcPr>
          <w:p w14:paraId="6040B02A"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26,5</w:t>
            </w:r>
          </w:p>
        </w:tc>
        <w:tc>
          <w:tcPr>
            <w:tcW w:w="1380" w:type="dxa"/>
            <w:tcBorders>
              <w:top w:val="single" w:sz="6" w:space="0" w:color="000000"/>
              <w:left w:val="single" w:sz="6" w:space="0" w:color="000000"/>
              <w:bottom w:val="nil"/>
              <w:right w:val="single" w:sz="6" w:space="0" w:color="000000"/>
            </w:tcBorders>
            <w:vAlign w:val="center"/>
          </w:tcPr>
          <w:p w14:paraId="2CB33684"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30 do 45</w:t>
            </w:r>
          </w:p>
        </w:tc>
      </w:tr>
      <w:tr w:rsidR="000A3B2B" w14:paraId="4C2DC68A" w14:textId="77777777" w:rsidTr="006904B4">
        <w:trPr>
          <w:trHeight w:val="60"/>
          <w:tblCellSpacing w:w="0" w:type="dxa"/>
        </w:trPr>
        <w:tc>
          <w:tcPr>
            <w:tcW w:w="562" w:type="dxa"/>
            <w:tcBorders>
              <w:top w:val="nil"/>
              <w:left w:val="single" w:sz="6" w:space="0" w:color="000000"/>
              <w:bottom w:val="nil"/>
              <w:right w:val="single" w:sz="6" w:space="0" w:color="000000"/>
            </w:tcBorders>
          </w:tcPr>
          <w:p w14:paraId="7E570DBC" w14:textId="77777777" w:rsidR="000A3B2B" w:rsidRDefault="000A3B2B" w:rsidP="006904B4">
            <w:pPr>
              <w:autoSpaceDE w:val="0"/>
              <w:autoSpaceDN w:val="0"/>
              <w:adjustRightInd w:val="0"/>
              <w:spacing w:after="0" w:line="240" w:lineRule="auto"/>
              <w:rPr>
                <w:rFonts w:ascii="Arial" w:hAnsi="Arial" w:cs="Arial"/>
                <w:sz w:val="18"/>
                <w:szCs w:val="18"/>
                <w:lang w:val="x-none"/>
              </w:rPr>
            </w:pPr>
          </w:p>
        </w:tc>
        <w:tc>
          <w:tcPr>
            <w:tcW w:w="6106" w:type="dxa"/>
            <w:tcBorders>
              <w:top w:val="nil"/>
              <w:left w:val="single" w:sz="6" w:space="0" w:color="000000"/>
              <w:bottom w:val="nil"/>
              <w:right w:val="single" w:sz="6" w:space="0" w:color="000000"/>
            </w:tcBorders>
          </w:tcPr>
          <w:p w14:paraId="6CB6E798" w14:textId="77777777" w:rsidR="000A3B2B" w:rsidRDefault="000A3B2B" w:rsidP="006904B4">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Łupek mikowy i piaszczysty niespękany</w:t>
            </w:r>
          </w:p>
        </w:tc>
        <w:tc>
          <w:tcPr>
            <w:tcW w:w="1380" w:type="dxa"/>
            <w:tcBorders>
              <w:top w:val="nil"/>
              <w:left w:val="single" w:sz="6" w:space="0" w:color="000000"/>
              <w:bottom w:val="nil"/>
              <w:right w:val="single" w:sz="6" w:space="0" w:color="000000"/>
            </w:tcBorders>
            <w:vAlign w:val="center"/>
          </w:tcPr>
          <w:p w14:paraId="3FDFADA0"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22,6</w:t>
            </w:r>
          </w:p>
        </w:tc>
        <w:tc>
          <w:tcPr>
            <w:tcW w:w="1380" w:type="dxa"/>
            <w:tcBorders>
              <w:top w:val="nil"/>
              <w:left w:val="single" w:sz="6" w:space="0" w:color="000000"/>
              <w:bottom w:val="nil"/>
              <w:right w:val="single" w:sz="6" w:space="0" w:color="000000"/>
            </w:tcBorders>
            <w:vAlign w:val="center"/>
          </w:tcPr>
          <w:p w14:paraId="0314B343"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45 do 50</w:t>
            </w:r>
          </w:p>
        </w:tc>
      </w:tr>
      <w:tr w:rsidR="000A3B2B" w14:paraId="4D06D797" w14:textId="77777777" w:rsidTr="006904B4">
        <w:trPr>
          <w:trHeight w:val="60"/>
          <w:tblCellSpacing w:w="0" w:type="dxa"/>
        </w:trPr>
        <w:tc>
          <w:tcPr>
            <w:tcW w:w="562" w:type="dxa"/>
            <w:tcBorders>
              <w:top w:val="nil"/>
              <w:left w:val="single" w:sz="6" w:space="0" w:color="000000"/>
              <w:bottom w:val="nil"/>
              <w:right w:val="single" w:sz="6" w:space="0" w:color="000000"/>
            </w:tcBorders>
          </w:tcPr>
          <w:p w14:paraId="132674A1" w14:textId="77777777" w:rsidR="000A3B2B" w:rsidRDefault="000A3B2B" w:rsidP="006904B4">
            <w:pPr>
              <w:autoSpaceDE w:val="0"/>
              <w:autoSpaceDN w:val="0"/>
              <w:adjustRightInd w:val="0"/>
              <w:spacing w:after="0" w:line="240" w:lineRule="auto"/>
              <w:rPr>
                <w:rFonts w:ascii="Arial" w:hAnsi="Arial" w:cs="Arial"/>
                <w:sz w:val="18"/>
                <w:szCs w:val="18"/>
                <w:lang w:val="x-none"/>
              </w:rPr>
            </w:pPr>
          </w:p>
        </w:tc>
        <w:tc>
          <w:tcPr>
            <w:tcW w:w="6106" w:type="dxa"/>
            <w:tcBorders>
              <w:top w:val="nil"/>
              <w:left w:val="single" w:sz="6" w:space="0" w:color="000000"/>
              <w:bottom w:val="nil"/>
              <w:right w:val="single" w:sz="6" w:space="0" w:color="000000"/>
            </w:tcBorders>
          </w:tcPr>
          <w:p w14:paraId="4554FC76" w14:textId="77777777" w:rsidR="000A3B2B" w:rsidRDefault="000A3B2B" w:rsidP="006904B4">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Margiel twardy</w:t>
            </w:r>
          </w:p>
        </w:tc>
        <w:tc>
          <w:tcPr>
            <w:tcW w:w="1380" w:type="dxa"/>
            <w:tcBorders>
              <w:top w:val="nil"/>
              <w:left w:val="single" w:sz="6" w:space="0" w:color="000000"/>
              <w:bottom w:val="nil"/>
              <w:right w:val="single" w:sz="6" w:space="0" w:color="000000"/>
            </w:tcBorders>
            <w:vAlign w:val="center"/>
          </w:tcPr>
          <w:p w14:paraId="686608A4"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23,5</w:t>
            </w:r>
          </w:p>
        </w:tc>
        <w:tc>
          <w:tcPr>
            <w:tcW w:w="1380" w:type="dxa"/>
            <w:tcBorders>
              <w:top w:val="nil"/>
              <w:left w:val="single" w:sz="6" w:space="0" w:color="000000"/>
              <w:bottom w:val="nil"/>
              <w:right w:val="single" w:sz="6" w:space="0" w:color="000000"/>
            </w:tcBorders>
            <w:vAlign w:val="center"/>
          </w:tcPr>
          <w:p w14:paraId="2D666A40"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30 do 45</w:t>
            </w:r>
          </w:p>
        </w:tc>
      </w:tr>
      <w:tr w:rsidR="000A3B2B" w14:paraId="0D57FAA3" w14:textId="77777777" w:rsidTr="006904B4">
        <w:trPr>
          <w:trHeight w:val="60"/>
          <w:tblCellSpacing w:w="0" w:type="dxa"/>
        </w:trPr>
        <w:tc>
          <w:tcPr>
            <w:tcW w:w="562" w:type="dxa"/>
            <w:tcBorders>
              <w:top w:val="nil"/>
              <w:left w:val="single" w:sz="6" w:space="0" w:color="000000"/>
              <w:bottom w:val="nil"/>
              <w:right w:val="single" w:sz="6" w:space="0" w:color="000000"/>
            </w:tcBorders>
          </w:tcPr>
          <w:p w14:paraId="1A899A7E" w14:textId="77777777" w:rsidR="000A3B2B" w:rsidRDefault="000A3B2B" w:rsidP="006904B4">
            <w:pPr>
              <w:autoSpaceDE w:val="0"/>
              <w:autoSpaceDN w:val="0"/>
              <w:adjustRightInd w:val="0"/>
              <w:spacing w:after="0" w:line="240" w:lineRule="auto"/>
              <w:rPr>
                <w:rFonts w:ascii="Arial" w:hAnsi="Arial" w:cs="Arial"/>
                <w:sz w:val="18"/>
                <w:szCs w:val="18"/>
                <w:lang w:val="x-none"/>
              </w:rPr>
            </w:pPr>
          </w:p>
        </w:tc>
        <w:tc>
          <w:tcPr>
            <w:tcW w:w="6106" w:type="dxa"/>
            <w:tcBorders>
              <w:top w:val="nil"/>
              <w:left w:val="single" w:sz="6" w:space="0" w:color="000000"/>
              <w:bottom w:val="nil"/>
              <w:right w:val="single" w:sz="6" w:space="0" w:color="000000"/>
            </w:tcBorders>
          </w:tcPr>
          <w:p w14:paraId="2BF89710" w14:textId="77777777" w:rsidR="000A3B2B" w:rsidRDefault="000A3B2B" w:rsidP="006904B4">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Wapień marglisty</w:t>
            </w:r>
          </w:p>
        </w:tc>
        <w:tc>
          <w:tcPr>
            <w:tcW w:w="1380" w:type="dxa"/>
            <w:tcBorders>
              <w:top w:val="nil"/>
              <w:left w:val="single" w:sz="6" w:space="0" w:color="000000"/>
              <w:bottom w:val="nil"/>
              <w:right w:val="single" w:sz="6" w:space="0" w:color="000000"/>
            </w:tcBorders>
            <w:vAlign w:val="center"/>
          </w:tcPr>
          <w:p w14:paraId="7AC7F8A1"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22,6</w:t>
            </w:r>
          </w:p>
        </w:tc>
        <w:tc>
          <w:tcPr>
            <w:tcW w:w="1380" w:type="dxa"/>
            <w:tcBorders>
              <w:top w:val="nil"/>
              <w:left w:val="single" w:sz="6" w:space="0" w:color="000000"/>
              <w:bottom w:val="nil"/>
              <w:right w:val="single" w:sz="6" w:space="0" w:color="000000"/>
            </w:tcBorders>
            <w:vAlign w:val="center"/>
          </w:tcPr>
          <w:p w14:paraId="649A450D"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45 do 50</w:t>
            </w:r>
          </w:p>
        </w:tc>
      </w:tr>
      <w:tr w:rsidR="000A3B2B" w14:paraId="24BC9330" w14:textId="77777777" w:rsidTr="006904B4">
        <w:trPr>
          <w:trHeight w:val="60"/>
          <w:tblCellSpacing w:w="0" w:type="dxa"/>
        </w:trPr>
        <w:tc>
          <w:tcPr>
            <w:tcW w:w="562" w:type="dxa"/>
            <w:tcBorders>
              <w:top w:val="nil"/>
              <w:left w:val="single" w:sz="6" w:space="0" w:color="000000"/>
              <w:bottom w:val="nil"/>
              <w:right w:val="single" w:sz="6" w:space="0" w:color="000000"/>
            </w:tcBorders>
          </w:tcPr>
          <w:p w14:paraId="0336FCCF" w14:textId="77777777" w:rsidR="000A3B2B" w:rsidRDefault="000A3B2B" w:rsidP="006904B4">
            <w:pPr>
              <w:autoSpaceDE w:val="0"/>
              <w:autoSpaceDN w:val="0"/>
              <w:adjustRightInd w:val="0"/>
              <w:spacing w:after="0" w:line="240" w:lineRule="auto"/>
              <w:rPr>
                <w:rFonts w:ascii="Arial" w:hAnsi="Arial" w:cs="Arial"/>
                <w:sz w:val="18"/>
                <w:szCs w:val="18"/>
                <w:lang w:val="x-none"/>
              </w:rPr>
            </w:pPr>
          </w:p>
        </w:tc>
        <w:tc>
          <w:tcPr>
            <w:tcW w:w="6106" w:type="dxa"/>
            <w:tcBorders>
              <w:top w:val="nil"/>
              <w:left w:val="single" w:sz="6" w:space="0" w:color="000000"/>
              <w:bottom w:val="nil"/>
              <w:right w:val="single" w:sz="6" w:space="0" w:color="000000"/>
            </w:tcBorders>
          </w:tcPr>
          <w:p w14:paraId="6F8D5083" w14:textId="77777777" w:rsidR="000A3B2B" w:rsidRDefault="000A3B2B" w:rsidP="006904B4">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Piaskowiec o spoiwie ilastym</w:t>
            </w:r>
          </w:p>
        </w:tc>
        <w:tc>
          <w:tcPr>
            <w:tcW w:w="1380" w:type="dxa"/>
            <w:tcBorders>
              <w:top w:val="nil"/>
              <w:left w:val="single" w:sz="6" w:space="0" w:color="000000"/>
              <w:bottom w:val="nil"/>
              <w:right w:val="single" w:sz="6" w:space="0" w:color="000000"/>
            </w:tcBorders>
            <w:vAlign w:val="center"/>
          </w:tcPr>
          <w:p w14:paraId="1B569E17"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21,6</w:t>
            </w:r>
          </w:p>
        </w:tc>
        <w:tc>
          <w:tcPr>
            <w:tcW w:w="1380" w:type="dxa"/>
            <w:tcBorders>
              <w:top w:val="nil"/>
              <w:left w:val="single" w:sz="6" w:space="0" w:color="000000"/>
              <w:bottom w:val="nil"/>
              <w:right w:val="single" w:sz="6" w:space="0" w:color="000000"/>
            </w:tcBorders>
            <w:vAlign w:val="center"/>
          </w:tcPr>
          <w:p w14:paraId="64FBA382"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30 do 50</w:t>
            </w:r>
          </w:p>
        </w:tc>
      </w:tr>
      <w:tr w:rsidR="000A3B2B" w14:paraId="3946F0DB" w14:textId="77777777" w:rsidTr="006904B4">
        <w:trPr>
          <w:trHeight w:val="60"/>
          <w:tblCellSpacing w:w="0" w:type="dxa"/>
        </w:trPr>
        <w:tc>
          <w:tcPr>
            <w:tcW w:w="562" w:type="dxa"/>
            <w:tcBorders>
              <w:top w:val="nil"/>
              <w:left w:val="single" w:sz="6" w:space="0" w:color="000000"/>
              <w:bottom w:val="nil"/>
              <w:right w:val="single" w:sz="6" w:space="0" w:color="000000"/>
            </w:tcBorders>
          </w:tcPr>
          <w:p w14:paraId="71674D8F" w14:textId="77777777" w:rsidR="000A3B2B" w:rsidRDefault="000A3B2B" w:rsidP="006904B4">
            <w:pPr>
              <w:autoSpaceDE w:val="0"/>
              <w:autoSpaceDN w:val="0"/>
              <w:adjustRightInd w:val="0"/>
              <w:spacing w:after="0" w:line="240" w:lineRule="auto"/>
              <w:rPr>
                <w:rFonts w:ascii="Arial" w:hAnsi="Arial" w:cs="Arial"/>
                <w:sz w:val="18"/>
                <w:szCs w:val="18"/>
                <w:lang w:val="x-none"/>
              </w:rPr>
            </w:pPr>
          </w:p>
        </w:tc>
        <w:tc>
          <w:tcPr>
            <w:tcW w:w="6106" w:type="dxa"/>
            <w:tcBorders>
              <w:top w:val="nil"/>
              <w:left w:val="single" w:sz="6" w:space="0" w:color="000000"/>
              <w:bottom w:val="nil"/>
              <w:right w:val="single" w:sz="6" w:space="0" w:color="000000"/>
            </w:tcBorders>
          </w:tcPr>
          <w:p w14:paraId="23175ED6" w14:textId="77777777" w:rsidR="000A3B2B" w:rsidRDefault="000A3B2B" w:rsidP="006904B4">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Zlepieńce otoczaków głównie skał osadowych</w:t>
            </w:r>
          </w:p>
        </w:tc>
        <w:tc>
          <w:tcPr>
            <w:tcW w:w="1380" w:type="dxa"/>
            <w:tcBorders>
              <w:top w:val="nil"/>
              <w:left w:val="single" w:sz="6" w:space="0" w:color="000000"/>
              <w:bottom w:val="nil"/>
              <w:right w:val="single" w:sz="6" w:space="0" w:color="000000"/>
            </w:tcBorders>
            <w:vAlign w:val="center"/>
          </w:tcPr>
          <w:p w14:paraId="529E0332"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21,6</w:t>
            </w:r>
          </w:p>
        </w:tc>
        <w:tc>
          <w:tcPr>
            <w:tcW w:w="1380" w:type="dxa"/>
            <w:tcBorders>
              <w:top w:val="nil"/>
              <w:left w:val="single" w:sz="6" w:space="0" w:color="000000"/>
              <w:bottom w:val="nil"/>
              <w:right w:val="single" w:sz="6" w:space="0" w:color="000000"/>
            </w:tcBorders>
            <w:vAlign w:val="center"/>
          </w:tcPr>
          <w:p w14:paraId="12ED6BA2"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30 do 45</w:t>
            </w:r>
          </w:p>
        </w:tc>
      </w:tr>
      <w:tr w:rsidR="000A3B2B" w14:paraId="32595249" w14:textId="77777777" w:rsidTr="006904B4">
        <w:trPr>
          <w:trHeight w:val="60"/>
          <w:tblCellSpacing w:w="0" w:type="dxa"/>
        </w:trPr>
        <w:tc>
          <w:tcPr>
            <w:tcW w:w="562" w:type="dxa"/>
            <w:tcBorders>
              <w:top w:val="nil"/>
              <w:left w:val="single" w:sz="6" w:space="0" w:color="000000"/>
              <w:bottom w:val="nil"/>
              <w:right w:val="single" w:sz="6" w:space="0" w:color="000000"/>
            </w:tcBorders>
          </w:tcPr>
          <w:p w14:paraId="7192D494" w14:textId="77777777" w:rsidR="000A3B2B" w:rsidRDefault="000A3B2B" w:rsidP="006904B4">
            <w:pPr>
              <w:autoSpaceDE w:val="0"/>
              <w:autoSpaceDN w:val="0"/>
              <w:adjustRightInd w:val="0"/>
              <w:spacing w:after="0" w:line="240" w:lineRule="auto"/>
              <w:rPr>
                <w:rFonts w:ascii="Arial" w:hAnsi="Arial" w:cs="Arial"/>
                <w:sz w:val="18"/>
                <w:szCs w:val="18"/>
                <w:lang w:val="x-none"/>
              </w:rPr>
            </w:pPr>
          </w:p>
        </w:tc>
        <w:tc>
          <w:tcPr>
            <w:tcW w:w="6106" w:type="dxa"/>
            <w:tcBorders>
              <w:top w:val="nil"/>
              <w:left w:val="single" w:sz="6" w:space="0" w:color="000000"/>
              <w:bottom w:val="nil"/>
              <w:right w:val="single" w:sz="6" w:space="0" w:color="000000"/>
            </w:tcBorders>
          </w:tcPr>
          <w:p w14:paraId="28F2157F" w14:textId="77777777" w:rsidR="000A3B2B" w:rsidRDefault="000A3B2B" w:rsidP="006904B4">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Anhydryt</w:t>
            </w:r>
          </w:p>
        </w:tc>
        <w:tc>
          <w:tcPr>
            <w:tcW w:w="1380" w:type="dxa"/>
            <w:tcBorders>
              <w:top w:val="nil"/>
              <w:left w:val="single" w:sz="6" w:space="0" w:color="000000"/>
              <w:bottom w:val="nil"/>
              <w:right w:val="single" w:sz="6" w:space="0" w:color="000000"/>
            </w:tcBorders>
            <w:vAlign w:val="center"/>
          </w:tcPr>
          <w:p w14:paraId="6A2F79FB"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24,5</w:t>
            </w:r>
          </w:p>
        </w:tc>
        <w:tc>
          <w:tcPr>
            <w:tcW w:w="1380" w:type="dxa"/>
            <w:tcBorders>
              <w:top w:val="nil"/>
              <w:left w:val="single" w:sz="6" w:space="0" w:color="000000"/>
              <w:bottom w:val="nil"/>
              <w:right w:val="single" w:sz="6" w:space="0" w:color="000000"/>
            </w:tcBorders>
            <w:vAlign w:val="center"/>
          </w:tcPr>
          <w:p w14:paraId="3A679203"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45 do 50</w:t>
            </w:r>
          </w:p>
        </w:tc>
      </w:tr>
      <w:tr w:rsidR="000A3B2B" w14:paraId="10E80325" w14:textId="77777777" w:rsidTr="006904B4">
        <w:trPr>
          <w:trHeight w:val="60"/>
          <w:tblCellSpacing w:w="0" w:type="dxa"/>
        </w:trPr>
        <w:tc>
          <w:tcPr>
            <w:tcW w:w="562" w:type="dxa"/>
            <w:tcBorders>
              <w:top w:val="nil"/>
              <w:left w:val="single" w:sz="6" w:space="0" w:color="000000"/>
              <w:bottom w:val="single" w:sz="6" w:space="0" w:color="000000"/>
              <w:right w:val="single" w:sz="6" w:space="0" w:color="000000"/>
            </w:tcBorders>
          </w:tcPr>
          <w:p w14:paraId="27B68227" w14:textId="77777777" w:rsidR="000A3B2B" w:rsidRDefault="000A3B2B" w:rsidP="006904B4">
            <w:pPr>
              <w:autoSpaceDE w:val="0"/>
              <w:autoSpaceDN w:val="0"/>
              <w:adjustRightInd w:val="0"/>
              <w:spacing w:after="0" w:line="240" w:lineRule="auto"/>
              <w:rPr>
                <w:rFonts w:ascii="Arial" w:hAnsi="Arial" w:cs="Arial"/>
                <w:sz w:val="18"/>
                <w:szCs w:val="18"/>
                <w:lang w:val="x-none"/>
              </w:rPr>
            </w:pPr>
          </w:p>
        </w:tc>
        <w:tc>
          <w:tcPr>
            <w:tcW w:w="6106" w:type="dxa"/>
            <w:tcBorders>
              <w:top w:val="nil"/>
              <w:left w:val="single" w:sz="6" w:space="0" w:color="000000"/>
              <w:bottom w:val="single" w:sz="6" w:space="0" w:color="000000"/>
              <w:right w:val="single" w:sz="6" w:space="0" w:color="000000"/>
            </w:tcBorders>
          </w:tcPr>
          <w:p w14:paraId="1FABDE86" w14:textId="77777777" w:rsidR="000A3B2B" w:rsidRDefault="000A3B2B" w:rsidP="006904B4">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Tuf wulkaniczny zbity</w:t>
            </w:r>
          </w:p>
        </w:tc>
        <w:tc>
          <w:tcPr>
            <w:tcW w:w="1380" w:type="dxa"/>
            <w:tcBorders>
              <w:top w:val="nil"/>
              <w:left w:val="single" w:sz="6" w:space="0" w:color="000000"/>
              <w:bottom w:val="single" w:sz="6" w:space="0" w:color="000000"/>
              <w:right w:val="single" w:sz="6" w:space="0" w:color="000000"/>
            </w:tcBorders>
            <w:vAlign w:val="center"/>
          </w:tcPr>
          <w:p w14:paraId="1F8471AE"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18,6</w:t>
            </w:r>
          </w:p>
        </w:tc>
        <w:tc>
          <w:tcPr>
            <w:tcW w:w="1380" w:type="dxa"/>
            <w:tcBorders>
              <w:top w:val="nil"/>
              <w:left w:val="single" w:sz="6" w:space="0" w:color="000000"/>
              <w:bottom w:val="single" w:sz="6" w:space="0" w:color="000000"/>
              <w:right w:val="single" w:sz="6" w:space="0" w:color="000000"/>
            </w:tcBorders>
            <w:vAlign w:val="center"/>
          </w:tcPr>
          <w:p w14:paraId="3709E020"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45 do 50</w:t>
            </w:r>
          </w:p>
        </w:tc>
      </w:tr>
      <w:tr w:rsidR="000A3B2B" w14:paraId="11AF2DF2" w14:textId="77777777" w:rsidTr="006904B4">
        <w:trPr>
          <w:trHeight w:val="60"/>
          <w:tblCellSpacing w:w="0" w:type="dxa"/>
        </w:trPr>
        <w:tc>
          <w:tcPr>
            <w:tcW w:w="562" w:type="dxa"/>
            <w:tcBorders>
              <w:top w:val="single" w:sz="6" w:space="0" w:color="000000"/>
              <w:left w:val="single" w:sz="6" w:space="0" w:color="000000"/>
              <w:bottom w:val="nil"/>
              <w:right w:val="single" w:sz="6" w:space="0" w:color="000000"/>
            </w:tcBorders>
          </w:tcPr>
          <w:p w14:paraId="2FCD5BEA"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7.</w:t>
            </w:r>
          </w:p>
        </w:tc>
        <w:tc>
          <w:tcPr>
            <w:tcW w:w="6106" w:type="dxa"/>
            <w:tcBorders>
              <w:top w:val="single" w:sz="6" w:space="0" w:color="000000"/>
              <w:left w:val="single" w:sz="6" w:space="0" w:color="000000"/>
              <w:bottom w:val="nil"/>
              <w:right w:val="single" w:sz="6" w:space="0" w:color="000000"/>
            </w:tcBorders>
          </w:tcPr>
          <w:p w14:paraId="744BDFB2" w14:textId="77777777" w:rsidR="000A3B2B" w:rsidRDefault="000A3B2B" w:rsidP="006904B4">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Łupek piaszczysto-wapnisty</w:t>
            </w:r>
          </w:p>
        </w:tc>
        <w:tc>
          <w:tcPr>
            <w:tcW w:w="1380" w:type="dxa"/>
            <w:tcBorders>
              <w:top w:val="single" w:sz="6" w:space="0" w:color="000000"/>
              <w:left w:val="single" w:sz="6" w:space="0" w:color="000000"/>
              <w:bottom w:val="nil"/>
              <w:right w:val="single" w:sz="6" w:space="0" w:color="000000"/>
            </w:tcBorders>
            <w:vAlign w:val="center"/>
          </w:tcPr>
          <w:p w14:paraId="1DD198A4"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23,5</w:t>
            </w:r>
          </w:p>
        </w:tc>
        <w:tc>
          <w:tcPr>
            <w:tcW w:w="1380" w:type="dxa"/>
            <w:tcBorders>
              <w:top w:val="single" w:sz="6" w:space="0" w:color="000000"/>
              <w:left w:val="single" w:sz="6" w:space="0" w:color="000000"/>
              <w:bottom w:val="nil"/>
              <w:right w:val="single" w:sz="6" w:space="0" w:color="000000"/>
            </w:tcBorders>
            <w:vAlign w:val="center"/>
          </w:tcPr>
          <w:p w14:paraId="0CD9917D"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45 do 50</w:t>
            </w:r>
          </w:p>
        </w:tc>
      </w:tr>
      <w:tr w:rsidR="000A3B2B" w14:paraId="1482769D" w14:textId="77777777" w:rsidTr="006904B4">
        <w:trPr>
          <w:trHeight w:val="60"/>
          <w:tblCellSpacing w:w="0" w:type="dxa"/>
        </w:trPr>
        <w:tc>
          <w:tcPr>
            <w:tcW w:w="562" w:type="dxa"/>
            <w:tcBorders>
              <w:top w:val="nil"/>
              <w:left w:val="single" w:sz="6" w:space="0" w:color="000000"/>
              <w:bottom w:val="nil"/>
              <w:right w:val="single" w:sz="6" w:space="0" w:color="000000"/>
            </w:tcBorders>
          </w:tcPr>
          <w:p w14:paraId="088265F9" w14:textId="77777777" w:rsidR="000A3B2B" w:rsidRDefault="000A3B2B" w:rsidP="006904B4">
            <w:pPr>
              <w:autoSpaceDE w:val="0"/>
              <w:autoSpaceDN w:val="0"/>
              <w:adjustRightInd w:val="0"/>
              <w:spacing w:after="0" w:line="240" w:lineRule="auto"/>
              <w:rPr>
                <w:rFonts w:ascii="Arial" w:hAnsi="Arial" w:cs="Arial"/>
                <w:sz w:val="18"/>
                <w:szCs w:val="18"/>
                <w:lang w:val="x-none"/>
              </w:rPr>
            </w:pPr>
          </w:p>
        </w:tc>
        <w:tc>
          <w:tcPr>
            <w:tcW w:w="6106" w:type="dxa"/>
            <w:tcBorders>
              <w:top w:val="nil"/>
              <w:left w:val="single" w:sz="6" w:space="0" w:color="000000"/>
              <w:bottom w:val="nil"/>
              <w:right w:val="single" w:sz="6" w:space="0" w:color="000000"/>
            </w:tcBorders>
          </w:tcPr>
          <w:p w14:paraId="0D8EB8C2" w14:textId="77777777" w:rsidR="000A3B2B" w:rsidRDefault="000A3B2B" w:rsidP="006904B4">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Piaskowiec ilasto-wapnisty twardy</w:t>
            </w:r>
          </w:p>
        </w:tc>
        <w:tc>
          <w:tcPr>
            <w:tcW w:w="1380" w:type="dxa"/>
            <w:tcBorders>
              <w:top w:val="nil"/>
              <w:left w:val="single" w:sz="6" w:space="0" w:color="000000"/>
              <w:bottom w:val="nil"/>
              <w:right w:val="single" w:sz="6" w:space="0" w:color="000000"/>
            </w:tcBorders>
            <w:vAlign w:val="center"/>
          </w:tcPr>
          <w:p w14:paraId="37529FE7"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23,5</w:t>
            </w:r>
          </w:p>
        </w:tc>
        <w:tc>
          <w:tcPr>
            <w:tcW w:w="1380" w:type="dxa"/>
            <w:tcBorders>
              <w:top w:val="nil"/>
              <w:left w:val="single" w:sz="6" w:space="0" w:color="000000"/>
              <w:bottom w:val="nil"/>
              <w:right w:val="single" w:sz="6" w:space="0" w:color="000000"/>
            </w:tcBorders>
            <w:vAlign w:val="center"/>
          </w:tcPr>
          <w:p w14:paraId="77CD27F2"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45 do 50</w:t>
            </w:r>
          </w:p>
        </w:tc>
      </w:tr>
      <w:tr w:rsidR="000A3B2B" w14:paraId="733AA992" w14:textId="77777777" w:rsidTr="006904B4">
        <w:trPr>
          <w:trHeight w:val="60"/>
          <w:tblCellSpacing w:w="0" w:type="dxa"/>
        </w:trPr>
        <w:tc>
          <w:tcPr>
            <w:tcW w:w="562" w:type="dxa"/>
            <w:tcBorders>
              <w:top w:val="nil"/>
              <w:left w:val="single" w:sz="6" w:space="0" w:color="000000"/>
              <w:bottom w:val="nil"/>
              <w:right w:val="single" w:sz="6" w:space="0" w:color="000000"/>
            </w:tcBorders>
          </w:tcPr>
          <w:p w14:paraId="6C0D16B6" w14:textId="77777777" w:rsidR="000A3B2B" w:rsidRDefault="000A3B2B" w:rsidP="006904B4">
            <w:pPr>
              <w:autoSpaceDE w:val="0"/>
              <w:autoSpaceDN w:val="0"/>
              <w:adjustRightInd w:val="0"/>
              <w:spacing w:after="0" w:line="240" w:lineRule="auto"/>
              <w:rPr>
                <w:rFonts w:ascii="Arial" w:hAnsi="Arial" w:cs="Arial"/>
                <w:sz w:val="18"/>
                <w:szCs w:val="18"/>
                <w:lang w:val="x-none"/>
              </w:rPr>
            </w:pPr>
          </w:p>
        </w:tc>
        <w:tc>
          <w:tcPr>
            <w:tcW w:w="6106" w:type="dxa"/>
            <w:tcBorders>
              <w:top w:val="nil"/>
              <w:left w:val="single" w:sz="6" w:space="0" w:color="000000"/>
              <w:bottom w:val="nil"/>
              <w:right w:val="single" w:sz="6" w:space="0" w:color="000000"/>
            </w:tcBorders>
          </w:tcPr>
          <w:p w14:paraId="4D2D2E5D" w14:textId="77777777" w:rsidR="000A3B2B" w:rsidRDefault="000A3B2B" w:rsidP="006904B4">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Zlepieńce z otoczaków głównie skał osadowych o spoiwie krzemionkowym</w:t>
            </w:r>
          </w:p>
        </w:tc>
        <w:tc>
          <w:tcPr>
            <w:tcW w:w="1380" w:type="dxa"/>
            <w:tcBorders>
              <w:top w:val="nil"/>
              <w:left w:val="single" w:sz="6" w:space="0" w:color="000000"/>
              <w:bottom w:val="nil"/>
              <w:right w:val="single" w:sz="6" w:space="0" w:color="000000"/>
            </w:tcBorders>
            <w:vAlign w:val="center"/>
          </w:tcPr>
          <w:p w14:paraId="59589581"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23,5</w:t>
            </w:r>
          </w:p>
        </w:tc>
        <w:tc>
          <w:tcPr>
            <w:tcW w:w="1380" w:type="dxa"/>
            <w:tcBorders>
              <w:top w:val="nil"/>
              <w:left w:val="single" w:sz="6" w:space="0" w:color="000000"/>
              <w:bottom w:val="nil"/>
              <w:right w:val="single" w:sz="6" w:space="0" w:color="000000"/>
            </w:tcBorders>
            <w:vAlign w:val="center"/>
          </w:tcPr>
          <w:p w14:paraId="366C4909"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45 do 50</w:t>
            </w:r>
          </w:p>
        </w:tc>
      </w:tr>
      <w:tr w:rsidR="000A3B2B" w14:paraId="0B765174" w14:textId="77777777" w:rsidTr="006904B4">
        <w:trPr>
          <w:trHeight w:val="60"/>
          <w:tblCellSpacing w:w="0" w:type="dxa"/>
        </w:trPr>
        <w:tc>
          <w:tcPr>
            <w:tcW w:w="562" w:type="dxa"/>
            <w:tcBorders>
              <w:top w:val="nil"/>
              <w:left w:val="single" w:sz="6" w:space="0" w:color="000000"/>
              <w:bottom w:val="nil"/>
              <w:right w:val="single" w:sz="6" w:space="0" w:color="000000"/>
            </w:tcBorders>
          </w:tcPr>
          <w:p w14:paraId="2C8834EF" w14:textId="77777777" w:rsidR="000A3B2B" w:rsidRDefault="000A3B2B" w:rsidP="006904B4">
            <w:pPr>
              <w:autoSpaceDE w:val="0"/>
              <w:autoSpaceDN w:val="0"/>
              <w:adjustRightInd w:val="0"/>
              <w:spacing w:after="0" w:line="240" w:lineRule="auto"/>
              <w:rPr>
                <w:rFonts w:ascii="Arial" w:hAnsi="Arial" w:cs="Arial"/>
                <w:sz w:val="18"/>
                <w:szCs w:val="18"/>
                <w:lang w:val="x-none"/>
              </w:rPr>
            </w:pPr>
          </w:p>
        </w:tc>
        <w:tc>
          <w:tcPr>
            <w:tcW w:w="6106" w:type="dxa"/>
            <w:tcBorders>
              <w:top w:val="nil"/>
              <w:left w:val="single" w:sz="6" w:space="0" w:color="000000"/>
              <w:bottom w:val="nil"/>
              <w:right w:val="single" w:sz="6" w:space="0" w:color="000000"/>
            </w:tcBorders>
          </w:tcPr>
          <w:p w14:paraId="00638813" w14:textId="77777777" w:rsidR="000A3B2B" w:rsidRDefault="000A3B2B" w:rsidP="006904B4">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Wapień niezwietrzały</w:t>
            </w:r>
          </w:p>
        </w:tc>
        <w:tc>
          <w:tcPr>
            <w:tcW w:w="1380" w:type="dxa"/>
            <w:tcBorders>
              <w:top w:val="nil"/>
              <w:left w:val="single" w:sz="6" w:space="0" w:color="000000"/>
              <w:bottom w:val="nil"/>
              <w:right w:val="single" w:sz="6" w:space="0" w:color="000000"/>
            </w:tcBorders>
            <w:vAlign w:val="center"/>
          </w:tcPr>
          <w:p w14:paraId="0567ECD0"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23,5</w:t>
            </w:r>
          </w:p>
        </w:tc>
        <w:tc>
          <w:tcPr>
            <w:tcW w:w="1380" w:type="dxa"/>
            <w:tcBorders>
              <w:top w:val="nil"/>
              <w:left w:val="single" w:sz="6" w:space="0" w:color="000000"/>
              <w:bottom w:val="nil"/>
              <w:right w:val="single" w:sz="6" w:space="0" w:color="000000"/>
            </w:tcBorders>
            <w:vAlign w:val="center"/>
          </w:tcPr>
          <w:p w14:paraId="7EF4ABF8"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45 do 50</w:t>
            </w:r>
          </w:p>
        </w:tc>
      </w:tr>
      <w:tr w:rsidR="000A3B2B" w14:paraId="24D82637" w14:textId="77777777" w:rsidTr="006904B4">
        <w:trPr>
          <w:trHeight w:val="60"/>
          <w:tblCellSpacing w:w="0" w:type="dxa"/>
        </w:trPr>
        <w:tc>
          <w:tcPr>
            <w:tcW w:w="562" w:type="dxa"/>
            <w:tcBorders>
              <w:top w:val="nil"/>
              <w:left w:val="single" w:sz="6" w:space="0" w:color="000000"/>
              <w:bottom w:val="nil"/>
              <w:right w:val="single" w:sz="6" w:space="0" w:color="000000"/>
            </w:tcBorders>
          </w:tcPr>
          <w:p w14:paraId="551F8251" w14:textId="77777777" w:rsidR="000A3B2B" w:rsidRDefault="000A3B2B" w:rsidP="006904B4">
            <w:pPr>
              <w:autoSpaceDE w:val="0"/>
              <w:autoSpaceDN w:val="0"/>
              <w:adjustRightInd w:val="0"/>
              <w:spacing w:after="0" w:line="240" w:lineRule="auto"/>
              <w:rPr>
                <w:rFonts w:ascii="Arial" w:hAnsi="Arial" w:cs="Arial"/>
                <w:sz w:val="18"/>
                <w:szCs w:val="18"/>
                <w:lang w:val="x-none"/>
              </w:rPr>
            </w:pPr>
          </w:p>
        </w:tc>
        <w:tc>
          <w:tcPr>
            <w:tcW w:w="6106" w:type="dxa"/>
            <w:tcBorders>
              <w:top w:val="nil"/>
              <w:left w:val="single" w:sz="6" w:space="0" w:color="000000"/>
              <w:bottom w:val="nil"/>
              <w:right w:val="single" w:sz="6" w:space="0" w:color="000000"/>
            </w:tcBorders>
          </w:tcPr>
          <w:p w14:paraId="34D73997" w14:textId="77777777" w:rsidR="000A3B2B" w:rsidRDefault="000A3B2B" w:rsidP="006904B4">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Magnezyt</w:t>
            </w:r>
          </w:p>
        </w:tc>
        <w:tc>
          <w:tcPr>
            <w:tcW w:w="1380" w:type="dxa"/>
            <w:tcBorders>
              <w:top w:val="nil"/>
              <w:left w:val="single" w:sz="6" w:space="0" w:color="000000"/>
              <w:bottom w:val="nil"/>
              <w:right w:val="single" w:sz="6" w:space="0" w:color="000000"/>
            </w:tcBorders>
            <w:vAlign w:val="center"/>
          </w:tcPr>
          <w:p w14:paraId="3FC9195E"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28,4</w:t>
            </w:r>
          </w:p>
        </w:tc>
        <w:tc>
          <w:tcPr>
            <w:tcW w:w="1380" w:type="dxa"/>
            <w:tcBorders>
              <w:top w:val="nil"/>
              <w:left w:val="single" w:sz="6" w:space="0" w:color="000000"/>
              <w:bottom w:val="nil"/>
              <w:right w:val="single" w:sz="6" w:space="0" w:color="000000"/>
            </w:tcBorders>
            <w:vAlign w:val="center"/>
          </w:tcPr>
          <w:p w14:paraId="20DEF7E1"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45 do 50</w:t>
            </w:r>
          </w:p>
        </w:tc>
      </w:tr>
      <w:tr w:rsidR="000A3B2B" w14:paraId="25E9BA00" w14:textId="77777777" w:rsidTr="006904B4">
        <w:trPr>
          <w:trHeight w:val="60"/>
          <w:tblCellSpacing w:w="0" w:type="dxa"/>
        </w:trPr>
        <w:tc>
          <w:tcPr>
            <w:tcW w:w="562" w:type="dxa"/>
            <w:tcBorders>
              <w:top w:val="nil"/>
              <w:left w:val="single" w:sz="6" w:space="0" w:color="000000"/>
              <w:bottom w:val="single" w:sz="6" w:space="0" w:color="000000"/>
              <w:right w:val="single" w:sz="6" w:space="0" w:color="000000"/>
            </w:tcBorders>
          </w:tcPr>
          <w:p w14:paraId="133EDDA8" w14:textId="77777777" w:rsidR="000A3B2B" w:rsidRDefault="000A3B2B" w:rsidP="006904B4">
            <w:pPr>
              <w:autoSpaceDE w:val="0"/>
              <w:autoSpaceDN w:val="0"/>
              <w:adjustRightInd w:val="0"/>
              <w:spacing w:after="0" w:line="240" w:lineRule="auto"/>
              <w:rPr>
                <w:rFonts w:ascii="Arial" w:hAnsi="Arial" w:cs="Arial"/>
                <w:sz w:val="18"/>
                <w:szCs w:val="18"/>
                <w:lang w:val="x-none"/>
              </w:rPr>
            </w:pPr>
          </w:p>
        </w:tc>
        <w:tc>
          <w:tcPr>
            <w:tcW w:w="6106" w:type="dxa"/>
            <w:tcBorders>
              <w:top w:val="nil"/>
              <w:left w:val="single" w:sz="6" w:space="0" w:color="000000"/>
              <w:bottom w:val="single" w:sz="6" w:space="0" w:color="000000"/>
              <w:right w:val="single" w:sz="6" w:space="0" w:color="000000"/>
            </w:tcBorders>
          </w:tcPr>
          <w:p w14:paraId="6DCA290E" w14:textId="77777777" w:rsidR="000A3B2B" w:rsidRDefault="000A3B2B" w:rsidP="006904B4">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Granit i gnejs silnie zwietrzałe</w:t>
            </w:r>
          </w:p>
        </w:tc>
        <w:tc>
          <w:tcPr>
            <w:tcW w:w="1380" w:type="dxa"/>
            <w:tcBorders>
              <w:top w:val="nil"/>
              <w:left w:val="single" w:sz="6" w:space="0" w:color="000000"/>
              <w:bottom w:val="single" w:sz="6" w:space="0" w:color="000000"/>
              <w:right w:val="single" w:sz="6" w:space="0" w:color="000000"/>
            </w:tcBorders>
            <w:vAlign w:val="center"/>
          </w:tcPr>
          <w:p w14:paraId="7F95F2AC"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23,5</w:t>
            </w:r>
          </w:p>
        </w:tc>
        <w:tc>
          <w:tcPr>
            <w:tcW w:w="1380" w:type="dxa"/>
            <w:tcBorders>
              <w:top w:val="nil"/>
              <w:left w:val="single" w:sz="6" w:space="0" w:color="000000"/>
              <w:bottom w:val="single" w:sz="6" w:space="0" w:color="000000"/>
              <w:right w:val="single" w:sz="6" w:space="0" w:color="000000"/>
            </w:tcBorders>
            <w:vAlign w:val="center"/>
          </w:tcPr>
          <w:p w14:paraId="368BA29A"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45 do 50</w:t>
            </w:r>
          </w:p>
        </w:tc>
      </w:tr>
      <w:tr w:rsidR="000A3B2B" w14:paraId="6F9F6F60" w14:textId="77777777" w:rsidTr="006904B4">
        <w:trPr>
          <w:trHeight w:val="60"/>
          <w:tblCellSpacing w:w="0" w:type="dxa"/>
        </w:trPr>
        <w:tc>
          <w:tcPr>
            <w:tcW w:w="562" w:type="dxa"/>
            <w:tcBorders>
              <w:top w:val="single" w:sz="6" w:space="0" w:color="000000"/>
              <w:left w:val="single" w:sz="6" w:space="0" w:color="000000"/>
              <w:bottom w:val="nil"/>
              <w:right w:val="single" w:sz="6" w:space="0" w:color="000000"/>
            </w:tcBorders>
          </w:tcPr>
          <w:p w14:paraId="1291537E"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8.</w:t>
            </w:r>
          </w:p>
        </w:tc>
        <w:tc>
          <w:tcPr>
            <w:tcW w:w="6106" w:type="dxa"/>
            <w:tcBorders>
              <w:top w:val="single" w:sz="6" w:space="0" w:color="000000"/>
              <w:left w:val="single" w:sz="6" w:space="0" w:color="000000"/>
              <w:bottom w:val="nil"/>
              <w:right w:val="single" w:sz="6" w:space="0" w:color="000000"/>
            </w:tcBorders>
          </w:tcPr>
          <w:p w14:paraId="6C3CB2CE" w14:textId="77777777" w:rsidR="000A3B2B" w:rsidRDefault="000A3B2B" w:rsidP="006904B4">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Łupek plastyczny twardy niespękany</w:t>
            </w:r>
          </w:p>
        </w:tc>
        <w:tc>
          <w:tcPr>
            <w:tcW w:w="1380" w:type="dxa"/>
            <w:tcBorders>
              <w:top w:val="single" w:sz="6" w:space="0" w:color="000000"/>
              <w:left w:val="single" w:sz="6" w:space="0" w:color="000000"/>
              <w:bottom w:val="nil"/>
              <w:right w:val="single" w:sz="6" w:space="0" w:color="000000"/>
            </w:tcBorders>
            <w:vAlign w:val="center"/>
          </w:tcPr>
          <w:p w14:paraId="6FA48537"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24,5</w:t>
            </w:r>
          </w:p>
        </w:tc>
        <w:tc>
          <w:tcPr>
            <w:tcW w:w="1380" w:type="dxa"/>
            <w:tcBorders>
              <w:top w:val="single" w:sz="6" w:space="0" w:color="000000"/>
              <w:left w:val="single" w:sz="6" w:space="0" w:color="000000"/>
              <w:bottom w:val="nil"/>
              <w:right w:val="single" w:sz="6" w:space="0" w:color="000000"/>
            </w:tcBorders>
            <w:vAlign w:val="center"/>
          </w:tcPr>
          <w:p w14:paraId="15977CE7"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45 do 50</w:t>
            </w:r>
          </w:p>
        </w:tc>
      </w:tr>
      <w:tr w:rsidR="000A3B2B" w14:paraId="4298F176" w14:textId="77777777" w:rsidTr="006904B4">
        <w:trPr>
          <w:trHeight w:val="60"/>
          <w:tblCellSpacing w:w="0" w:type="dxa"/>
        </w:trPr>
        <w:tc>
          <w:tcPr>
            <w:tcW w:w="562" w:type="dxa"/>
            <w:tcBorders>
              <w:top w:val="nil"/>
              <w:left w:val="single" w:sz="6" w:space="0" w:color="000000"/>
              <w:bottom w:val="nil"/>
              <w:right w:val="single" w:sz="6" w:space="0" w:color="000000"/>
            </w:tcBorders>
          </w:tcPr>
          <w:p w14:paraId="52809E53" w14:textId="77777777" w:rsidR="000A3B2B" w:rsidRDefault="000A3B2B" w:rsidP="006904B4">
            <w:pPr>
              <w:autoSpaceDE w:val="0"/>
              <w:autoSpaceDN w:val="0"/>
              <w:adjustRightInd w:val="0"/>
              <w:spacing w:after="0" w:line="240" w:lineRule="auto"/>
              <w:rPr>
                <w:rFonts w:ascii="Arial" w:hAnsi="Arial" w:cs="Arial"/>
                <w:sz w:val="18"/>
                <w:szCs w:val="18"/>
                <w:lang w:val="x-none"/>
              </w:rPr>
            </w:pPr>
          </w:p>
        </w:tc>
        <w:tc>
          <w:tcPr>
            <w:tcW w:w="6106" w:type="dxa"/>
            <w:tcBorders>
              <w:top w:val="nil"/>
              <w:left w:val="single" w:sz="6" w:space="0" w:color="000000"/>
              <w:bottom w:val="nil"/>
              <w:right w:val="single" w:sz="6" w:space="0" w:color="000000"/>
            </w:tcBorders>
          </w:tcPr>
          <w:p w14:paraId="2B46B816" w14:textId="77777777" w:rsidR="000A3B2B" w:rsidRDefault="000A3B2B" w:rsidP="006904B4">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Piaskowiec twardy o spoiwie wapiennym</w:t>
            </w:r>
          </w:p>
        </w:tc>
        <w:tc>
          <w:tcPr>
            <w:tcW w:w="1380" w:type="dxa"/>
            <w:tcBorders>
              <w:top w:val="nil"/>
              <w:left w:val="single" w:sz="6" w:space="0" w:color="000000"/>
              <w:bottom w:val="nil"/>
              <w:right w:val="single" w:sz="6" w:space="0" w:color="000000"/>
            </w:tcBorders>
            <w:vAlign w:val="center"/>
          </w:tcPr>
          <w:p w14:paraId="5310E6FA"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24,5</w:t>
            </w:r>
          </w:p>
        </w:tc>
        <w:tc>
          <w:tcPr>
            <w:tcW w:w="1380" w:type="dxa"/>
            <w:tcBorders>
              <w:top w:val="nil"/>
              <w:left w:val="single" w:sz="6" w:space="0" w:color="000000"/>
              <w:bottom w:val="nil"/>
              <w:right w:val="single" w:sz="6" w:space="0" w:color="000000"/>
            </w:tcBorders>
            <w:vAlign w:val="center"/>
          </w:tcPr>
          <w:p w14:paraId="4A79ED7F"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45 do 50</w:t>
            </w:r>
          </w:p>
        </w:tc>
      </w:tr>
      <w:tr w:rsidR="000A3B2B" w14:paraId="043A414A" w14:textId="77777777" w:rsidTr="006904B4">
        <w:trPr>
          <w:trHeight w:val="60"/>
          <w:tblCellSpacing w:w="0" w:type="dxa"/>
        </w:trPr>
        <w:tc>
          <w:tcPr>
            <w:tcW w:w="562" w:type="dxa"/>
            <w:tcBorders>
              <w:top w:val="nil"/>
              <w:left w:val="single" w:sz="6" w:space="0" w:color="000000"/>
              <w:bottom w:val="nil"/>
              <w:right w:val="single" w:sz="6" w:space="0" w:color="000000"/>
            </w:tcBorders>
          </w:tcPr>
          <w:p w14:paraId="00740AEC" w14:textId="77777777" w:rsidR="000A3B2B" w:rsidRDefault="000A3B2B" w:rsidP="006904B4">
            <w:pPr>
              <w:autoSpaceDE w:val="0"/>
              <w:autoSpaceDN w:val="0"/>
              <w:adjustRightInd w:val="0"/>
              <w:spacing w:after="0" w:line="240" w:lineRule="auto"/>
              <w:rPr>
                <w:rFonts w:ascii="Arial" w:hAnsi="Arial" w:cs="Arial"/>
                <w:sz w:val="18"/>
                <w:szCs w:val="18"/>
                <w:lang w:val="x-none"/>
              </w:rPr>
            </w:pPr>
          </w:p>
        </w:tc>
        <w:tc>
          <w:tcPr>
            <w:tcW w:w="6106" w:type="dxa"/>
            <w:tcBorders>
              <w:top w:val="nil"/>
              <w:left w:val="single" w:sz="6" w:space="0" w:color="000000"/>
              <w:bottom w:val="nil"/>
              <w:right w:val="single" w:sz="6" w:space="0" w:color="000000"/>
            </w:tcBorders>
          </w:tcPr>
          <w:p w14:paraId="7ED3A50C" w14:textId="77777777" w:rsidR="000A3B2B" w:rsidRDefault="000A3B2B" w:rsidP="006904B4">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Wapień twardy niezwietrzały</w:t>
            </w:r>
          </w:p>
        </w:tc>
        <w:tc>
          <w:tcPr>
            <w:tcW w:w="1380" w:type="dxa"/>
            <w:tcBorders>
              <w:top w:val="nil"/>
              <w:left w:val="single" w:sz="6" w:space="0" w:color="000000"/>
              <w:bottom w:val="nil"/>
              <w:right w:val="single" w:sz="6" w:space="0" w:color="000000"/>
            </w:tcBorders>
            <w:vAlign w:val="center"/>
          </w:tcPr>
          <w:p w14:paraId="186FA8BC"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24,5</w:t>
            </w:r>
          </w:p>
        </w:tc>
        <w:tc>
          <w:tcPr>
            <w:tcW w:w="1380" w:type="dxa"/>
            <w:tcBorders>
              <w:top w:val="nil"/>
              <w:left w:val="single" w:sz="6" w:space="0" w:color="000000"/>
              <w:bottom w:val="nil"/>
              <w:right w:val="single" w:sz="6" w:space="0" w:color="000000"/>
            </w:tcBorders>
            <w:vAlign w:val="center"/>
          </w:tcPr>
          <w:p w14:paraId="0EA8FE8E"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45 do 50</w:t>
            </w:r>
          </w:p>
        </w:tc>
      </w:tr>
      <w:tr w:rsidR="000A3B2B" w14:paraId="3124B98A" w14:textId="77777777" w:rsidTr="006904B4">
        <w:trPr>
          <w:trHeight w:val="60"/>
          <w:tblCellSpacing w:w="0" w:type="dxa"/>
        </w:trPr>
        <w:tc>
          <w:tcPr>
            <w:tcW w:w="562" w:type="dxa"/>
            <w:tcBorders>
              <w:top w:val="nil"/>
              <w:left w:val="single" w:sz="6" w:space="0" w:color="000000"/>
              <w:bottom w:val="nil"/>
              <w:right w:val="single" w:sz="6" w:space="0" w:color="000000"/>
            </w:tcBorders>
          </w:tcPr>
          <w:p w14:paraId="49E77419" w14:textId="77777777" w:rsidR="000A3B2B" w:rsidRDefault="000A3B2B" w:rsidP="006904B4">
            <w:pPr>
              <w:autoSpaceDE w:val="0"/>
              <w:autoSpaceDN w:val="0"/>
              <w:adjustRightInd w:val="0"/>
              <w:spacing w:after="0" w:line="240" w:lineRule="auto"/>
              <w:rPr>
                <w:rFonts w:ascii="Arial" w:hAnsi="Arial" w:cs="Arial"/>
                <w:sz w:val="18"/>
                <w:szCs w:val="18"/>
                <w:lang w:val="x-none"/>
              </w:rPr>
            </w:pPr>
          </w:p>
        </w:tc>
        <w:tc>
          <w:tcPr>
            <w:tcW w:w="6106" w:type="dxa"/>
            <w:tcBorders>
              <w:top w:val="nil"/>
              <w:left w:val="single" w:sz="6" w:space="0" w:color="000000"/>
              <w:bottom w:val="nil"/>
              <w:right w:val="single" w:sz="6" w:space="0" w:color="000000"/>
            </w:tcBorders>
          </w:tcPr>
          <w:p w14:paraId="4F5DB01C" w14:textId="77777777" w:rsidR="000A3B2B" w:rsidRDefault="000A3B2B" w:rsidP="006904B4">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Marmur i wapień krystaliczny</w:t>
            </w:r>
          </w:p>
        </w:tc>
        <w:tc>
          <w:tcPr>
            <w:tcW w:w="1380" w:type="dxa"/>
            <w:tcBorders>
              <w:top w:val="nil"/>
              <w:left w:val="single" w:sz="6" w:space="0" w:color="000000"/>
              <w:bottom w:val="nil"/>
              <w:right w:val="single" w:sz="6" w:space="0" w:color="000000"/>
            </w:tcBorders>
            <w:vAlign w:val="center"/>
          </w:tcPr>
          <w:p w14:paraId="5839F185"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25,5</w:t>
            </w:r>
          </w:p>
        </w:tc>
        <w:tc>
          <w:tcPr>
            <w:tcW w:w="1380" w:type="dxa"/>
            <w:tcBorders>
              <w:top w:val="nil"/>
              <w:left w:val="single" w:sz="6" w:space="0" w:color="000000"/>
              <w:bottom w:val="nil"/>
              <w:right w:val="single" w:sz="6" w:space="0" w:color="000000"/>
            </w:tcBorders>
            <w:vAlign w:val="center"/>
          </w:tcPr>
          <w:p w14:paraId="41F362DE"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45 do 50</w:t>
            </w:r>
          </w:p>
        </w:tc>
      </w:tr>
      <w:tr w:rsidR="000A3B2B" w14:paraId="6B64356A" w14:textId="77777777" w:rsidTr="006904B4">
        <w:trPr>
          <w:trHeight w:val="60"/>
          <w:tblCellSpacing w:w="0" w:type="dxa"/>
        </w:trPr>
        <w:tc>
          <w:tcPr>
            <w:tcW w:w="562" w:type="dxa"/>
            <w:tcBorders>
              <w:top w:val="nil"/>
              <w:left w:val="single" w:sz="6" w:space="0" w:color="000000"/>
              <w:bottom w:val="single" w:sz="6" w:space="0" w:color="000000"/>
              <w:right w:val="single" w:sz="6" w:space="0" w:color="000000"/>
            </w:tcBorders>
          </w:tcPr>
          <w:p w14:paraId="68EEA345" w14:textId="77777777" w:rsidR="000A3B2B" w:rsidRDefault="000A3B2B" w:rsidP="006904B4">
            <w:pPr>
              <w:autoSpaceDE w:val="0"/>
              <w:autoSpaceDN w:val="0"/>
              <w:adjustRightInd w:val="0"/>
              <w:spacing w:after="0" w:line="240" w:lineRule="auto"/>
              <w:rPr>
                <w:rFonts w:ascii="Arial" w:hAnsi="Arial" w:cs="Arial"/>
                <w:sz w:val="18"/>
                <w:szCs w:val="18"/>
                <w:lang w:val="x-none"/>
              </w:rPr>
            </w:pPr>
          </w:p>
        </w:tc>
        <w:tc>
          <w:tcPr>
            <w:tcW w:w="6106" w:type="dxa"/>
            <w:tcBorders>
              <w:top w:val="nil"/>
              <w:left w:val="single" w:sz="6" w:space="0" w:color="000000"/>
              <w:bottom w:val="single" w:sz="6" w:space="0" w:color="000000"/>
              <w:right w:val="single" w:sz="6" w:space="0" w:color="000000"/>
            </w:tcBorders>
          </w:tcPr>
          <w:p w14:paraId="25FA7A7D" w14:textId="77777777" w:rsidR="000A3B2B" w:rsidRDefault="000A3B2B" w:rsidP="006904B4">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Dolomit niezbyt twardy</w:t>
            </w:r>
          </w:p>
        </w:tc>
        <w:tc>
          <w:tcPr>
            <w:tcW w:w="1380" w:type="dxa"/>
            <w:tcBorders>
              <w:top w:val="nil"/>
              <w:left w:val="single" w:sz="6" w:space="0" w:color="000000"/>
              <w:bottom w:val="single" w:sz="6" w:space="0" w:color="000000"/>
              <w:right w:val="single" w:sz="6" w:space="0" w:color="000000"/>
            </w:tcBorders>
            <w:vAlign w:val="center"/>
          </w:tcPr>
          <w:p w14:paraId="1539E0E2"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24,5</w:t>
            </w:r>
          </w:p>
        </w:tc>
        <w:tc>
          <w:tcPr>
            <w:tcW w:w="1380" w:type="dxa"/>
            <w:tcBorders>
              <w:top w:val="nil"/>
              <w:left w:val="single" w:sz="6" w:space="0" w:color="000000"/>
              <w:bottom w:val="single" w:sz="6" w:space="0" w:color="000000"/>
              <w:right w:val="single" w:sz="6" w:space="0" w:color="000000"/>
            </w:tcBorders>
            <w:vAlign w:val="center"/>
          </w:tcPr>
          <w:p w14:paraId="6874FEEA"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45 do 50</w:t>
            </w:r>
          </w:p>
        </w:tc>
      </w:tr>
      <w:tr w:rsidR="000A3B2B" w14:paraId="5B6B356F" w14:textId="77777777" w:rsidTr="006904B4">
        <w:trPr>
          <w:trHeight w:val="60"/>
          <w:tblCellSpacing w:w="0" w:type="dxa"/>
        </w:trPr>
        <w:tc>
          <w:tcPr>
            <w:tcW w:w="562" w:type="dxa"/>
            <w:tcBorders>
              <w:top w:val="single" w:sz="6" w:space="0" w:color="000000"/>
              <w:left w:val="single" w:sz="6" w:space="0" w:color="000000"/>
              <w:bottom w:val="nil"/>
              <w:right w:val="single" w:sz="6" w:space="0" w:color="000000"/>
            </w:tcBorders>
          </w:tcPr>
          <w:p w14:paraId="7E621E9D"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9.</w:t>
            </w:r>
          </w:p>
        </w:tc>
        <w:tc>
          <w:tcPr>
            <w:tcW w:w="6106" w:type="dxa"/>
            <w:tcBorders>
              <w:top w:val="single" w:sz="6" w:space="0" w:color="000000"/>
              <w:left w:val="single" w:sz="6" w:space="0" w:color="000000"/>
              <w:bottom w:val="nil"/>
              <w:right w:val="single" w:sz="6" w:space="0" w:color="000000"/>
            </w:tcBorders>
          </w:tcPr>
          <w:p w14:paraId="153D57A9" w14:textId="77777777" w:rsidR="000A3B2B" w:rsidRDefault="000A3B2B" w:rsidP="006904B4">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Piaskowiec kwarcytowy lub o spoiwie ilasto-krzemionkowym</w:t>
            </w:r>
          </w:p>
        </w:tc>
        <w:tc>
          <w:tcPr>
            <w:tcW w:w="1380" w:type="dxa"/>
            <w:tcBorders>
              <w:top w:val="single" w:sz="6" w:space="0" w:color="000000"/>
              <w:left w:val="single" w:sz="6" w:space="0" w:color="000000"/>
              <w:bottom w:val="nil"/>
              <w:right w:val="single" w:sz="6" w:space="0" w:color="000000"/>
            </w:tcBorders>
            <w:vAlign w:val="center"/>
          </w:tcPr>
          <w:p w14:paraId="6D58B426"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25,5</w:t>
            </w:r>
          </w:p>
        </w:tc>
        <w:tc>
          <w:tcPr>
            <w:tcW w:w="1380" w:type="dxa"/>
            <w:tcBorders>
              <w:top w:val="single" w:sz="6" w:space="0" w:color="000000"/>
              <w:left w:val="single" w:sz="6" w:space="0" w:color="000000"/>
              <w:bottom w:val="nil"/>
              <w:right w:val="single" w:sz="6" w:space="0" w:color="000000"/>
            </w:tcBorders>
            <w:vAlign w:val="center"/>
          </w:tcPr>
          <w:p w14:paraId="7F041A20"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45 do 50</w:t>
            </w:r>
          </w:p>
        </w:tc>
      </w:tr>
      <w:tr w:rsidR="000A3B2B" w14:paraId="7507741D" w14:textId="77777777" w:rsidTr="006904B4">
        <w:trPr>
          <w:trHeight w:val="60"/>
          <w:tblCellSpacing w:w="0" w:type="dxa"/>
        </w:trPr>
        <w:tc>
          <w:tcPr>
            <w:tcW w:w="562" w:type="dxa"/>
            <w:tcBorders>
              <w:top w:val="nil"/>
              <w:left w:val="single" w:sz="6" w:space="0" w:color="000000"/>
              <w:bottom w:val="nil"/>
              <w:right w:val="single" w:sz="6" w:space="0" w:color="000000"/>
            </w:tcBorders>
          </w:tcPr>
          <w:p w14:paraId="3AEDCE3F" w14:textId="77777777" w:rsidR="000A3B2B" w:rsidRDefault="000A3B2B" w:rsidP="006904B4">
            <w:pPr>
              <w:autoSpaceDE w:val="0"/>
              <w:autoSpaceDN w:val="0"/>
              <w:adjustRightInd w:val="0"/>
              <w:spacing w:after="0" w:line="240" w:lineRule="auto"/>
              <w:rPr>
                <w:rFonts w:ascii="Arial" w:hAnsi="Arial" w:cs="Arial"/>
                <w:sz w:val="18"/>
                <w:szCs w:val="18"/>
                <w:lang w:val="x-none"/>
              </w:rPr>
            </w:pPr>
          </w:p>
        </w:tc>
        <w:tc>
          <w:tcPr>
            <w:tcW w:w="6106" w:type="dxa"/>
            <w:tcBorders>
              <w:top w:val="nil"/>
              <w:left w:val="single" w:sz="6" w:space="0" w:color="000000"/>
              <w:bottom w:val="nil"/>
              <w:right w:val="single" w:sz="6" w:space="0" w:color="000000"/>
            </w:tcBorders>
          </w:tcPr>
          <w:p w14:paraId="500E2871" w14:textId="77777777" w:rsidR="000A3B2B" w:rsidRDefault="000A3B2B" w:rsidP="006904B4">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Zlepieńce z otoczaków skał głównie krystalicznych o spoiwie wapiennym lub krzemionkowym</w:t>
            </w:r>
          </w:p>
        </w:tc>
        <w:tc>
          <w:tcPr>
            <w:tcW w:w="1380" w:type="dxa"/>
            <w:tcBorders>
              <w:top w:val="nil"/>
              <w:left w:val="single" w:sz="6" w:space="0" w:color="000000"/>
              <w:bottom w:val="nil"/>
              <w:right w:val="single" w:sz="6" w:space="0" w:color="000000"/>
            </w:tcBorders>
            <w:vAlign w:val="center"/>
          </w:tcPr>
          <w:p w14:paraId="4A3263EC"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25,5</w:t>
            </w:r>
          </w:p>
        </w:tc>
        <w:tc>
          <w:tcPr>
            <w:tcW w:w="1380" w:type="dxa"/>
            <w:tcBorders>
              <w:top w:val="nil"/>
              <w:left w:val="single" w:sz="6" w:space="0" w:color="000000"/>
              <w:bottom w:val="nil"/>
              <w:right w:val="single" w:sz="6" w:space="0" w:color="000000"/>
            </w:tcBorders>
            <w:vAlign w:val="center"/>
          </w:tcPr>
          <w:p w14:paraId="0A302BA8"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45 do 50</w:t>
            </w:r>
          </w:p>
        </w:tc>
      </w:tr>
      <w:tr w:rsidR="000A3B2B" w14:paraId="6D331EB9" w14:textId="77777777" w:rsidTr="006904B4">
        <w:trPr>
          <w:trHeight w:val="60"/>
          <w:tblCellSpacing w:w="0" w:type="dxa"/>
        </w:trPr>
        <w:tc>
          <w:tcPr>
            <w:tcW w:w="562" w:type="dxa"/>
            <w:tcBorders>
              <w:top w:val="nil"/>
              <w:left w:val="single" w:sz="6" w:space="0" w:color="000000"/>
              <w:bottom w:val="nil"/>
              <w:right w:val="single" w:sz="6" w:space="0" w:color="000000"/>
            </w:tcBorders>
          </w:tcPr>
          <w:p w14:paraId="39FE838F" w14:textId="77777777" w:rsidR="000A3B2B" w:rsidRDefault="000A3B2B" w:rsidP="006904B4">
            <w:pPr>
              <w:autoSpaceDE w:val="0"/>
              <w:autoSpaceDN w:val="0"/>
              <w:adjustRightInd w:val="0"/>
              <w:spacing w:after="0" w:line="240" w:lineRule="auto"/>
              <w:rPr>
                <w:rFonts w:ascii="Arial" w:hAnsi="Arial" w:cs="Arial"/>
                <w:sz w:val="18"/>
                <w:szCs w:val="18"/>
                <w:lang w:val="x-none"/>
              </w:rPr>
            </w:pPr>
          </w:p>
        </w:tc>
        <w:tc>
          <w:tcPr>
            <w:tcW w:w="6106" w:type="dxa"/>
            <w:tcBorders>
              <w:top w:val="nil"/>
              <w:left w:val="single" w:sz="6" w:space="0" w:color="000000"/>
              <w:bottom w:val="nil"/>
              <w:right w:val="single" w:sz="6" w:space="0" w:color="000000"/>
            </w:tcBorders>
          </w:tcPr>
          <w:p w14:paraId="7409C4B6" w14:textId="77777777" w:rsidR="000A3B2B" w:rsidRDefault="000A3B2B" w:rsidP="006904B4">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Dolomit bardzo twardy</w:t>
            </w:r>
          </w:p>
        </w:tc>
        <w:tc>
          <w:tcPr>
            <w:tcW w:w="1380" w:type="dxa"/>
            <w:tcBorders>
              <w:top w:val="nil"/>
              <w:left w:val="single" w:sz="6" w:space="0" w:color="000000"/>
              <w:bottom w:val="nil"/>
              <w:right w:val="single" w:sz="6" w:space="0" w:color="000000"/>
            </w:tcBorders>
            <w:vAlign w:val="center"/>
          </w:tcPr>
          <w:p w14:paraId="35CC6A10"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25,5</w:t>
            </w:r>
          </w:p>
        </w:tc>
        <w:tc>
          <w:tcPr>
            <w:tcW w:w="1380" w:type="dxa"/>
            <w:tcBorders>
              <w:top w:val="nil"/>
              <w:left w:val="single" w:sz="6" w:space="0" w:color="000000"/>
              <w:bottom w:val="nil"/>
              <w:right w:val="single" w:sz="6" w:space="0" w:color="000000"/>
            </w:tcBorders>
            <w:vAlign w:val="center"/>
          </w:tcPr>
          <w:p w14:paraId="7E0DA9AC"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45 do 50</w:t>
            </w:r>
          </w:p>
        </w:tc>
      </w:tr>
      <w:tr w:rsidR="000A3B2B" w14:paraId="0EE36F12" w14:textId="77777777" w:rsidTr="006904B4">
        <w:trPr>
          <w:trHeight w:val="60"/>
          <w:tblCellSpacing w:w="0" w:type="dxa"/>
        </w:trPr>
        <w:tc>
          <w:tcPr>
            <w:tcW w:w="562" w:type="dxa"/>
            <w:tcBorders>
              <w:top w:val="nil"/>
              <w:left w:val="single" w:sz="6" w:space="0" w:color="000000"/>
              <w:bottom w:val="nil"/>
              <w:right w:val="single" w:sz="6" w:space="0" w:color="000000"/>
            </w:tcBorders>
          </w:tcPr>
          <w:p w14:paraId="5D2E8722" w14:textId="77777777" w:rsidR="000A3B2B" w:rsidRDefault="000A3B2B" w:rsidP="006904B4">
            <w:pPr>
              <w:autoSpaceDE w:val="0"/>
              <w:autoSpaceDN w:val="0"/>
              <w:adjustRightInd w:val="0"/>
              <w:spacing w:after="0" w:line="240" w:lineRule="auto"/>
              <w:rPr>
                <w:rFonts w:ascii="Arial" w:hAnsi="Arial" w:cs="Arial"/>
                <w:sz w:val="18"/>
                <w:szCs w:val="18"/>
                <w:lang w:val="x-none"/>
              </w:rPr>
            </w:pPr>
          </w:p>
        </w:tc>
        <w:tc>
          <w:tcPr>
            <w:tcW w:w="6106" w:type="dxa"/>
            <w:tcBorders>
              <w:top w:val="nil"/>
              <w:left w:val="single" w:sz="6" w:space="0" w:color="000000"/>
              <w:bottom w:val="nil"/>
              <w:right w:val="single" w:sz="6" w:space="0" w:color="000000"/>
            </w:tcBorders>
          </w:tcPr>
          <w:p w14:paraId="5D02FACB" w14:textId="77777777" w:rsidR="000A3B2B" w:rsidRDefault="000A3B2B" w:rsidP="006904B4">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Granit gruboziarnisty niezwietrzały</w:t>
            </w:r>
          </w:p>
        </w:tc>
        <w:tc>
          <w:tcPr>
            <w:tcW w:w="1380" w:type="dxa"/>
            <w:tcBorders>
              <w:top w:val="nil"/>
              <w:left w:val="single" w:sz="6" w:space="0" w:color="000000"/>
              <w:bottom w:val="nil"/>
              <w:right w:val="single" w:sz="6" w:space="0" w:color="000000"/>
            </w:tcBorders>
            <w:vAlign w:val="center"/>
          </w:tcPr>
          <w:p w14:paraId="565C169C"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25,5</w:t>
            </w:r>
          </w:p>
        </w:tc>
        <w:tc>
          <w:tcPr>
            <w:tcW w:w="1380" w:type="dxa"/>
            <w:tcBorders>
              <w:top w:val="nil"/>
              <w:left w:val="single" w:sz="6" w:space="0" w:color="000000"/>
              <w:bottom w:val="nil"/>
              <w:right w:val="single" w:sz="6" w:space="0" w:color="000000"/>
            </w:tcBorders>
            <w:vAlign w:val="center"/>
          </w:tcPr>
          <w:p w14:paraId="25DC48D9"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45 do 50</w:t>
            </w:r>
          </w:p>
        </w:tc>
      </w:tr>
      <w:tr w:rsidR="000A3B2B" w14:paraId="5BF99EB5" w14:textId="77777777" w:rsidTr="006904B4">
        <w:trPr>
          <w:trHeight w:val="60"/>
          <w:tblCellSpacing w:w="0" w:type="dxa"/>
        </w:trPr>
        <w:tc>
          <w:tcPr>
            <w:tcW w:w="562" w:type="dxa"/>
            <w:tcBorders>
              <w:top w:val="nil"/>
              <w:left w:val="single" w:sz="6" w:space="0" w:color="000000"/>
              <w:bottom w:val="nil"/>
              <w:right w:val="single" w:sz="6" w:space="0" w:color="000000"/>
            </w:tcBorders>
          </w:tcPr>
          <w:p w14:paraId="4628CEE5" w14:textId="77777777" w:rsidR="000A3B2B" w:rsidRDefault="000A3B2B" w:rsidP="006904B4">
            <w:pPr>
              <w:autoSpaceDE w:val="0"/>
              <w:autoSpaceDN w:val="0"/>
              <w:adjustRightInd w:val="0"/>
              <w:spacing w:after="0" w:line="240" w:lineRule="auto"/>
              <w:rPr>
                <w:rFonts w:ascii="Arial" w:hAnsi="Arial" w:cs="Arial"/>
                <w:sz w:val="18"/>
                <w:szCs w:val="18"/>
                <w:lang w:val="x-none"/>
              </w:rPr>
            </w:pPr>
          </w:p>
        </w:tc>
        <w:tc>
          <w:tcPr>
            <w:tcW w:w="6106" w:type="dxa"/>
            <w:tcBorders>
              <w:top w:val="nil"/>
              <w:left w:val="single" w:sz="6" w:space="0" w:color="000000"/>
              <w:bottom w:val="nil"/>
              <w:right w:val="single" w:sz="6" w:space="0" w:color="000000"/>
            </w:tcBorders>
          </w:tcPr>
          <w:p w14:paraId="2695FA5D" w14:textId="77777777" w:rsidR="000A3B2B" w:rsidRDefault="000A3B2B" w:rsidP="006904B4">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Sjenit gruboziarnisty</w:t>
            </w:r>
          </w:p>
        </w:tc>
        <w:tc>
          <w:tcPr>
            <w:tcW w:w="1380" w:type="dxa"/>
            <w:tcBorders>
              <w:top w:val="nil"/>
              <w:left w:val="single" w:sz="6" w:space="0" w:color="000000"/>
              <w:bottom w:val="nil"/>
              <w:right w:val="single" w:sz="6" w:space="0" w:color="000000"/>
            </w:tcBorders>
            <w:vAlign w:val="center"/>
          </w:tcPr>
          <w:p w14:paraId="62B28D16"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25,5</w:t>
            </w:r>
          </w:p>
        </w:tc>
        <w:tc>
          <w:tcPr>
            <w:tcW w:w="1380" w:type="dxa"/>
            <w:tcBorders>
              <w:top w:val="nil"/>
              <w:left w:val="single" w:sz="6" w:space="0" w:color="000000"/>
              <w:bottom w:val="nil"/>
              <w:right w:val="single" w:sz="6" w:space="0" w:color="000000"/>
            </w:tcBorders>
            <w:vAlign w:val="center"/>
          </w:tcPr>
          <w:p w14:paraId="76DB73E2"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45 do 50</w:t>
            </w:r>
          </w:p>
        </w:tc>
      </w:tr>
      <w:tr w:rsidR="000A3B2B" w14:paraId="255D1DD2" w14:textId="77777777" w:rsidTr="006904B4">
        <w:trPr>
          <w:trHeight w:val="60"/>
          <w:tblCellSpacing w:w="0" w:type="dxa"/>
        </w:trPr>
        <w:tc>
          <w:tcPr>
            <w:tcW w:w="562" w:type="dxa"/>
            <w:tcBorders>
              <w:top w:val="nil"/>
              <w:left w:val="single" w:sz="6" w:space="0" w:color="000000"/>
              <w:bottom w:val="nil"/>
              <w:right w:val="single" w:sz="6" w:space="0" w:color="000000"/>
            </w:tcBorders>
          </w:tcPr>
          <w:p w14:paraId="124A7E77" w14:textId="77777777" w:rsidR="000A3B2B" w:rsidRDefault="000A3B2B" w:rsidP="006904B4">
            <w:pPr>
              <w:autoSpaceDE w:val="0"/>
              <w:autoSpaceDN w:val="0"/>
              <w:adjustRightInd w:val="0"/>
              <w:spacing w:after="0" w:line="240" w:lineRule="auto"/>
              <w:rPr>
                <w:rFonts w:ascii="Arial" w:hAnsi="Arial" w:cs="Arial"/>
                <w:sz w:val="18"/>
                <w:szCs w:val="18"/>
                <w:lang w:val="x-none"/>
              </w:rPr>
            </w:pPr>
          </w:p>
        </w:tc>
        <w:tc>
          <w:tcPr>
            <w:tcW w:w="6106" w:type="dxa"/>
            <w:tcBorders>
              <w:top w:val="nil"/>
              <w:left w:val="single" w:sz="6" w:space="0" w:color="000000"/>
              <w:bottom w:val="nil"/>
              <w:right w:val="single" w:sz="6" w:space="0" w:color="000000"/>
            </w:tcBorders>
          </w:tcPr>
          <w:p w14:paraId="4EE2669C" w14:textId="77777777" w:rsidR="000A3B2B" w:rsidRDefault="000A3B2B" w:rsidP="006904B4">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Serpentyn</w:t>
            </w:r>
          </w:p>
        </w:tc>
        <w:tc>
          <w:tcPr>
            <w:tcW w:w="1380" w:type="dxa"/>
            <w:tcBorders>
              <w:top w:val="nil"/>
              <w:left w:val="single" w:sz="6" w:space="0" w:color="000000"/>
              <w:bottom w:val="nil"/>
              <w:right w:val="single" w:sz="6" w:space="0" w:color="000000"/>
            </w:tcBorders>
            <w:vAlign w:val="center"/>
          </w:tcPr>
          <w:p w14:paraId="5E873E2B"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24,5</w:t>
            </w:r>
          </w:p>
        </w:tc>
        <w:tc>
          <w:tcPr>
            <w:tcW w:w="1380" w:type="dxa"/>
            <w:tcBorders>
              <w:top w:val="nil"/>
              <w:left w:val="single" w:sz="6" w:space="0" w:color="000000"/>
              <w:bottom w:val="nil"/>
              <w:right w:val="single" w:sz="6" w:space="0" w:color="000000"/>
            </w:tcBorders>
            <w:vAlign w:val="center"/>
          </w:tcPr>
          <w:p w14:paraId="0568ED1D"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45 do 50</w:t>
            </w:r>
          </w:p>
        </w:tc>
      </w:tr>
      <w:tr w:rsidR="000A3B2B" w14:paraId="229E3CEF" w14:textId="77777777" w:rsidTr="006904B4">
        <w:trPr>
          <w:trHeight w:val="60"/>
          <w:tblCellSpacing w:w="0" w:type="dxa"/>
        </w:trPr>
        <w:tc>
          <w:tcPr>
            <w:tcW w:w="562" w:type="dxa"/>
            <w:tcBorders>
              <w:top w:val="nil"/>
              <w:left w:val="single" w:sz="6" w:space="0" w:color="000000"/>
              <w:bottom w:val="nil"/>
              <w:right w:val="single" w:sz="6" w:space="0" w:color="000000"/>
            </w:tcBorders>
          </w:tcPr>
          <w:p w14:paraId="004DC22E" w14:textId="77777777" w:rsidR="000A3B2B" w:rsidRDefault="000A3B2B" w:rsidP="006904B4">
            <w:pPr>
              <w:autoSpaceDE w:val="0"/>
              <w:autoSpaceDN w:val="0"/>
              <w:adjustRightInd w:val="0"/>
              <w:spacing w:after="0" w:line="240" w:lineRule="auto"/>
              <w:rPr>
                <w:rFonts w:ascii="Arial" w:hAnsi="Arial" w:cs="Arial"/>
                <w:sz w:val="18"/>
                <w:szCs w:val="18"/>
                <w:lang w:val="x-none"/>
              </w:rPr>
            </w:pPr>
          </w:p>
        </w:tc>
        <w:tc>
          <w:tcPr>
            <w:tcW w:w="6106" w:type="dxa"/>
            <w:tcBorders>
              <w:top w:val="nil"/>
              <w:left w:val="single" w:sz="6" w:space="0" w:color="000000"/>
              <w:bottom w:val="nil"/>
              <w:right w:val="single" w:sz="6" w:space="0" w:color="000000"/>
            </w:tcBorders>
          </w:tcPr>
          <w:p w14:paraId="421F1DBA" w14:textId="77777777" w:rsidR="000A3B2B" w:rsidRDefault="000A3B2B" w:rsidP="006904B4">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Wapień bardzo twardy</w:t>
            </w:r>
          </w:p>
        </w:tc>
        <w:tc>
          <w:tcPr>
            <w:tcW w:w="1380" w:type="dxa"/>
            <w:tcBorders>
              <w:top w:val="nil"/>
              <w:left w:val="single" w:sz="6" w:space="0" w:color="000000"/>
              <w:bottom w:val="nil"/>
              <w:right w:val="single" w:sz="6" w:space="0" w:color="000000"/>
            </w:tcBorders>
            <w:vAlign w:val="center"/>
          </w:tcPr>
          <w:p w14:paraId="3EC43932"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24,5</w:t>
            </w:r>
          </w:p>
        </w:tc>
        <w:tc>
          <w:tcPr>
            <w:tcW w:w="1380" w:type="dxa"/>
            <w:tcBorders>
              <w:top w:val="nil"/>
              <w:left w:val="single" w:sz="6" w:space="0" w:color="000000"/>
              <w:bottom w:val="nil"/>
              <w:right w:val="single" w:sz="6" w:space="0" w:color="000000"/>
            </w:tcBorders>
            <w:vAlign w:val="center"/>
          </w:tcPr>
          <w:p w14:paraId="08D3061D"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45 do 50</w:t>
            </w:r>
          </w:p>
        </w:tc>
      </w:tr>
      <w:tr w:rsidR="000A3B2B" w14:paraId="5512EF01" w14:textId="77777777" w:rsidTr="006904B4">
        <w:trPr>
          <w:trHeight w:val="60"/>
          <w:tblCellSpacing w:w="0" w:type="dxa"/>
        </w:trPr>
        <w:tc>
          <w:tcPr>
            <w:tcW w:w="562" w:type="dxa"/>
            <w:tcBorders>
              <w:top w:val="nil"/>
              <w:left w:val="single" w:sz="6" w:space="0" w:color="000000"/>
              <w:bottom w:val="single" w:sz="6" w:space="0" w:color="000000"/>
              <w:right w:val="single" w:sz="6" w:space="0" w:color="000000"/>
            </w:tcBorders>
          </w:tcPr>
          <w:p w14:paraId="2B9471B8" w14:textId="77777777" w:rsidR="000A3B2B" w:rsidRDefault="000A3B2B" w:rsidP="006904B4">
            <w:pPr>
              <w:autoSpaceDE w:val="0"/>
              <w:autoSpaceDN w:val="0"/>
              <w:adjustRightInd w:val="0"/>
              <w:spacing w:after="0" w:line="240" w:lineRule="auto"/>
              <w:rPr>
                <w:rFonts w:ascii="Arial" w:hAnsi="Arial" w:cs="Arial"/>
                <w:sz w:val="18"/>
                <w:szCs w:val="18"/>
                <w:lang w:val="x-none"/>
              </w:rPr>
            </w:pPr>
          </w:p>
        </w:tc>
        <w:tc>
          <w:tcPr>
            <w:tcW w:w="6106" w:type="dxa"/>
            <w:tcBorders>
              <w:top w:val="nil"/>
              <w:left w:val="single" w:sz="6" w:space="0" w:color="000000"/>
              <w:bottom w:val="single" w:sz="6" w:space="0" w:color="000000"/>
              <w:right w:val="single" w:sz="6" w:space="0" w:color="000000"/>
            </w:tcBorders>
          </w:tcPr>
          <w:p w14:paraId="78DB71F6" w14:textId="77777777" w:rsidR="000A3B2B" w:rsidRDefault="000A3B2B" w:rsidP="006904B4">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Gnejs</w:t>
            </w:r>
          </w:p>
        </w:tc>
        <w:tc>
          <w:tcPr>
            <w:tcW w:w="1380" w:type="dxa"/>
            <w:tcBorders>
              <w:top w:val="nil"/>
              <w:left w:val="single" w:sz="6" w:space="0" w:color="000000"/>
              <w:bottom w:val="single" w:sz="6" w:space="0" w:color="000000"/>
              <w:right w:val="single" w:sz="6" w:space="0" w:color="000000"/>
            </w:tcBorders>
            <w:vAlign w:val="center"/>
          </w:tcPr>
          <w:p w14:paraId="15AFED92"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25,5</w:t>
            </w:r>
          </w:p>
        </w:tc>
        <w:tc>
          <w:tcPr>
            <w:tcW w:w="1380" w:type="dxa"/>
            <w:tcBorders>
              <w:top w:val="nil"/>
              <w:left w:val="single" w:sz="6" w:space="0" w:color="000000"/>
              <w:bottom w:val="single" w:sz="6" w:space="0" w:color="000000"/>
              <w:right w:val="single" w:sz="6" w:space="0" w:color="000000"/>
            </w:tcBorders>
            <w:vAlign w:val="center"/>
          </w:tcPr>
          <w:p w14:paraId="1939AF9E"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45 do 50</w:t>
            </w:r>
          </w:p>
        </w:tc>
      </w:tr>
      <w:tr w:rsidR="000A3B2B" w14:paraId="4B4C1E68" w14:textId="77777777" w:rsidTr="006904B4">
        <w:trPr>
          <w:trHeight w:val="240"/>
          <w:tblCellSpacing w:w="0" w:type="dxa"/>
        </w:trPr>
        <w:tc>
          <w:tcPr>
            <w:tcW w:w="562" w:type="dxa"/>
            <w:tcBorders>
              <w:top w:val="single" w:sz="6" w:space="0" w:color="000000"/>
              <w:left w:val="single" w:sz="6" w:space="0" w:color="000000"/>
              <w:bottom w:val="nil"/>
              <w:right w:val="single" w:sz="6" w:space="0" w:color="000000"/>
            </w:tcBorders>
          </w:tcPr>
          <w:p w14:paraId="5267D274"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10.</w:t>
            </w:r>
          </w:p>
        </w:tc>
        <w:tc>
          <w:tcPr>
            <w:tcW w:w="6106" w:type="dxa"/>
            <w:tcBorders>
              <w:top w:val="single" w:sz="6" w:space="0" w:color="000000"/>
              <w:left w:val="single" w:sz="6" w:space="0" w:color="000000"/>
              <w:bottom w:val="nil"/>
              <w:right w:val="single" w:sz="6" w:space="0" w:color="000000"/>
            </w:tcBorders>
          </w:tcPr>
          <w:p w14:paraId="740184DA" w14:textId="77777777" w:rsidR="000A3B2B" w:rsidRDefault="000A3B2B" w:rsidP="006904B4">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Granit średnio- i drobnoziarnisty</w:t>
            </w:r>
          </w:p>
        </w:tc>
        <w:tc>
          <w:tcPr>
            <w:tcW w:w="1380" w:type="dxa"/>
            <w:tcBorders>
              <w:top w:val="single" w:sz="6" w:space="0" w:color="000000"/>
              <w:left w:val="single" w:sz="6" w:space="0" w:color="000000"/>
              <w:bottom w:val="nil"/>
              <w:right w:val="single" w:sz="6" w:space="0" w:color="000000"/>
            </w:tcBorders>
            <w:vAlign w:val="center"/>
          </w:tcPr>
          <w:p w14:paraId="7952A1CB"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25,526,5</w:t>
            </w:r>
          </w:p>
        </w:tc>
        <w:tc>
          <w:tcPr>
            <w:tcW w:w="1380" w:type="dxa"/>
            <w:tcBorders>
              <w:top w:val="single" w:sz="6" w:space="0" w:color="000000"/>
              <w:left w:val="single" w:sz="6" w:space="0" w:color="000000"/>
              <w:bottom w:val="nil"/>
              <w:right w:val="single" w:sz="6" w:space="0" w:color="000000"/>
            </w:tcBorders>
            <w:vAlign w:val="center"/>
          </w:tcPr>
          <w:p w14:paraId="7215D9A9"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45 do 50</w:t>
            </w:r>
          </w:p>
        </w:tc>
      </w:tr>
      <w:tr w:rsidR="000A3B2B" w14:paraId="01F932BF" w14:textId="77777777" w:rsidTr="006904B4">
        <w:trPr>
          <w:trHeight w:val="60"/>
          <w:tblCellSpacing w:w="0" w:type="dxa"/>
        </w:trPr>
        <w:tc>
          <w:tcPr>
            <w:tcW w:w="562" w:type="dxa"/>
            <w:tcBorders>
              <w:top w:val="nil"/>
              <w:left w:val="single" w:sz="6" w:space="0" w:color="000000"/>
              <w:bottom w:val="nil"/>
              <w:right w:val="single" w:sz="6" w:space="0" w:color="000000"/>
            </w:tcBorders>
          </w:tcPr>
          <w:p w14:paraId="423758EB" w14:textId="77777777" w:rsidR="000A3B2B" w:rsidRDefault="000A3B2B" w:rsidP="006904B4">
            <w:pPr>
              <w:autoSpaceDE w:val="0"/>
              <w:autoSpaceDN w:val="0"/>
              <w:adjustRightInd w:val="0"/>
              <w:spacing w:after="0" w:line="240" w:lineRule="auto"/>
              <w:rPr>
                <w:rFonts w:ascii="Arial" w:hAnsi="Arial" w:cs="Arial"/>
                <w:sz w:val="18"/>
                <w:szCs w:val="18"/>
                <w:lang w:val="x-none"/>
              </w:rPr>
            </w:pPr>
          </w:p>
        </w:tc>
        <w:tc>
          <w:tcPr>
            <w:tcW w:w="6106" w:type="dxa"/>
            <w:tcBorders>
              <w:top w:val="nil"/>
              <w:left w:val="single" w:sz="6" w:space="0" w:color="000000"/>
              <w:bottom w:val="nil"/>
              <w:right w:val="single" w:sz="6" w:space="0" w:color="000000"/>
            </w:tcBorders>
          </w:tcPr>
          <w:p w14:paraId="605B00BE" w14:textId="77777777" w:rsidR="000A3B2B" w:rsidRDefault="000A3B2B" w:rsidP="006904B4">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 xml:space="preserve">Sjenit </w:t>
            </w:r>
            <w:proofErr w:type="spellStart"/>
            <w:r>
              <w:rPr>
                <w:rFonts w:ascii="Arial" w:hAnsi="Arial" w:cs="Arial"/>
                <w:color w:val="000000"/>
                <w:sz w:val="18"/>
                <w:szCs w:val="18"/>
                <w:lang w:val="x-none"/>
              </w:rPr>
              <w:t>średniziarnisty</w:t>
            </w:r>
            <w:proofErr w:type="spellEnd"/>
          </w:p>
        </w:tc>
        <w:tc>
          <w:tcPr>
            <w:tcW w:w="1380" w:type="dxa"/>
            <w:tcBorders>
              <w:top w:val="nil"/>
              <w:left w:val="single" w:sz="6" w:space="0" w:color="000000"/>
              <w:bottom w:val="nil"/>
              <w:right w:val="single" w:sz="6" w:space="0" w:color="000000"/>
            </w:tcBorders>
            <w:vAlign w:val="center"/>
          </w:tcPr>
          <w:p w14:paraId="1E385CE8"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25,5</w:t>
            </w:r>
          </w:p>
        </w:tc>
        <w:tc>
          <w:tcPr>
            <w:tcW w:w="1380" w:type="dxa"/>
            <w:tcBorders>
              <w:top w:val="nil"/>
              <w:left w:val="single" w:sz="6" w:space="0" w:color="000000"/>
              <w:bottom w:val="nil"/>
              <w:right w:val="single" w:sz="6" w:space="0" w:color="000000"/>
            </w:tcBorders>
            <w:vAlign w:val="center"/>
          </w:tcPr>
          <w:p w14:paraId="7350E8A0"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45 do 50</w:t>
            </w:r>
          </w:p>
        </w:tc>
      </w:tr>
      <w:tr w:rsidR="000A3B2B" w14:paraId="18E7841C" w14:textId="77777777" w:rsidTr="006904B4">
        <w:trPr>
          <w:trHeight w:val="60"/>
          <w:tblCellSpacing w:w="0" w:type="dxa"/>
        </w:trPr>
        <w:tc>
          <w:tcPr>
            <w:tcW w:w="562" w:type="dxa"/>
            <w:tcBorders>
              <w:top w:val="nil"/>
              <w:left w:val="single" w:sz="6" w:space="0" w:color="000000"/>
              <w:bottom w:val="nil"/>
              <w:right w:val="single" w:sz="6" w:space="0" w:color="000000"/>
            </w:tcBorders>
          </w:tcPr>
          <w:p w14:paraId="501C7D29" w14:textId="77777777" w:rsidR="000A3B2B" w:rsidRDefault="000A3B2B" w:rsidP="006904B4">
            <w:pPr>
              <w:autoSpaceDE w:val="0"/>
              <w:autoSpaceDN w:val="0"/>
              <w:adjustRightInd w:val="0"/>
              <w:spacing w:after="0" w:line="240" w:lineRule="auto"/>
              <w:rPr>
                <w:rFonts w:ascii="Arial" w:hAnsi="Arial" w:cs="Arial"/>
                <w:sz w:val="18"/>
                <w:szCs w:val="18"/>
                <w:lang w:val="x-none"/>
              </w:rPr>
            </w:pPr>
          </w:p>
        </w:tc>
        <w:tc>
          <w:tcPr>
            <w:tcW w:w="6106" w:type="dxa"/>
            <w:tcBorders>
              <w:top w:val="nil"/>
              <w:left w:val="single" w:sz="6" w:space="0" w:color="000000"/>
              <w:bottom w:val="nil"/>
              <w:right w:val="single" w:sz="6" w:space="0" w:color="000000"/>
            </w:tcBorders>
          </w:tcPr>
          <w:p w14:paraId="6FFA7B70" w14:textId="77777777" w:rsidR="000A3B2B" w:rsidRDefault="000A3B2B" w:rsidP="006904B4">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Gnejs twardy</w:t>
            </w:r>
          </w:p>
        </w:tc>
        <w:tc>
          <w:tcPr>
            <w:tcW w:w="1380" w:type="dxa"/>
            <w:tcBorders>
              <w:top w:val="nil"/>
              <w:left w:val="single" w:sz="6" w:space="0" w:color="000000"/>
              <w:bottom w:val="nil"/>
              <w:right w:val="single" w:sz="6" w:space="0" w:color="000000"/>
            </w:tcBorders>
            <w:vAlign w:val="center"/>
          </w:tcPr>
          <w:p w14:paraId="775E7DF5"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26,5</w:t>
            </w:r>
          </w:p>
        </w:tc>
        <w:tc>
          <w:tcPr>
            <w:tcW w:w="1380" w:type="dxa"/>
            <w:tcBorders>
              <w:top w:val="nil"/>
              <w:left w:val="single" w:sz="6" w:space="0" w:color="000000"/>
              <w:bottom w:val="nil"/>
              <w:right w:val="single" w:sz="6" w:space="0" w:color="000000"/>
            </w:tcBorders>
            <w:vAlign w:val="center"/>
          </w:tcPr>
          <w:p w14:paraId="7F130D05"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45 do 50</w:t>
            </w:r>
          </w:p>
        </w:tc>
      </w:tr>
      <w:tr w:rsidR="000A3B2B" w14:paraId="50AF101A" w14:textId="77777777" w:rsidTr="006904B4">
        <w:trPr>
          <w:trHeight w:val="60"/>
          <w:tblCellSpacing w:w="0" w:type="dxa"/>
        </w:trPr>
        <w:tc>
          <w:tcPr>
            <w:tcW w:w="562" w:type="dxa"/>
            <w:tcBorders>
              <w:top w:val="nil"/>
              <w:left w:val="single" w:sz="6" w:space="0" w:color="000000"/>
              <w:bottom w:val="nil"/>
              <w:right w:val="single" w:sz="6" w:space="0" w:color="000000"/>
            </w:tcBorders>
          </w:tcPr>
          <w:p w14:paraId="04C3F36D" w14:textId="77777777" w:rsidR="000A3B2B" w:rsidRDefault="000A3B2B" w:rsidP="006904B4">
            <w:pPr>
              <w:autoSpaceDE w:val="0"/>
              <w:autoSpaceDN w:val="0"/>
              <w:adjustRightInd w:val="0"/>
              <w:spacing w:after="0" w:line="240" w:lineRule="auto"/>
              <w:rPr>
                <w:rFonts w:ascii="Arial" w:hAnsi="Arial" w:cs="Arial"/>
                <w:sz w:val="18"/>
                <w:szCs w:val="18"/>
                <w:lang w:val="x-none"/>
              </w:rPr>
            </w:pPr>
          </w:p>
        </w:tc>
        <w:tc>
          <w:tcPr>
            <w:tcW w:w="6106" w:type="dxa"/>
            <w:tcBorders>
              <w:top w:val="nil"/>
              <w:left w:val="single" w:sz="6" w:space="0" w:color="000000"/>
              <w:bottom w:val="nil"/>
              <w:right w:val="single" w:sz="6" w:space="0" w:color="000000"/>
            </w:tcBorders>
          </w:tcPr>
          <w:p w14:paraId="6C5E5A7C" w14:textId="77777777" w:rsidR="000A3B2B" w:rsidRDefault="000A3B2B" w:rsidP="006904B4">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Porfir</w:t>
            </w:r>
          </w:p>
        </w:tc>
        <w:tc>
          <w:tcPr>
            <w:tcW w:w="1380" w:type="dxa"/>
            <w:tcBorders>
              <w:top w:val="nil"/>
              <w:left w:val="single" w:sz="6" w:space="0" w:color="000000"/>
              <w:bottom w:val="nil"/>
              <w:right w:val="single" w:sz="6" w:space="0" w:color="000000"/>
            </w:tcBorders>
            <w:vAlign w:val="center"/>
          </w:tcPr>
          <w:p w14:paraId="7AC24898"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24,5</w:t>
            </w:r>
          </w:p>
        </w:tc>
        <w:tc>
          <w:tcPr>
            <w:tcW w:w="1380" w:type="dxa"/>
            <w:tcBorders>
              <w:top w:val="nil"/>
              <w:left w:val="single" w:sz="6" w:space="0" w:color="000000"/>
              <w:bottom w:val="nil"/>
              <w:right w:val="single" w:sz="6" w:space="0" w:color="000000"/>
            </w:tcBorders>
            <w:vAlign w:val="center"/>
          </w:tcPr>
          <w:p w14:paraId="0A67F1AC"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45 do 50</w:t>
            </w:r>
          </w:p>
        </w:tc>
      </w:tr>
      <w:tr w:rsidR="000A3B2B" w14:paraId="4A77B126" w14:textId="77777777" w:rsidTr="006904B4">
        <w:trPr>
          <w:trHeight w:val="60"/>
          <w:tblCellSpacing w:w="0" w:type="dxa"/>
        </w:trPr>
        <w:tc>
          <w:tcPr>
            <w:tcW w:w="562" w:type="dxa"/>
            <w:tcBorders>
              <w:top w:val="nil"/>
              <w:left w:val="single" w:sz="6" w:space="0" w:color="000000"/>
              <w:bottom w:val="nil"/>
              <w:right w:val="single" w:sz="6" w:space="0" w:color="000000"/>
            </w:tcBorders>
          </w:tcPr>
          <w:p w14:paraId="67098D42" w14:textId="77777777" w:rsidR="000A3B2B" w:rsidRDefault="000A3B2B" w:rsidP="006904B4">
            <w:pPr>
              <w:autoSpaceDE w:val="0"/>
              <w:autoSpaceDN w:val="0"/>
              <w:adjustRightInd w:val="0"/>
              <w:spacing w:after="0" w:line="240" w:lineRule="auto"/>
              <w:rPr>
                <w:rFonts w:ascii="Arial" w:hAnsi="Arial" w:cs="Arial"/>
                <w:sz w:val="18"/>
                <w:szCs w:val="18"/>
                <w:lang w:val="x-none"/>
              </w:rPr>
            </w:pPr>
          </w:p>
        </w:tc>
        <w:tc>
          <w:tcPr>
            <w:tcW w:w="6106" w:type="dxa"/>
            <w:tcBorders>
              <w:top w:val="nil"/>
              <w:left w:val="single" w:sz="6" w:space="0" w:color="000000"/>
              <w:bottom w:val="nil"/>
              <w:right w:val="single" w:sz="6" w:space="0" w:color="000000"/>
            </w:tcBorders>
          </w:tcPr>
          <w:p w14:paraId="747D18AE" w14:textId="77777777" w:rsidR="000A3B2B" w:rsidRDefault="000A3B2B" w:rsidP="006904B4">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Trachit, liparyt i skały pokruszone</w:t>
            </w:r>
          </w:p>
        </w:tc>
        <w:tc>
          <w:tcPr>
            <w:tcW w:w="1380" w:type="dxa"/>
            <w:tcBorders>
              <w:top w:val="nil"/>
              <w:left w:val="single" w:sz="6" w:space="0" w:color="000000"/>
              <w:bottom w:val="nil"/>
              <w:right w:val="single" w:sz="6" w:space="0" w:color="000000"/>
            </w:tcBorders>
            <w:vAlign w:val="center"/>
          </w:tcPr>
          <w:p w14:paraId="7E28C724"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26,5</w:t>
            </w:r>
          </w:p>
        </w:tc>
        <w:tc>
          <w:tcPr>
            <w:tcW w:w="1380" w:type="dxa"/>
            <w:tcBorders>
              <w:top w:val="nil"/>
              <w:left w:val="single" w:sz="6" w:space="0" w:color="000000"/>
              <w:bottom w:val="nil"/>
              <w:right w:val="single" w:sz="6" w:space="0" w:color="000000"/>
            </w:tcBorders>
            <w:vAlign w:val="center"/>
          </w:tcPr>
          <w:p w14:paraId="7D6C9AB3"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45 do 50</w:t>
            </w:r>
          </w:p>
        </w:tc>
      </w:tr>
      <w:tr w:rsidR="000A3B2B" w14:paraId="644E80D9" w14:textId="77777777" w:rsidTr="006904B4">
        <w:trPr>
          <w:trHeight w:val="60"/>
          <w:tblCellSpacing w:w="0" w:type="dxa"/>
        </w:trPr>
        <w:tc>
          <w:tcPr>
            <w:tcW w:w="562" w:type="dxa"/>
            <w:tcBorders>
              <w:top w:val="nil"/>
              <w:left w:val="single" w:sz="6" w:space="0" w:color="000000"/>
              <w:bottom w:val="nil"/>
              <w:right w:val="single" w:sz="6" w:space="0" w:color="000000"/>
            </w:tcBorders>
          </w:tcPr>
          <w:p w14:paraId="6CD3DCD6" w14:textId="77777777" w:rsidR="000A3B2B" w:rsidRDefault="000A3B2B" w:rsidP="006904B4">
            <w:pPr>
              <w:autoSpaceDE w:val="0"/>
              <w:autoSpaceDN w:val="0"/>
              <w:adjustRightInd w:val="0"/>
              <w:spacing w:after="0" w:line="240" w:lineRule="auto"/>
              <w:rPr>
                <w:rFonts w:ascii="Arial" w:hAnsi="Arial" w:cs="Arial"/>
                <w:sz w:val="18"/>
                <w:szCs w:val="18"/>
                <w:lang w:val="x-none"/>
              </w:rPr>
            </w:pPr>
          </w:p>
        </w:tc>
        <w:tc>
          <w:tcPr>
            <w:tcW w:w="6106" w:type="dxa"/>
            <w:tcBorders>
              <w:top w:val="nil"/>
              <w:left w:val="single" w:sz="6" w:space="0" w:color="000000"/>
              <w:bottom w:val="nil"/>
              <w:right w:val="single" w:sz="6" w:space="0" w:color="000000"/>
            </w:tcBorders>
          </w:tcPr>
          <w:p w14:paraId="16CBFC60" w14:textId="77777777" w:rsidR="000A3B2B" w:rsidRDefault="000A3B2B" w:rsidP="006904B4">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Granitognejs</w:t>
            </w:r>
          </w:p>
        </w:tc>
        <w:tc>
          <w:tcPr>
            <w:tcW w:w="1380" w:type="dxa"/>
            <w:tcBorders>
              <w:top w:val="nil"/>
              <w:left w:val="single" w:sz="6" w:space="0" w:color="000000"/>
              <w:bottom w:val="nil"/>
              <w:right w:val="single" w:sz="6" w:space="0" w:color="000000"/>
            </w:tcBorders>
            <w:vAlign w:val="center"/>
          </w:tcPr>
          <w:p w14:paraId="2A9DA174"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25,5</w:t>
            </w:r>
          </w:p>
        </w:tc>
        <w:tc>
          <w:tcPr>
            <w:tcW w:w="1380" w:type="dxa"/>
            <w:tcBorders>
              <w:top w:val="nil"/>
              <w:left w:val="single" w:sz="6" w:space="0" w:color="000000"/>
              <w:bottom w:val="nil"/>
              <w:right w:val="single" w:sz="6" w:space="0" w:color="000000"/>
            </w:tcBorders>
            <w:vAlign w:val="center"/>
          </w:tcPr>
          <w:p w14:paraId="7C47A9EA"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45 do 50</w:t>
            </w:r>
          </w:p>
        </w:tc>
      </w:tr>
      <w:tr w:rsidR="000A3B2B" w14:paraId="16DFE0F4" w14:textId="77777777" w:rsidTr="006904B4">
        <w:trPr>
          <w:trHeight w:val="60"/>
          <w:tblCellSpacing w:w="0" w:type="dxa"/>
        </w:trPr>
        <w:tc>
          <w:tcPr>
            <w:tcW w:w="562" w:type="dxa"/>
            <w:tcBorders>
              <w:top w:val="nil"/>
              <w:left w:val="single" w:sz="6" w:space="0" w:color="000000"/>
              <w:bottom w:val="nil"/>
              <w:right w:val="single" w:sz="6" w:space="0" w:color="000000"/>
            </w:tcBorders>
          </w:tcPr>
          <w:p w14:paraId="32B1F500" w14:textId="77777777" w:rsidR="000A3B2B" w:rsidRDefault="000A3B2B" w:rsidP="006904B4">
            <w:pPr>
              <w:autoSpaceDE w:val="0"/>
              <w:autoSpaceDN w:val="0"/>
              <w:adjustRightInd w:val="0"/>
              <w:spacing w:after="0" w:line="240" w:lineRule="auto"/>
              <w:rPr>
                <w:rFonts w:ascii="Arial" w:hAnsi="Arial" w:cs="Arial"/>
                <w:sz w:val="18"/>
                <w:szCs w:val="18"/>
                <w:lang w:val="x-none"/>
              </w:rPr>
            </w:pPr>
          </w:p>
        </w:tc>
        <w:tc>
          <w:tcPr>
            <w:tcW w:w="6106" w:type="dxa"/>
            <w:tcBorders>
              <w:top w:val="nil"/>
              <w:left w:val="single" w:sz="6" w:space="0" w:color="000000"/>
              <w:bottom w:val="nil"/>
              <w:right w:val="single" w:sz="6" w:space="0" w:color="000000"/>
            </w:tcBorders>
          </w:tcPr>
          <w:p w14:paraId="7010D79D" w14:textId="77777777" w:rsidR="000A3B2B" w:rsidRDefault="000A3B2B" w:rsidP="006904B4">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Wapień krzemienisty i rogowy bardzo twardy</w:t>
            </w:r>
          </w:p>
        </w:tc>
        <w:tc>
          <w:tcPr>
            <w:tcW w:w="1380" w:type="dxa"/>
            <w:tcBorders>
              <w:top w:val="nil"/>
              <w:left w:val="single" w:sz="6" w:space="0" w:color="000000"/>
              <w:bottom w:val="nil"/>
              <w:right w:val="single" w:sz="6" w:space="0" w:color="000000"/>
            </w:tcBorders>
            <w:vAlign w:val="center"/>
          </w:tcPr>
          <w:p w14:paraId="512CA156"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27,4</w:t>
            </w:r>
          </w:p>
        </w:tc>
        <w:tc>
          <w:tcPr>
            <w:tcW w:w="1380" w:type="dxa"/>
            <w:tcBorders>
              <w:top w:val="nil"/>
              <w:left w:val="single" w:sz="6" w:space="0" w:color="000000"/>
              <w:bottom w:val="nil"/>
              <w:right w:val="single" w:sz="6" w:space="0" w:color="000000"/>
            </w:tcBorders>
            <w:vAlign w:val="center"/>
          </w:tcPr>
          <w:p w14:paraId="38365176"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45 do 50</w:t>
            </w:r>
          </w:p>
        </w:tc>
      </w:tr>
      <w:tr w:rsidR="000A3B2B" w14:paraId="2282F47D" w14:textId="77777777" w:rsidTr="006904B4">
        <w:trPr>
          <w:trHeight w:val="60"/>
          <w:tblCellSpacing w:w="0" w:type="dxa"/>
        </w:trPr>
        <w:tc>
          <w:tcPr>
            <w:tcW w:w="562" w:type="dxa"/>
            <w:tcBorders>
              <w:top w:val="nil"/>
              <w:left w:val="single" w:sz="6" w:space="0" w:color="000000"/>
              <w:bottom w:val="nil"/>
              <w:right w:val="single" w:sz="6" w:space="0" w:color="000000"/>
            </w:tcBorders>
          </w:tcPr>
          <w:p w14:paraId="25C5B640" w14:textId="77777777" w:rsidR="000A3B2B" w:rsidRDefault="000A3B2B" w:rsidP="006904B4">
            <w:pPr>
              <w:autoSpaceDE w:val="0"/>
              <w:autoSpaceDN w:val="0"/>
              <w:adjustRightInd w:val="0"/>
              <w:spacing w:after="0" w:line="240" w:lineRule="auto"/>
              <w:rPr>
                <w:rFonts w:ascii="Arial" w:hAnsi="Arial" w:cs="Arial"/>
                <w:sz w:val="18"/>
                <w:szCs w:val="18"/>
                <w:lang w:val="x-none"/>
              </w:rPr>
            </w:pPr>
          </w:p>
        </w:tc>
        <w:tc>
          <w:tcPr>
            <w:tcW w:w="6106" w:type="dxa"/>
            <w:tcBorders>
              <w:top w:val="nil"/>
              <w:left w:val="single" w:sz="6" w:space="0" w:color="000000"/>
              <w:bottom w:val="nil"/>
              <w:right w:val="single" w:sz="6" w:space="0" w:color="000000"/>
            </w:tcBorders>
          </w:tcPr>
          <w:p w14:paraId="2CED8546" w14:textId="77777777" w:rsidR="000A3B2B" w:rsidRDefault="000A3B2B" w:rsidP="006904B4">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Andezyt, bazalt, rogowiec w ławicach</w:t>
            </w:r>
          </w:p>
        </w:tc>
        <w:tc>
          <w:tcPr>
            <w:tcW w:w="1380" w:type="dxa"/>
            <w:tcBorders>
              <w:top w:val="nil"/>
              <w:left w:val="single" w:sz="6" w:space="0" w:color="000000"/>
              <w:bottom w:val="nil"/>
              <w:right w:val="single" w:sz="6" w:space="0" w:color="000000"/>
            </w:tcBorders>
            <w:vAlign w:val="center"/>
          </w:tcPr>
          <w:p w14:paraId="2F1EA7F8"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26,5</w:t>
            </w:r>
          </w:p>
        </w:tc>
        <w:tc>
          <w:tcPr>
            <w:tcW w:w="1380" w:type="dxa"/>
            <w:tcBorders>
              <w:top w:val="nil"/>
              <w:left w:val="single" w:sz="6" w:space="0" w:color="000000"/>
              <w:bottom w:val="nil"/>
              <w:right w:val="single" w:sz="6" w:space="0" w:color="000000"/>
            </w:tcBorders>
            <w:vAlign w:val="center"/>
          </w:tcPr>
          <w:p w14:paraId="461EB141"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45 do 50</w:t>
            </w:r>
          </w:p>
        </w:tc>
      </w:tr>
      <w:tr w:rsidR="000A3B2B" w14:paraId="30A8521E" w14:textId="77777777" w:rsidTr="006904B4">
        <w:trPr>
          <w:trHeight w:val="60"/>
          <w:tblCellSpacing w:w="0" w:type="dxa"/>
        </w:trPr>
        <w:tc>
          <w:tcPr>
            <w:tcW w:w="562" w:type="dxa"/>
            <w:tcBorders>
              <w:top w:val="nil"/>
              <w:left w:val="single" w:sz="6" w:space="0" w:color="000000"/>
              <w:bottom w:val="nil"/>
              <w:right w:val="single" w:sz="6" w:space="0" w:color="000000"/>
            </w:tcBorders>
          </w:tcPr>
          <w:p w14:paraId="14EA2C24" w14:textId="77777777" w:rsidR="000A3B2B" w:rsidRDefault="000A3B2B" w:rsidP="006904B4">
            <w:pPr>
              <w:autoSpaceDE w:val="0"/>
              <w:autoSpaceDN w:val="0"/>
              <w:adjustRightInd w:val="0"/>
              <w:spacing w:after="0" w:line="240" w:lineRule="auto"/>
              <w:rPr>
                <w:rFonts w:ascii="Arial" w:hAnsi="Arial" w:cs="Arial"/>
                <w:sz w:val="18"/>
                <w:szCs w:val="18"/>
                <w:lang w:val="x-none"/>
              </w:rPr>
            </w:pPr>
          </w:p>
        </w:tc>
        <w:tc>
          <w:tcPr>
            <w:tcW w:w="6106" w:type="dxa"/>
            <w:tcBorders>
              <w:top w:val="nil"/>
              <w:left w:val="single" w:sz="6" w:space="0" w:color="000000"/>
              <w:bottom w:val="nil"/>
              <w:right w:val="single" w:sz="6" w:space="0" w:color="000000"/>
            </w:tcBorders>
          </w:tcPr>
          <w:p w14:paraId="76AC148D" w14:textId="77777777" w:rsidR="000A3B2B" w:rsidRDefault="000A3B2B" w:rsidP="006904B4">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Gabro</w:t>
            </w:r>
          </w:p>
        </w:tc>
        <w:tc>
          <w:tcPr>
            <w:tcW w:w="1380" w:type="dxa"/>
            <w:tcBorders>
              <w:top w:val="nil"/>
              <w:left w:val="single" w:sz="6" w:space="0" w:color="000000"/>
              <w:bottom w:val="nil"/>
              <w:right w:val="single" w:sz="6" w:space="0" w:color="000000"/>
            </w:tcBorders>
            <w:vAlign w:val="center"/>
          </w:tcPr>
          <w:p w14:paraId="429D5D42"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26,5</w:t>
            </w:r>
          </w:p>
        </w:tc>
        <w:tc>
          <w:tcPr>
            <w:tcW w:w="1380" w:type="dxa"/>
            <w:tcBorders>
              <w:top w:val="nil"/>
              <w:left w:val="single" w:sz="6" w:space="0" w:color="000000"/>
              <w:bottom w:val="nil"/>
              <w:right w:val="single" w:sz="6" w:space="0" w:color="000000"/>
            </w:tcBorders>
            <w:vAlign w:val="center"/>
          </w:tcPr>
          <w:p w14:paraId="2A0F8684"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45 do 50</w:t>
            </w:r>
          </w:p>
        </w:tc>
      </w:tr>
      <w:tr w:rsidR="000A3B2B" w14:paraId="0F230231" w14:textId="77777777" w:rsidTr="006904B4">
        <w:trPr>
          <w:trHeight w:val="60"/>
          <w:tblCellSpacing w:w="0" w:type="dxa"/>
        </w:trPr>
        <w:tc>
          <w:tcPr>
            <w:tcW w:w="562" w:type="dxa"/>
            <w:tcBorders>
              <w:top w:val="nil"/>
              <w:left w:val="single" w:sz="6" w:space="0" w:color="000000"/>
              <w:bottom w:val="nil"/>
              <w:right w:val="single" w:sz="6" w:space="0" w:color="000000"/>
            </w:tcBorders>
          </w:tcPr>
          <w:p w14:paraId="44630C69" w14:textId="77777777" w:rsidR="000A3B2B" w:rsidRDefault="000A3B2B" w:rsidP="006904B4">
            <w:pPr>
              <w:autoSpaceDE w:val="0"/>
              <w:autoSpaceDN w:val="0"/>
              <w:adjustRightInd w:val="0"/>
              <w:spacing w:after="0" w:line="240" w:lineRule="auto"/>
              <w:rPr>
                <w:rFonts w:ascii="Arial" w:hAnsi="Arial" w:cs="Arial"/>
                <w:sz w:val="18"/>
                <w:szCs w:val="18"/>
                <w:lang w:val="x-none"/>
              </w:rPr>
            </w:pPr>
          </w:p>
        </w:tc>
        <w:tc>
          <w:tcPr>
            <w:tcW w:w="6106" w:type="dxa"/>
            <w:tcBorders>
              <w:top w:val="nil"/>
              <w:left w:val="single" w:sz="6" w:space="0" w:color="000000"/>
              <w:bottom w:val="nil"/>
              <w:right w:val="single" w:sz="6" w:space="0" w:color="000000"/>
            </w:tcBorders>
          </w:tcPr>
          <w:p w14:paraId="26DFE4DF" w14:textId="77777777" w:rsidR="000A3B2B" w:rsidRDefault="000A3B2B" w:rsidP="006904B4">
            <w:pPr>
              <w:autoSpaceDE w:val="0"/>
              <w:autoSpaceDN w:val="0"/>
              <w:adjustRightInd w:val="0"/>
              <w:spacing w:after="0" w:line="240" w:lineRule="auto"/>
              <w:rPr>
                <w:rFonts w:ascii="Arial" w:hAnsi="Arial" w:cs="Arial"/>
                <w:color w:val="000000"/>
                <w:sz w:val="18"/>
                <w:szCs w:val="18"/>
                <w:lang w:val="x-none"/>
              </w:rPr>
            </w:pPr>
            <w:proofErr w:type="spellStart"/>
            <w:r>
              <w:rPr>
                <w:rFonts w:ascii="Arial" w:hAnsi="Arial" w:cs="Arial"/>
                <w:color w:val="000000"/>
                <w:sz w:val="18"/>
                <w:szCs w:val="18"/>
                <w:lang w:val="x-none"/>
              </w:rPr>
              <w:t>Gabrodiabaz</w:t>
            </w:r>
            <w:proofErr w:type="spellEnd"/>
            <w:r>
              <w:rPr>
                <w:rFonts w:ascii="Arial" w:hAnsi="Arial" w:cs="Arial"/>
                <w:color w:val="000000"/>
                <w:sz w:val="18"/>
                <w:szCs w:val="18"/>
                <w:lang w:val="x-none"/>
              </w:rPr>
              <w:t xml:space="preserve"> i kwarcyt</w:t>
            </w:r>
          </w:p>
        </w:tc>
        <w:tc>
          <w:tcPr>
            <w:tcW w:w="1380" w:type="dxa"/>
            <w:tcBorders>
              <w:top w:val="nil"/>
              <w:left w:val="single" w:sz="6" w:space="0" w:color="000000"/>
              <w:bottom w:val="nil"/>
              <w:right w:val="single" w:sz="6" w:space="0" w:color="000000"/>
            </w:tcBorders>
            <w:vAlign w:val="center"/>
          </w:tcPr>
          <w:p w14:paraId="765C18D9"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27,4</w:t>
            </w:r>
          </w:p>
        </w:tc>
        <w:tc>
          <w:tcPr>
            <w:tcW w:w="1380" w:type="dxa"/>
            <w:tcBorders>
              <w:top w:val="nil"/>
              <w:left w:val="single" w:sz="6" w:space="0" w:color="000000"/>
              <w:bottom w:val="nil"/>
              <w:right w:val="single" w:sz="6" w:space="0" w:color="000000"/>
            </w:tcBorders>
            <w:vAlign w:val="center"/>
          </w:tcPr>
          <w:p w14:paraId="463234DE"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45 do 50</w:t>
            </w:r>
          </w:p>
        </w:tc>
      </w:tr>
      <w:tr w:rsidR="000A3B2B" w14:paraId="62F6031A" w14:textId="77777777" w:rsidTr="006904B4">
        <w:trPr>
          <w:trHeight w:val="60"/>
          <w:tblCellSpacing w:w="0" w:type="dxa"/>
        </w:trPr>
        <w:tc>
          <w:tcPr>
            <w:tcW w:w="562" w:type="dxa"/>
            <w:tcBorders>
              <w:top w:val="nil"/>
              <w:left w:val="single" w:sz="6" w:space="0" w:color="000000"/>
              <w:bottom w:val="single" w:sz="6" w:space="0" w:color="000000"/>
              <w:right w:val="single" w:sz="6" w:space="0" w:color="000000"/>
            </w:tcBorders>
          </w:tcPr>
          <w:p w14:paraId="4D17C799" w14:textId="77777777" w:rsidR="000A3B2B" w:rsidRDefault="000A3B2B" w:rsidP="006904B4">
            <w:pPr>
              <w:autoSpaceDE w:val="0"/>
              <w:autoSpaceDN w:val="0"/>
              <w:adjustRightInd w:val="0"/>
              <w:spacing w:after="0" w:line="240" w:lineRule="auto"/>
              <w:rPr>
                <w:rFonts w:ascii="Arial" w:hAnsi="Arial" w:cs="Arial"/>
                <w:sz w:val="18"/>
                <w:szCs w:val="18"/>
                <w:lang w:val="x-none"/>
              </w:rPr>
            </w:pPr>
          </w:p>
        </w:tc>
        <w:tc>
          <w:tcPr>
            <w:tcW w:w="6106" w:type="dxa"/>
            <w:tcBorders>
              <w:top w:val="nil"/>
              <w:left w:val="single" w:sz="6" w:space="0" w:color="000000"/>
              <w:bottom w:val="single" w:sz="6" w:space="0" w:color="000000"/>
              <w:right w:val="single" w:sz="6" w:space="0" w:color="000000"/>
            </w:tcBorders>
          </w:tcPr>
          <w:p w14:paraId="24512275" w14:textId="77777777" w:rsidR="000A3B2B" w:rsidRDefault="000A3B2B" w:rsidP="006904B4">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Bazalt</w:t>
            </w:r>
          </w:p>
        </w:tc>
        <w:tc>
          <w:tcPr>
            <w:tcW w:w="1380" w:type="dxa"/>
            <w:tcBorders>
              <w:top w:val="nil"/>
              <w:left w:val="single" w:sz="6" w:space="0" w:color="000000"/>
              <w:bottom w:val="single" w:sz="6" w:space="0" w:color="000000"/>
              <w:right w:val="single" w:sz="6" w:space="0" w:color="000000"/>
            </w:tcBorders>
            <w:vAlign w:val="center"/>
          </w:tcPr>
          <w:p w14:paraId="57A3AF3B"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25,527,4</w:t>
            </w:r>
          </w:p>
        </w:tc>
        <w:tc>
          <w:tcPr>
            <w:tcW w:w="1380" w:type="dxa"/>
            <w:tcBorders>
              <w:top w:val="nil"/>
              <w:left w:val="single" w:sz="6" w:space="0" w:color="000000"/>
              <w:bottom w:val="single" w:sz="6" w:space="0" w:color="000000"/>
              <w:right w:val="single" w:sz="6" w:space="0" w:color="000000"/>
            </w:tcBorders>
            <w:vAlign w:val="center"/>
          </w:tcPr>
          <w:p w14:paraId="3D864446"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45 do 50</w:t>
            </w:r>
          </w:p>
        </w:tc>
      </w:tr>
    </w:tbl>
    <w:p w14:paraId="12E1D5D6"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p>
    <w:p w14:paraId="7CD540F7" w14:textId="77777777" w:rsidR="000A3B2B" w:rsidRDefault="000A3B2B" w:rsidP="006904B4">
      <w:pPr>
        <w:autoSpaceDE w:val="0"/>
        <w:autoSpaceDN w:val="0"/>
        <w:adjustRightInd w:val="0"/>
        <w:spacing w:before="120" w:after="30" w:line="240" w:lineRule="auto"/>
        <w:ind w:left="225" w:hanging="225"/>
        <w:jc w:val="both"/>
        <w:rPr>
          <w:rFonts w:ascii="Arial" w:hAnsi="Arial" w:cs="Arial"/>
          <w:color w:val="000000"/>
          <w:sz w:val="16"/>
          <w:szCs w:val="16"/>
          <w:lang w:val="x-none"/>
        </w:rPr>
      </w:pPr>
      <w:r>
        <w:rPr>
          <w:rFonts w:ascii="Arial" w:hAnsi="Arial" w:cs="Arial"/>
          <w:color w:val="000000"/>
          <w:position w:val="4"/>
          <w:sz w:val="8"/>
          <w:szCs w:val="8"/>
          <w:lang w:val="x-none"/>
        </w:rPr>
        <w:t>1)</w:t>
      </w:r>
      <w:r>
        <w:rPr>
          <w:rFonts w:ascii="Arial" w:hAnsi="Arial" w:cs="Arial"/>
          <w:color w:val="000000"/>
          <w:sz w:val="16"/>
          <w:szCs w:val="16"/>
          <w:lang w:val="x-none"/>
        </w:rPr>
        <w:tab/>
        <w:t>Mniejsze wartości stosować przy obliczaniu ilości materiałów na warstwy nasypów przed ich zagęszczeniem, większe wartości przy obliczaniu objętości i ilości środków przewozowych.</w:t>
      </w:r>
    </w:p>
    <w:p w14:paraId="1C2A35D9" w14:textId="77777777" w:rsidR="000A3B2B" w:rsidRDefault="000A3B2B" w:rsidP="006904B4">
      <w:pPr>
        <w:autoSpaceDE w:val="0"/>
        <w:autoSpaceDN w:val="0"/>
        <w:adjustRightInd w:val="0"/>
        <w:spacing w:after="30" w:line="240" w:lineRule="auto"/>
        <w:jc w:val="both"/>
        <w:rPr>
          <w:rFonts w:ascii="Arial" w:hAnsi="Arial" w:cs="Arial"/>
          <w:color w:val="000000"/>
          <w:sz w:val="18"/>
          <w:szCs w:val="18"/>
          <w:lang w:val="x-none"/>
        </w:rPr>
      </w:pPr>
    </w:p>
    <w:p w14:paraId="1A6091E3" w14:textId="77777777" w:rsidR="000A3B2B" w:rsidRDefault="000A3B2B" w:rsidP="006904B4">
      <w:pPr>
        <w:autoSpaceDE w:val="0"/>
        <w:autoSpaceDN w:val="0"/>
        <w:adjustRightInd w:val="0"/>
        <w:spacing w:after="30" w:line="240" w:lineRule="auto"/>
        <w:jc w:val="right"/>
        <w:rPr>
          <w:rFonts w:ascii="Arial" w:hAnsi="Arial" w:cs="Arial"/>
          <w:i/>
          <w:iCs/>
          <w:color w:val="000000"/>
          <w:sz w:val="18"/>
          <w:szCs w:val="18"/>
          <w:lang w:val="x-none"/>
        </w:rPr>
      </w:pPr>
      <w:r>
        <w:rPr>
          <w:rFonts w:ascii="Arial" w:hAnsi="Arial" w:cs="Arial"/>
          <w:i/>
          <w:iCs/>
          <w:color w:val="000000"/>
          <w:sz w:val="18"/>
          <w:szCs w:val="18"/>
          <w:lang w:val="x-none"/>
        </w:rPr>
        <w:t xml:space="preserve"> Załącznik 2</w:t>
      </w:r>
    </w:p>
    <w:p w14:paraId="05C972F5" w14:textId="77777777" w:rsidR="000A3B2B" w:rsidRDefault="000A3B2B" w:rsidP="006904B4">
      <w:pPr>
        <w:autoSpaceDE w:val="0"/>
        <w:autoSpaceDN w:val="0"/>
        <w:adjustRightInd w:val="0"/>
        <w:spacing w:after="30" w:line="240" w:lineRule="auto"/>
        <w:jc w:val="both"/>
        <w:rPr>
          <w:rFonts w:ascii="Arial" w:hAnsi="Arial" w:cs="Arial"/>
          <w:b/>
          <w:bCs/>
          <w:color w:val="000000"/>
          <w:sz w:val="18"/>
          <w:szCs w:val="18"/>
          <w:lang w:val="x-none"/>
        </w:rPr>
      </w:pPr>
      <w:r>
        <w:rPr>
          <w:rFonts w:ascii="Arial" w:hAnsi="Arial" w:cs="Arial"/>
          <w:b/>
          <w:bCs/>
          <w:color w:val="000000"/>
          <w:sz w:val="18"/>
          <w:szCs w:val="18"/>
          <w:lang w:val="x-none"/>
        </w:rPr>
        <w:t xml:space="preserve">Tablica 2. Podział gruntów pod względem </w:t>
      </w:r>
      <w:proofErr w:type="spellStart"/>
      <w:r>
        <w:rPr>
          <w:rFonts w:ascii="Arial" w:hAnsi="Arial" w:cs="Arial"/>
          <w:b/>
          <w:bCs/>
          <w:color w:val="000000"/>
          <w:sz w:val="18"/>
          <w:szCs w:val="18"/>
          <w:lang w:val="x-none"/>
        </w:rPr>
        <w:t>wysadzinowości</w:t>
      </w:r>
      <w:proofErr w:type="spellEnd"/>
      <w:r>
        <w:rPr>
          <w:rFonts w:ascii="Arial" w:hAnsi="Arial" w:cs="Arial"/>
          <w:b/>
          <w:bCs/>
          <w:color w:val="000000"/>
          <w:sz w:val="18"/>
          <w:szCs w:val="18"/>
          <w:lang w:val="x-none"/>
        </w:rPr>
        <w:t xml:space="preserve"> wg PN-S-02205</w:t>
      </w:r>
    </w:p>
    <w:tbl>
      <w:tblPr>
        <w:tblW w:w="0" w:type="auto"/>
        <w:tblCellSpacing w:w="0" w:type="dxa"/>
        <w:tblInd w:w="-8" w:type="dxa"/>
        <w:tblLayout w:type="fixed"/>
        <w:tblCellMar>
          <w:left w:w="0" w:type="dxa"/>
          <w:right w:w="0" w:type="dxa"/>
        </w:tblCellMar>
        <w:tblLook w:val="0000" w:firstRow="0" w:lastRow="0" w:firstColumn="0" w:lastColumn="0" w:noHBand="0" w:noVBand="0"/>
      </w:tblPr>
      <w:tblGrid>
        <w:gridCol w:w="382"/>
        <w:gridCol w:w="2506"/>
        <w:gridCol w:w="584"/>
        <w:gridCol w:w="2146"/>
        <w:gridCol w:w="1814"/>
        <w:gridCol w:w="1996"/>
      </w:tblGrid>
      <w:tr w:rsidR="000A3B2B" w14:paraId="4E70439F" w14:textId="77777777" w:rsidTr="006904B4">
        <w:trPr>
          <w:trHeight w:val="60"/>
          <w:tblHeader/>
          <w:tblCellSpacing w:w="0" w:type="dxa"/>
        </w:trPr>
        <w:tc>
          <w:tcPr>
            <w:tcW w:w="382" w:type="dxa"/>
            <w:vMerge w:val="restart"/>
            <w:tcBorders>
              <w:top w:val="single" w:sz="6" w:space="0" w:color="000000"/>
              <w:left w:val="single" w:sz="6" w:space="0" w:color="000000"/>
              <w:bottom w:val="single" w:sz="6" w:space="0" w:color="000000"/>
              <w:right w:val="single" w:sz="6" w:space="0" w:color="000000"/>
            </w:tcBorders>
            <w:shd w:val="clear" w:color="auto" w:fill="CCCCCC"/>
            <w:vAlign w:val="center"/>
          </w:tcPr>
          <w:p w14:paraId="1C4BCB0B"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Lp.</w:t>
            </w:r>
          </w:p>
        </w:tc>
        <w:tc>
          <w:tcPr>
            <w:tcW w:w="2506" w:type="dxa"/>
            <w:vMerge w:val="restart"/>
            <w:tcBorders>
              <w:top w:val="single" w:sz="6" w:space="0" w:color="000000"/>
              <w:left w:val="single" w:sz="6" w:space="0" w:color="000000"/>
              <w:bottom w:val="single" w:sz="6" w:space="0" w:color="000000"/>
              <w:right w:val="single" w:sz="6" w:space="0" w:color="000000"/>
            </w:tcBorders>
            <w:shd w:val="clear" w:color="auto" w:fill="CCCCCC"/>
            <w:vAlign w:val="center"/>
          </w:tcPr>
          <w:p w14:paraId="22B914A7"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Wyszczególnienie właściwości</w:t>
            </w:r>
          </w:p>
        </w:tc>
        <w:tc>
          <w:tcPr>
            <w:tcW w:w="584" w:type="dxa"/>
            <w:vMerge w:val="restart"/>
            <w:tcBorders>
              <w:top w:val="single" w:sz="6" w:space="0" w:color="000000"/>
              <w:left w:val="single" w:sz="6" w:space="0" w:color="000000"/>
              <w:bottom w:val="single" w:sz="6" w:space="0" w:color="000000"/>
              <w:right w:val="single" w:sz="6" w:space="0" w:color="000000"/>
            </w:tcBorders>
            <w:shd w:val="clear" w:color="auto" w:fill="CCCCCC"/>
            <w:vAlign w:val="center"/>
          </w:tcPr>
          <w:p w14:paraId="315A123A"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Jednostki</w:t>
            </w:r>
          </w:p>
        </w:tc>
        <w:tc>
          <w:tcPr>
            <w:tcW w:w="5956" w:type="dxa"/>
            <w:gridSpan w:val="3"/>
            <w:tcBorders>
              <w:top w:val="single" w:sz="6" w:space="0" w:color="000000"/>
              <w:left w:val="single" w:sz="6" w:space="0" w:color="000000"/>
              <w:bottom w:val="single" w:sz="6" w:space="0" w:color="000000"/>
              <w:right w:val="single" w:sz="6" w:space="0" w:color="000000"/>
            </w:tcBorders>
            <w:shd w:val="clear" w:color="auto" w:fill="CCCCCC"/>
            <w:vAlign w:val="center"/>
          </w:tcPr>
          <w:p w14:paraId="677A0074"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Grupy gruntów</w:t>
            </w:r>
          </w:p>
        </w:tc>
      </w:tr>
      <w:tr w:rsidR="000A3B2B" w14:paraId="04667428" w14:textId="77777777" w:rsidTr="006904B4">
        <w:trPr>
          <w:trHeight w:val="60"/>
          <w:tblHeader/>
          <w:tblCellSpacing w:w="0" w:type="dxa"/>
        </w:trPr>
        <w:tc>
          <w:tcPr>
            <w:tcW w:w="382" w:type="dxa"/>
            <w:vMerge/>
            <w:tcBorders>
              <w:top w:val="single" w:sz="6" w:space="0" w:color="000000"/>
              <w:left w:val="single" w:sz="6" w:space="0" w:color="000000"/>
              <w:bottom w:val="single" w:sz="6" w:space="0" w:color="000000"/>
              <w:right w:val="single" w:sz="6" w:space="0" w:color="000000"/>
            </w:tcBorders>
            <w:shd w:val="clear" w:color="auto" w:fill="CCCCCC"/>
            <w:vAlign w:val="center"/>
          </w:tcPr>
          <w:p w14:paraId="43DF10AA" w14:textId="77777777" w:rsidR="000A3B2B" w:rsidRDefault="000A3B2B" w:rsidP="006904B4">
            <w:pPr>
              <w:autoSpaceDE w:val="0"/>
              <w:autoSpaceDN w:val="0"/>
              <w:adjustRightInd w:val="0"/>
              <w:spacing w:after="0" w:line="240" w:lineRule="auto"/>
              <w:rPr>
                <w:rFonts w:ascii="Arial" w:hAnsi="Arial" w:cs="Arial"/>
                <w:b/>
                <w:bCs/>
                <w:color w:val="000000"/>
                <w:sz w:val="18"/>
                <w:szCs w:val="18"/>
                <w:lang w:val="x-none"/>
              </w:rPr>
            </w:pPr>
          </w:p>
        </w:tc>
        <w:tc>
          <w:tcPr>
            <w:tcW w:w="2506" w:type="dxa"/>
            <w:vMerge/>
            <w:tcBorders>
              <w:top w:val="single" w:sz="6" w:space="0" w:color="000000"/>
              <w:left w:val="single" w:sz="6" w:space="0" w:color="000000"/>
              <w:bottom w:val="single" w:sz="6" w:space="0" w:color="000000"/>
              <w:right w:val="single" w:sz="6" w:space="0" w:color="000000"/>
            </w:tcBorders>
            <w:shd w:val="clear" w:color="auto" w:fill="CCCCCC"/>
            <w:vAlign w:val="center"/>
          </w:tcPr>
          <w:p w14:paraId="5F8F24CB" w14:textId="77777777" w:rsidR="000A3B2B" w:rsidRDefault="000A3B2B" w:rsidP="006904B4">
            <w:pPr>
              <w:autoSpaceDE w:val="0"/>
              <w:autoSpaceDN w:val="0"/>
              <w:adjustRightInd w:val="0"/>
              <w:spacing w:after="0" w:line="240" w:lineRule="auto"/>
              <w:rPr>
                <w:rFonts w:ascii="Arial" w:hAnsi="Arial" w:cs="Arial"/>
                <w:b/>
                <w:bCs/>
                <w:color w:val="000000"/>
                <w:sz w:val="18"/>
                <w:szCs w:val="18"/>
                <w:lang w:val="x-none"/>
              </w:rPr>
            </w:pPr>
          </w:p>
        </w:tc>
        <w:tc>
          <w:tcPr>
            <w:tcW w:w="584" w:type="dxa"/>
            <w:vMerge/>
            <w:tcBorders>
              <w:top w:val="single" w:sz="6" w:space="0" w:color="000000"/>
              <w:left w:val="single" w:sz="6" w:space="0" w:color="000000"/>
              <w:bottom w:val="single" w:sz="6" w:space="0" w:color="000000"/>
              <w:right w:val="single" w:sz="6" w:space="0" w:color="000000"/>
            </w:tcBorders>
            <w:shd w:val="clear" w:color="auto" w:fill="CCCCCC"/>
            <w:vAlign w:val="center"/>
          </w:tcPr>
          <w:p w14:paraId="11837430" w14:textId="77777777" w:rsidR="000A3B2B" w:rsidRDefault="000A3B2B" w:rsidP="006904B4">
            <w:pPr>
              <w:autoSpaceDE w:val="0"/>
              <w:autoSpaceDN w:val="0"/>
              <w:adjustRightInd w:val="0"/>
              <w:spacing w:after="0" w:line="240" w:lineRule="auto"/>
              <w:rPr>
                <w:rFonts w:ascii="Arial" w:hAnsi="Arial" w:cs="Arial"/>
                <w:b/>
                <w:bCs/>
                <w:color w:val="000000"/>
                <w:sz w:val="18"/>
                <w:szCs w:val="18"/>
                <w:lang w:val="x-none"/>
              </w:rPr>
            </w:pPr>
          </w:p>
        </w:tc>
        <w:tc>
          <w:tcPr>
            <w:tcW w:w="2146"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7B0D1340"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proofErr w:type="spellStart"/>
            <w:r>
              <w:rPr>
                <w:rFonts w:ascii="Arial" w:hAnsi="Arial" w:cs="Arial"/>
                <w:color w:val="000000"/>
                <w:sz w:val="18"/>
                <w:szCs w:val="18"/>
                <w:lang w:val="x-none"/>
              </w:rPr>
              <w:t>niewysadzinowe</w:t>
            </w:r>
            <w:proofErr w:type="spellEnd"/>
          </w:p>
        </w:tc>
        <w:tc>
          <w:tcPr>
            <w:tcW w:w="1814"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3FA878D5"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wątpliwe</w:t>
            </w:r>
          </w:p>
        </w:tc>
        <w:tc>
          <w:tcPr>
            <w:tcW w:w="1996"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3D306383"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proofErr w:type="spellStart"/>
            <w:r>
              <w:rPr>
                <w:rFonts w:ascii="Arial" w:hAnsi="Arial" w:cs="Arial"/>
                <w:color w:val="000000"/>
                <w:sz w:val="18"/>
                <w:szCs w:val="18"/>
                <w:lang w:val="x-none"/>
              </w:rPr>
              <w:t>wysadzinowe</w:t>
            </w:r>
            <w:proofErr w:type="spellEnd"/>
          </w:p>
        </w:tc>
      </w:tr>
      <w:tr w:rsidR="000A3B2B" w14:paraId="072C9B52" w14:textId="77777777" w:rsidTr="006904B4">
        <w:trPr>
          <w:trHeight w:val="60"/>
          <w:tblCellSpacing w:w="0" w:type="dxa"/>
        </w:trPr>
        <w:tc>
          <w:tcPr>
            <w:tcW w:w="382" w:type="dxa"/>
            <w:tcBorders>
              <w:top w:val="single" w:sz="6" w:space="0" w:color="000000"/>
              <w:left w:val="single" w:sz="6" w:space="0" w:color="000000"/>
              <w:bottom w:val="single" w:sz="6" w:space="0" w:color="000000"/>
              <w:right w:val="single" w:sz="6" w:space="0" w:color="000000"/>
            </w:tcBorders>
          </w:tcPr>
          <w:p w14:paraId="6982D4A8" w14:textId="77777777" w:rsidR="000A3B2B" w:rsidRDefault="000A3B2B" w:rsidP="006904B4">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1.</w:t>
            </w:r>
          </w:p>
        </w:tc>
        <w:tc>
          <w:tcPr>
            <w:tcW w:w="2506" w:type="dxa"/>
            <w:tcBorders>
              <w:top w:val="single" w:sz="6" w:space="0" w:color="000000"/>
              <w:left w:val="single" w:sz="6" w:space="0" w:color="000000"/>
              <w:bottom w:val="single" w:sz="6" w:space="0" w:color="000000"/>
              <w:right w:val="single" w:sz="6" w:space="0" w:color="000000"/>
            </w:tcBorders>
          </w:tcPr>
          <w:p w14:paraId="5B251EBA" w14:textId="77777777" w:rsidR="000A3B2B" w:rsidRDefault="000A3B2B" w:rsidP="006904B4">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Rodzaj gruntu</w:t>
            </w:r>
          </w:p>
        </w:tc>
        <w:tc>
          <w:tcPr>
            <w:tcW w:w="584" w:type="dxa"/>
            <w:tcBorders>
              <w:top w:val="single" w:sz="6" w:space="0" w:color="000000"/>
              <w:left w:val="single" w:sz="6" w:space="0" w:color="000000"/>
              <w:bottom w:val="single" w:sz="6" w:space="0" w:color="000000"/>
              <w:right w:val="single" w:sz="6" w:space="0" w:color="000000"/>
            </w:tcBorders>
          </w:tcPr>
          <w:p w14:paraId="3A189C6A" w14:textId="77777777" w:rsidR="000A3B2B" w:rsidRDefault="000A3B2B" w:rsidP="006904B4">
            <w:pPr>
              <w:autoSpaceDE w:val="0"/>
              <w:autoSpaceDN w:val="0"/>
              <w:adjustRightInd w:val="0"/>
              <w:spacing w:after="0" w:line="240" w:lineRule="auto"/>
              <w:rPr>
                <w:rFonts w:ascii="Arial" w:hAnsi="Arial" w:cs="Arial"/>
                <w:sz w:val="24"/>
                <w:szCs w:val="24"/>
                <w:lang w:val="x-none"/>
              </w:rPr>
            </w:pPr>
          </w:p>
        </w:tc>
        <w:tc>
          <w:tcPr>
            <w:tcW w:w="2146" w:type="dxa"/>
            <w:tcBorders>
              <w:top w:val="single" w:sz="6" w:space="0" w:color="000000"/>
              <w:left w:val="single" w:sz="6" w:space="0" w:color="000000"/>
              <w:bottom w:val="single" w:sz="6" w:space="0" w:color="000000"/>
              <w:right w:val="single" w:sz="6" w:space="0" w:color="000000"/>
            </w:tcBorders>
          </w:tcPr>
          <w:p w14:paraId="5D3555FD" w14:textId="77777777" w:rsidR="000A3B2B" w:rsidRDefault="000A3B2B" w:rsidP="006904B4">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 rumosz niegliniasty</w:t>
            </w:r>
          </w:p>
          <w:p w14:paraId="6230AFB0" w14:textId="77777777" w:rsidR="000A3B2B" w:rsidRDefault="000A3B2B" w:rsidP="006904B4">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 żwir</w:t>
            </w:r>
          </w:p>
          <w:p w14:paraId="00D0D88B" w14:textId="77777777" w:rsidR="000A3B2B" w:rsidRDefault="000A3B2B" w:rsidP="006904B4">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 pospółka</w:t>
            </w:r>
          </w:p>
          <w:p w14:paraId="67100BA9" w14:textId="77777777" w:rsidR="000A3B2B" w:rsidRDefault="000A3B2B" w:rsidP="006904B4">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 piasek gruby</w:t>
            </w:r>
          </w:p>
          <w:p w14:paraId="6D9C30F4" w14:textId="77777777" w:rsidR="000A3B2B" w:rsidRDefault="000A3B2B" w:rsidP="006904B4">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 piasek średni</w:t>
            </w:r>
          </w:p>
          <w:p w14:paraId="1C0EEECA" w14:textId="77777777" w:rsidR="000A3B2B" w:rsidRDefault="000A3B2B" w:rsidP="006904B4">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 piasek drobny</w:t>
            </w:r>
          </w:p>
          <w:p w14:paraId="03EB6F76" w14:textId="77777777" w:rsidR="000A3B2B" w:rsidRDefault="000A3B2B" w:rsidP="006904B4">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 xml:space="preserve">– żużel </w:t>
            </w:r>
            <w:proofErr w:type="spellStart"/>
            <w:r>
              <w:rPr>
                <w:rFonts w:ascii="Arial" w:hAnsi="Arial" w:cs="Arial"/>
                <w:color w:val="000000"/>
                <w:sz w:val="18"/>
                <w:szCs w:val="18"/>
                <w:lang w:val="x-none"/>
              </w:rPr>
              <w:t>nierozpadowy</w:t>
            </w:r>
            <w:proofErr w:type="spellEnd"/>
          </w:p>
        </w:tc>
        <w:tc>
          <w:tcPr>
            <w:tcW w:w="1814" w:type="dxa"/>
            <w:tcBorders>
              <w:top w:val="single" w:sz="6" w:space="0" w:color="000000"/>
              <w:left w:val="single" w:sz="6" w:space="0" w:color="000000"/>
              <w:bottom w:val="single" w:sz="6" w:space="0" w:color="000000"/>
              <w:right w:val="single" w:sz="6" w:space="0" w:color="000000"/>
            </w:tcBorders>
          </w:tcPr>
          <w:p w14:paraId="7A1FBE8E" w14:textId="77777777" w:rsidR="000A3B2B" w:rsidRDefault="000A3B2B" w:rsidP="006904B4">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 xml:space="preserve">– piasek </w:t>
            </w:r>
            <w:proofErr w:type="spellStart"/>
            <w:r>
              <w:rPr>
                <w:rFonts w:ascii="Arial" w:hAnsi="Arial" w:cs="Arial"/>
                <w:color w:val="000000"/>
                <w:sz w:val="18"/>
                <w:szCs w:val="18"/>
                <w:lang w:val="x-none"/>
              </w:rPr>
              <w:t>pulasty</w:t>
            </w:r>
            <w:proofErr w:type="spellEnd"/>
          </w:p>
          <w:p w14:paraId="2EDE52BC" w14:textId="77777777" w:rsidR="000A3B2B" w:rsidRDefault="000A3B2B" w:rsidP="006904B4">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 zwietrzelina gliniasta</w:t>
            </w:r>
          </w:p>
          <w:p w14:paraId="2218C799" w14:textId="77777777" w:rsidR="000A3B2B" w:rsidRDefault="000A3B2B" w:rsidP="006904B4">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 żwir gliniasty</w:t>
            </w:r>
          </w:p>
          <w:p w14:paraId="2BADEF22" w14:textId="77777777" w:rsidR="000A3B2B" w:rsidRDefault="000A3B2B" w:rsidP="006904B4">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 pospółka gliniasta</w:t>
            </w:r>
          </w:p>
        </w:tc>
        <w:tc>
          <w:tcPr>
            <w:tcW w:w="1996" w:type="dxa"/>
            <w:tcBorders>
              <w:top w:val="single" w:sz="6" w:space="0" w:color="000000"/>
              <w:left w:val="single" w:sz="6" w:space="0" w:color="000000"/>
              <w:bottom w:val="single" w:sz="6" w:space="0" w:color="000000"/>
              <w:right w:val="single" w:sz="6" w:space="0" w:color="000000"/>
            </w:tcBorders>
          </w:tcPr>
          <w:p w14:paraId="4ABBA7D2" w14:textId="77777777" w:rsidR="000A3B2B" w:rsidRDefault="000A3B2B" w:rsidP="006904B4">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 xml:space="preserve">mało </w:t>
            </w:r>
            <w:proofErr w:type="spellStart"/>
            <w:r>
              <w:rPr>
                <w:rFonts w:ascii="Arial" w:hAnsi="Arial" w:cs="Arial"/>
                <w:color w:val="000000"/>
                <w:sz w:val="18"/>
                <w:szCs w:val="18"/>
                <w:lang w:val="x-none"/>
              </w:rPr>
              <w:t>wysadzinowe</w:t>
            </w:r>
            <w:proofErr w:type="spellEnd"/>
          </w:p>
          <w:p w14:paraId="1C21ED2C" w14:textId="77777777" w:rsidR="000A3B2B" w:rsidRDefault="000A3B2B" w:rsidP="006904B4">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 glina piaszczysta zwięzła, glina zwięzła, glina pylasta zwięzła</w:t>
            </w:r>
          </w:p>
          <w:p w14:paraId="5C946835" w14:textId="77777777" w:rsidR="000A3B2B" w:rsidRDefault="000A3B2B" w:rsidP="006904B4">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 ił, ił piaszczysty, ił pylasty</w:t>
            </w:r>
          </w:p>
          <w:p w14:paraId="446E8E13" w14:textId="77777777" w:rsidR="000A3B2B" w:rsidRDefault="000A3B2B" w:rsidP="006904B4">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 xml:space="preserve">bardzo </w:t>
            </w:r>
          </w:p>
          <w:p w14:paraId="604D3A0E" w14:textId="77777777" w:rsidR="000A3B2B" w:rsidRDefault="000A3B2B" w:rsidP="006904B4">
            <w:pPr>
              <w:autoSpaceDE w:val="0"/>
              <w:autoSpaceDN w:val="0"/>
              <w:adjustRightInd w:val="0"/>
              <w:spacing w:after="0" w:line="240" w:lineRule="auto"/>
              <w:rPr>
                <w:rFonts w:ascii="Arial" w:hAnsi="Arial" w:cs="Arial"/>
                <w:color w:val="000000"/>
                <w:sz w:val="18"/>
                <w:szCs w:val="18"/>
                <w:lang w:val="x-none"/>
              </w:rPr>
            </w:pPr>
            <w:proofErr w:type="spellStart"/>
            <w:r>
              <w:rPr>
                <w:rFonts w:ascii="Arial" w:hAnsi="Arial" w:cs="Arial"/>
                <w:color w:val="000000"/>
                <w:sz w:val="18"/>
                <w:szCs w:val="18"/>
                <w:lang w:val="x-none"/>
              </w:rPr>
              <w:t>wysadzinowe</w:t>
            </w:r>
            <w:proofErr w:type="spellEnd"/>
          </w:p>
          <w:p w14:paraId="0DB90C0C" w14:textId="77777777" w:rsidR="000A3B2B" w:rsidRDefault="000A3B2B" w:rsidP="006904B4">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 piasek gliniasty</w:t>
            </w:r>
          </w:p>
          <w:p w14:paraId="0F0FDD7D" w14:textId="77777777" w:rsidR="000A3B2B" w:rsidRDefault="000A3B2B" w:rsidP="006904B4">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 pył, pył piaszczysty</w:t>
            </w:r>
          </w:p>
          <w:p w14:paraId="6EB0AF91" w14:textId="77777777" w:rsidR="000A3B2B" w:rsidRDefault="000A3B2B" w:rsidP="006904B4">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 glina piaszczysta, glina pylasta</w:t>
            </w:r>
          </w:p>
          <w:p w14:paraId="0B4C3F7F" w14:textId="77777777" w:rsidR="000A3B2B" w:rsidRDefault="000A3B2B" w:rsidP="006904B4">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 ił warstwowy</w:t>
            </w:r>
          </w:p>
        </w:tc>
      </w:tr>
      <w:tr w:rsidR="000A3B2B" w14:paraId="42DE91B7" w14:textId="77777777" w:rsidTr="006904B4">
        <w:trPr>
          <w:trHeight w:val="60"/>
          <w:tblCellSpacing w:w="0" w:type="dxa"/>
        </w:trPr>
        <w:tc>
          <w:tcPr>
            <w:tcW w:w="382" w:type="dxa"/>
            <w:tcBorders>
              <w:top w:val="single" w:sz="6" w:space="0" w:color="000000"/>
              <w:left w:val="single" w:sz="6" w:space="0" w:color="000000"/>
              <w:bottom w:val="single" w:sz="6" w:space="0" w:color="000000"/>
              <w:right w:val="single" w:sz="6" w:space="0" w:color="000000"/>
            </w:tcBorders>
          </w:tcPr>
          <w:p w14:paraId="554F4465" w14:textId="77777777" w:rsidR="000A3B2B" w:rsidRDefault="000A3B2B" w:rsidP="006904B4">
            <w:pPr>
              <w:autoSpaceDE w:val="0"/>
              <w:autoSpaceDN w:val="0"/>
              <w:adjustRightInd w:val="0"/>
              <w:spacing w:after="0" w:line="240" w:lineRule="auto"/>
              <w:jc w:val="both"/>
              <w:rPr>
                <w:rFonts w:ascii="Arial" w:hAnsi="Arial" w:cs="Arial"/>
                <w:color w:val="000000"/>
                <w:sz w:val="18"/>
                <w:szCs w:val="18"/>
                <w:lang w:val="x-none"/>
              </w:rPr>
            </w:pPr>
            <w:r>
              <w:rPr>
                <w:rFonts w:ascii="Arial" w:hAnsi="Arial" w:cs="Arial"/>
                <w:color w:val="000000"/>
                <w:sz w:val="18"/>
                <w:szCs w:val="18"/>
                <w:lang w:val="x-none"/>
              </w:rPr>
              <w:t>2.</w:t>
            </w:r>
          </w:p>
        </w:tc>
        <w:tc>
          <w:tcPr>
            <w:tcW w:w="2506" w:type="dxa"/>
            <w:tcBorders>
              <w:top w:val="single" w:sz="6" w:space="0" w:color="000000"/>
              <w:left w:val="single" w:sz="6" w:space="0" w:color="000000"/>
              <w:bottom w:val="single" w:sz="6" w:space="0" w:color="000000"/>
              <w:right w:val="single" w:sz="6" w:space="0" w:color="000000"/>
            </w:tcBorders>
          </w:tcPr>
          <w:p w14:paraId="5CFFCBF4" w14:textId="77777777" w:rsidR="000A3B2B" w:rsidRDefault="000A3B2B" w:rsidP="006904B4">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Zawartość cząstek</w:t>
            </w:r>
          </w:p>
          <w:p w14:paraId="5C4033BE" w14:textId="77777777" w:rsidR="000A3B2B" w:rsidRDefault="000A3B2B" w:rsidP="006904B4">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&lt; 0,075 mm</w:t>
            </w:r>
          </w:p>
          <w:p w14:paraId="260DF3A4" w14:textId="77777777" w:rsidR="000A3B2B" w:rsidRDefault="000A3B2B" w:rsidP="006904B4">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&gt; 0,02 mm</w:t>
            </w:r>
          </w:p>
        </w:tc>
        <w:tc>
          <w:tcPr>
            <w:tcW w:w="584" w:type="dxa"/>
            <w:tcBorders>
              <w:top w:val="single" w:sz="6" w:space="0" w:color="000000"/>
              <w:left w:val="single" w:sz="6" w:space="0" w:color="000000"/>
              <w:bottom w:val="single" w:sz="6" w:space="0" w:color="000000"/>
              <w:right w:val="single" w:sz="6" w:space="0" w:color="000000"/>
            </w:tcBorders>
          </w:tcPr>
          <w:p w14:paraId="00489879"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w:t>
            </w:r>
          </w:p>
        </w:tc>
        <w:tc>
          <w:tcPr>
            <w:tcW w:w="2146" w:type="dxa"/>
            <w:tcBorders>
              <w:top w:val="single" w:sz="6" w:space="0" w:color="000000"/>
              <w:left w:val="single" w:sz="6" w:space="0" w:color="000000"/>
              <w:bottom w:val="single" w:sz="6" w:space="0" w:color="000000"/>
              <w:right w:val="single" w:sz="6" w:space="0" w:color="000000"/>
            </w:tcBorders>
            <w:vAlign w:val="bottom"/>
          </w:tcPr>
          <w:p w14:paraId="7C0E0EC7"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 xml:space="preserve">&lt; 15 </w:t>
            </w:r>
          </w:p>
          <w:p w14:paraId="4259EAAB"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&lt; 3</w:t>
            </w:r>
          </w:p>
        </w:tc>
        <w:tc>
          <w:tcPr>
            <w:tcW w:w="1814" w:type="dxa"/>
            <w:tcBorders>
              <w:top w:val="single" w:sz="6" w:space="0" w:color="000000"/>
              <w:left w:val="single" w:sz="6" w:space="0" w:color="000000"/>
              <w:bottom w:val="single" w:sz="6" w:space="0" w:color="000000"/>
              <w:right w:val="single" w:sz="6" w:space="0" w:color="000000"/>
            </w:tcBorders>
            <w:vAlign w:val="bottom"/>
          </w:tcPr>
          <w:p w14:paraId="0E8C8C73"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 xml:space="preserve">od 15 do 30 </w:t>
            </w:r>
          </w:p>
          <w:p w14:paraId="40F4C196"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3 do 10</w:t>
            </w:r>
          </w:p>
        </w:tc>
        <w:tc>
          <w:tcPr>
            <w:tcW w:w="1996" w:type="dxa"/>
            <w:tcBorders>
              <w:top w:val="single" w:sz="6" w:space="0" w:color="000000"/>
              <w:left w:val="single" w:sz="6" w:space="0" w:color="000000"/>
              <w:bottom w:val="single" w:sz="6" w:space="0" w:color="000000"/>
              <w:right w:val="single" w:sz="6" w:space="0" w:color="000000"/>
            </w:tcBorders>
            <w:vAlign w:val="bottom"/>
          </w:tcPr>
          <w:p w14:paraId="08B37EF9"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&gt; 30</w:t>
            </w:r>
          </w:p>
          <w:p w14:paraId="691AC403"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&gt; 10</w:t>
            </w:r>
          </w:p>
        </w:tc>
      </w:tr>
      <w:tr w:rsidR="000A3B2B" w14:paraId="4C9EA947" w14:textId="77777777" w:rsidTr="006904B4">
        <w:trPr>
          <w:trHeight w:val="60"/>
          <w:tblCellSpacing w:w="0" w:type="dxa"/>
        </w:trPr>
        <w:tc>
          <w:tcPr>
            <w:tcW w:w="382" w:type="dxa"/>
            <w:tcBorders>
              <w:top w:val="single" w:sz="6" w:space="0" w:color="000000"/>
              <w:left w:val="single" w:sz="6" w:space="0" w:color="000000"/>
              <w:bottom w:val="single" w:sz="6" w:space="0" w:color="000000"/>
              <w:right w:val="single" w:sz="6" w:space="0" w:color="000000"/>
            </w:tcBorders>
          </w:tcPr>
          <w:p w14:paraId="6F88DF29" w14:textId="77777777" w:rsidR="000A3B2B" w:rsidRDefault="000A3B2B" w:rsidP="006904B4">
            <w:pPr>
              <w:autoSpaceDE w:val="0"/>
              <w:autoSpaceDN w:val="0"/>
              <w:adjustRightInd w:val="0"/>
              <w:spacing w:after="0" w:line="240" w:lineRule="auto"/>
              <w:jc w:val="both"/>
              <w:rPr>
                <w:rFonts w:ascii="Arial" w:hAnsi="Arial" w:cs="Arial"/>
                <w:color w:val="000000"/>
                <w:sz w:val="18"/>
                <w:szCs w:val="18"/>
                <w:lang w:val="x-none"/>
              </w:rPr>
            </w:pPr>
            <w:r>
              <w:rPr>
                <w:rFonts w:ascii="Arial" w:hAnsi="Arial" w:cs="Arial"/>
                <w:color w:val="000000"/>
                <w:sz w:val="18"/>
                <w:szCs w:val="18"/>
                <w:lang w:val="x-none"/>
              </w:rPr>
              <w:t>3.</w:t>
            </w:r>
          </w:p>
        </w:tc>
        <w:tc>
          <w:tcPr>
            <w:tcW w:w="2506" w:type="dxa"/>
            <w:tcBorders>
              <w:top w:val="single" w:sz="6" w:space="0" w:color="000000"/>
              <w:left w:val="single" w:sz="6" w:space="0" w:color="000000"/>
              <w:bottom w:val="single" w:sz="6" w:space="0" w:color="000000"/>
              <w:right w:val="single" w:sz="6" w:space="0" w:color="000000"/>
            </w:tcBorders>
          </w:tcPr>
          <w:p w14:paraId="70E6253F" w14:textId="77777777" w:rsidR="000A3B2B" w:rsidRDefault="000A3B2B" w:rsidP="006904B4">
            <w:pPr>
              <w:autoSpaceDE w:val="0"/>
              <w:autoSpaceDN w:val="0"/>
              <w:adjustRightInd w:val="0"/>
              <w:spacing w:after="0" w:line="240" w:lineRule="auto"/>
              <w:rPr>
                <w:rFonts w:ascii="Arial" w:hAnsi="Arial" w:cs="Arial"/>
                <w:color w:val="000000"/>
                <w:position w:val="-2"/>
                <w:sz w:val="8"/>
                <w:szCs w:val="8"/>
                <w:lang w:val="x-none"/>
              </w:rPr>
            </w:pPr>
            <w:r>
              <w:rPr>
                <w:rFonts w:ascii="Arial" w:hAnsi="Arial" w:cs="Arial"/>
                <w:color w:val="000000"/>
                <w:sz w:val="18"/>
                <w:szCs w:val="18"/>
                <w:lang w:val="x-none"/>
              </w:rPr>
              <w:t>Kapilarność bierna H</w:t>
            </w:r>
            <w:proofErr w:type="spellStart"/>
            <w:r>
              <w:rPr>
                <w:rFonts w:ascii="Arial" w:hAnsi="Arial" w:cs="Arial"/>
                <w:color w:val="000000"/>
                <w:position w:val="-2"/>
                <w:sz w:val="8"/>
                <w:szCs w:val="8"/>
                <w:lang w:val="x-none"/>
              </w:rPr>
              <w:t>kb</w:t>
            </w:r>
            <w:proofErr w:type="spellEnd"/>
          </w:p>
        </w:tc>
        <w:tc>
          <w:tcPr>
            <w:tcW w:w="584" w:type="dxa"/>
            <w:tcBorders>
              <w:top w:val="single" w:sz="6" w:space="0" w:color="000000"/>
              <w:left w:val="single" w:sz="6" w:space="0" w:color="000000"/>
              <w:bottom w:val="single" w:sz="6" w:space="0" w:color="000000"/>
              <w:right w:val="single" w:sz="6" w:space="0" w:color="000000"/>
            </w:tcBorders>
          </w:tcPr>
          <w:p w14:paraId="482FDDBE"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m</w:t>
            </w:r>
          </w:p>
        </w:tc>
        <w:tc>
          <w:tcPr>
            <w:tcW w:w="2146" w:type="dxa"/>
            <w:tcBorders>
              <w:top w:val="single" w:sz="6" w:space="0" w:color="000000"/>
              <w:left w:val="single" w:sz="6" w:space="0" w:color="000000"/>
              <w:bottom w:val="single" w:sz="6" w:space="0" w:color="000000"/>
              <w:right w:val="single" w:sz="6" w:space="0" w:color="000000"/>
            </w:tcBorders>
          </w:tcPr>
          <w:p w14:paraId="6F5AA59A"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&lt; 1,0</w:t>
            </w:r>
          </w:p>
        </w:tc>
        <w:tc>
          <w:tcPr>
            <w:tcW w:w="1814" w:type="dxa"/>
            <w:tcBorders>
              <w:top w:val="single" w:sz="6" w:space="0" w:color="000000"/>
              <w:left w:val="single" w:sz="6" w:space="0" w:color="000000"/>
              <w:bottom w:val="single" w:sz="6" w:space="0" w:color="000000"/>
              <w:right w:val="single" w:sz="6" w:space="0" w:color="000000"/>
            </w:tcBorders>
          </w:tcPr>
          <w:p w14:paraId="038FEE26"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 1,0</w:t>
            </w:r>
          </w:p>
        </w:tc>
        <w:tc>
          <w:tcPr>
            <w:tcW w:w="1996" w:type="dxa"/>
            <w:tcBorders>
              <w:top w:val="single" w:sz="6" w:space="0" w:color="000000"/>
              <w:left w:val="single" w:sz="6" w:space="0" w:color="000000"/>
              <w:bottom w:val="single" w:sz="6" w:space="0" w:color="000000"/>
              <w:right w:val="single" w:sz="6" w:space="0" w:color="000000"/>
            </w:tcBorders>
          </w:tcPr>
          <w:p w14:paraId="43AFDC2E"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&gt; 1,0</w:t>
            </w:r>
          </w:p>
        </w:tc>
      </w:tr>
      <w:tr w:rsidR="000A3B2B" w14:paraId="790B3247" w14:textId="77777777" w:rsidTr="006904B4">
        <w:trPr>
          <w:trHeight w:val="60"/>
          <w:tblCellSpacing w:w="0" w:type="dxa"/>
        </w:trPr>
        <w:tc>
          <w:tcPr>
            <w:tcW w:w="382" w:type="dxa"/>
            <w:tcBorders>
              <w:top w:val="single" w:sz="6" w:space="0" w:color="000000"/>
              <w:left w:val="single" w:sz="6" w:space="0" w:color="000000"/>
              <w:bottom w:val="single" w:sz="6" w:space="0" w:color="000000"/>
              <w:right w:val="single" w:sz="6" w:space="0" w:color="000000"/>
            </w:tcBorders>
          </w:tcPr>
          <w:p w14:paraId="7DD0D717" w14:textId="77777777" w:rsidR="000A3B2B" w:rsidRDefault="000A3B2B" w:rsidP="006904B4">
            <w:pPr>
              <w:autoSpaceDE w:val="0"/>
              <w:autoSpaceDN w:val="0"/>
              <w:adjustRightInd w:val="0"/>
              <w:spacing w:after="0" w:line="240" w:lineRule="auto"/>
              <w:jc w:val="both"/>
              <w:rPr>
                <w:rFonts w:ascii="Arial" w:hAnsi="Arial" w:cs="Arial"/>
                <w:color w:val="000000"/>
                <w:sz w:val="18"/>
                <w:szCs w:val="18"/>
                <w:lang w:val="x-none"/>
              </w:rPr>
            </w:pPr>
            <w:r>
              <w:rPr>
                <w:rFonts w:ascii="Arial" w:hAnsi="Arial" w:cs="Arial"/>
                <w:color w:val="000000"/>
                <w:sz w:val="18"/>
                <w:szCs w:val="18"/>
                <w:lang w:val="x-none"/>
              </w:rPr>
              <w:t>4.</w:t>
            </w:r>
          </w:p>
        </w:tc>
        <w:tc>
          <w:tcPr>
            <w:tcW w:w="2506" w:type="dxa"/>
            <w:tcBorders>
              <w:top w:val="single" w:sz="6" w:space="0" w:color="000000"/>
              <w:left w:val="single" w:sz="6" w:space="0" w:color="000000"/>
              <w:bottom w:val="single" w:sz="6" w:space="0" w:color="000000"/>
              <w:right w:val="single" w:sz="6" w:space="0" w:color="000000"/>
            </w:tcBorders>
          </w:tcPr>
          <w:p w14:paraId="4FD88670" w14:textId="77777777" w:rsidR="000A3B2B" w:rsidRDefault="000A3B2B" w:rsidP="006904B4">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Wskaźnik piaskowy WP</w:t>
            </w:r>
          </w:p>
        </w:tc>
        <w:tc>
          <w:tcPr>
            <w:tcW w:w="584" w:type="dxa"/>
            <w:tcBorders>
              <w:top w:val="single" w:sz="6" w:space="0" w:color="000000"/>
              <w:left w:val="single" w:sz="6" w:space="0" w:color="000000"/>
              <w:bottom w:val="single" w:sz="6" w:space="0" w:color="000000"/>
              <w:right w:val="single" w:sz="6" w:space="0" w:color="000000"/>
            </w:tcBorders>
          </w:tcPr>
          <w:p w14:paraId="40AA64E8" w14:textId="77777777" w:rsidR="000A3B2B" w:rsidRDefault="000A3B2B" w:rsidP="006904B4">
            <w:pPr>
              <w:autoSpaceDE w:val="0"/>
              <w:autoSpaceDN w:val="0"/>
              <w:adjustRightInd w:val="0"/>
              <w:spacing w:after="0" w:line="240" w:lineRule="auto"/>
              <w:rPr>
                <w:rFonts w:ascii="Arial" w:hAnsi="Arial" w:cs="Arial"/>
                <w:sz w:val="24"/>
                <w:szCs w:val="24"/>
                <w:lang w:val="x-none"/>
              </w:rPr>
            </w:pPr>
          </w:p>
        </w:tc>
        <w:tc>
          <w:tcPr>
            <w:tcW w:w="2146" w:type="dxa"/>
            <w:tcBorders>
              <w:top w:val="single" w:sz="6" w:space="0" w:color="000000"/>
              <w:left w:val="single" w:sz="6" w:space="0" w:color="000000"/>
              <w:bottom w:val="single" w:sz="6" w:space="0" w:color="000000"/>
              <w:right w:val="single" w:sz="6" w:space="0" w:color="000000"/>
            </w:tcBorders>
            <w:vAlign w:val="center"/>
          </w:tcPr>
          <w:p w14:paraId="63EDF989"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&gt; 35</w:t>
            </w:r>
          </w:p>
        </w:tc>
        <w:tc>
          <w:tcPr>
            <w:tcW w:w="1814" w:type="dxa"/>
            <w:tcBorders>
              <w:top w:val="single" w:sz="6" w:space="0" w:color="000000"/>
              <w:left w:val="single" w:sz="6" w:space="0" w:color="000000"/>
              <w:bottom w:val="single" w:sz="6" w:space="0" w:color="000000"/>
              <w:right w:val="single" w:sz="6" w:space="0" w:color="000000"/>
            </w:tcBorders>
            <w:vAlign w:val="center"/>
          </w:tcPr>
          <w:p w14:paraId="3B8AF422"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od 25 do 35</w:t>
            </w:r>
          </w:p>
        </w:tc>
        <w:tc>
          <w:tcPr>
            <w:tcW w:w="1996" w:type="dxa"/>
            <w:tcBorders>
              <w:top w:val="single" w:sz="6" w:space="0" w:color="000000"/>
              <w:left w:val="single" w:sz="6" w:space="0" w:color="000000"/>
              <w:bottom w:val="single" w:sz="6" w:space="0" w:color="000000"/>
              <w:right w:val="single" w:sz="6" w:space="0" w:color="000000"/>
            </w:tcBorders>
            <w:vAlign w:val="center"/>
          </w:tcPr>
          <w:p w14:paraId="5CC47D63" w14:textId="77777777" w:rsidR="000A3B2B" w:rsidRDefault="000A3B2B" w:rsidP="006904B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&lt; 25</w:t>
            </w:r>
          </w:p>
        </w:tc>
      </w:tr>
    </w:tbl>
    <w:p w14:paraId="3D94BC8A" w14:textId="77777777" w:rsidR="000A3B2B" w:rsidRDefault="000A3B2B" w:rsidP="000E4A55">
      <w:pPr>
        <w:autoSpaceDE w:val="0"/>
        <w:autoSpaceDN w:val="0"/>
        <w:adjustRightInd w:val="0"/>
        <w:spacing w:after="30" w:line="240" w:lineRule="auto"/>
        <w:jc w:val="both"/>
        <w:rPr>
          <w:rFonts w:ascii="Arial" w:hAnsi="Arial" w:cs="Arial"/>
          <w:color w:val="000000"/>
          <w:sz w:val="14"/>
          <w:szCs w:val="14"/>
          <w:lang w:val="x-none"/>
        </w:rPr>
      </w:pPr>
    </w:p>
    <w:p w14:paraId="0E11BF98"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4"/>
          <w:szCs w:val="14"/>
          <w:lang w:val="x-none"/>
        </w:rPr>
        <w:t>* niepotrzebne skreślić</w:t>
      </w:r>
      <w:r>
        <w:rPr>
          <w:rFonts w:ascii="Arial" w:hAnsi="Arial" w:cs="Arial"/>
          <w:color w:val="000000"/>
          <w:sz w:val="14"/>
          <w:szCs w:val="14"/>
          <w:lang w:val="x-none"/>
        </w:rPr>
        <w:tab/>
        <w:t xml:space="preserve"> </w:t>
      </w:r>
    </w:p>
    <w:p w14:paraId="59EFEC4E" w14:textId="77777777" w:rsidR="000A3B2B" w:rsidRDefault="000A3B2B" w:rsidP="009E5295">
      <w:pPr>
        <w:autoSpaceDE w:val="0"/>
        <w:autoSpaceDN w:val="0"/>
        <w:adjustRightInd w:val="0"/>
        <w:spacing w:after="60" w:line="240" w:lineRule="auto"/>
        <w:ind w:left="390" w:hanging="390"/>
        <w:jc w:val="both"/>
        <w:rPr>
          <w:rFonts w:ascii="Arial" w:hAnsi="Arial" w:cs="Arial"/>
          <w:color w:val="000000"/>
          <w:sz w:val="18"/>
          <w:szCs w:val="18"/>
          <w:lang w:val="x-none"/>
        </w:rPr>
        <w:sectPr w:rsidR="000A3B2B" w:rsidSect="009E5295">
          <w:pgSz w:w="12240" w:h="15840"/>
          <w:pgMar w:top="1417" w:right="1417" w:bottom="1417" w:left="1417" w:header="708" w:footer="708" w:gutter="0"/>
          <w:cols w:space="708"/>
          <w:noEndnote/>
        </w:sectPr>
      </w:pPr>
    </w:p>
    <w:p w14:paraId="64494E1E" w14:textId="77777777" w:rsidR="000A3B2B" w:rsidRPr="00D661C1" w:rsidRDefault="000A3B2B" w:rsidP="00D661C1">
      <w:pPr>
        <w:pStyle w:val="Styl1"/>
      </w:pPr>
      <w:r w:rsidRPr="00D661C1">
        <w:lastRenderedPageBreak/>
        <w:t>BETONOWANIE KONSTRUKCJI</w:t>
      </w:r>
    </w:p>
    <w:p w14:paraId="6B46B04F" w14:textId="77777777" w:rsidR="000A3B2B" w:rsidRDefault="000A3B2B" w:rsidP="009E5295">
      <w:pPr>
        <w:autoSpaceDE w:val="0"/>
        <w:autoSpaceDN w:val="0"/>
        <w:adjustRightInd w:val="0"/>
        <w:spacing w:after="3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1.</w:t>
      </w:r>
      <w:r>
        <w:rPr>
          <w:rFonts w:ascii="Arial" w:hAnsi="Arial" w:cs="Arial"/>
          <w:b/>
          <w:bCs/>
          <w:color w:val="000000"/>
          <w:sz w:val="18"/>
          <w:szCs w:val="18"/>
          <w:lang w:val="x-none"/>
        </w:rPr>
        <w:tab/>
        <w:t>CZĘŚĆ OGÓLNA</w:t>
      </w:r>
    </w:p>
    <w:p w14:paraId="11E6B79F"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1.1.</w:t>
      </w:r>
      <w:r>
        <w:rPr>
          <w:rFonts w:ascii="Arial" w:hAnsi="Arial" w:cs="Arial"/>
          <w:b/>
          <w:bCs/>
          <w:color w:val="000000"/>
          <w:sz w:val="18"/>
          <w:szCs w:val="18"/>
          <w:lang w:val="x-none"/>
        </w:rPr>
        <w:tab/>
        <w:t>Nazwa nadana zamówieniu przez Zamawiającego</w:t>
      </w:r>
    </w:p>
    <w:p w14:paraId="5B1EF80C" w14:textId="77777777" w:rsidR="000A3B2B" w:rsidRDefault="000A3B2B" w:rsidP="009E5295">
      <w:pPr>
        <w:tabs>
          <w:tab w:val="right" w:leader="dot" w:pos="7035"/>
        </w:tabs>
        <w:autoSpaceDE w:val="0"/>
        <w:autoSpaceDN w:val="0"/>
        <w:adjustRightInd w:val="0"/>
        <w:spacing w:after="30" w:line="240" w:lineRule="auto"/>
        <w:jc w:val="both"/>
        <w:rPr>
          <w:rFonts w:ascii="Arial" w:hAnsi="Arial" w:cs="Arial"/>
          <w:color w:val="000000"/>
          <w:sz w:val="18"/>
          <w:szCs w:val="18"/>
          <w:lang w:val="x-none"/>
        </w:rPr>
      </w:pPr>
      <w:r w:rsidRPr="00D8129F">
        <w:rPr>
          <w:rFonts w:ascii="Arial" w:hAnsi="Arial" w:cs="Arial"/>
          <w:noProof/>
          <w:color w:val="000000"/>
          <w:sz w:val="18"/>
          <w:szCs w:val="18"/>
          <w:lang w:val="x-none"/>
        </w:rPr>
        <w:t>Termomodernizacja budynku Szkoły Podstawowej nr 3 przy ul. Marii Konopnickiej 2 w Reszlu.</w:t>
      </w:r>
    </w:p>
    <w:p w14:paraId="4E1EC16B"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1.2.</w:t>
      </w:r>
      <w:r>
        <w:rPr>
          <w:rFonts w:ascii="Arial" w:hAnsi="Arial" w:cs="Arial"/>
          <w:b/>
          <w:bCs/>
          <w:color w:val="000000"/>
          <w:sz w:val="18"/>
          <w:szCs w:val="18"/>
          <w:lang w:val="x-none"/>
        </w:rPr>
        <w:tab/>
        <w:t>Przedmiot ST</w:t>
      </w:r>
    </w:p>
    <w:p w14:paraId="0CEF16A4"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Przedmiotem niniejszej standardowej specyfikacji technicznej (ST) są wymagania dotyczące wykonania i odbioru robót związanych z wykonaniem konstrukcji betonowych i żelbetowych w obiektach kubaturowych.</w:t>
      </w:r>
    </w:p>
    <w:tbl>
      <w:tblPr>
        <w:tblW w:w="0" w:type="auto"/>
        <w:tblCellSpacing w:w="0" w:type="dxa"/>
        <w:tblInd w:w="-8" w:type="dxa"/>
        <w:tblLayout w:type="fixed"/>
        <w:tblCellMar>
          <w:left w:w="0" w:type="dxa"/>
          <w:right w:w="0" w:type="dxa"/>
        </w:tblCellMar>
        <w:tblLook w:val="0000" w:firstRow="0" w:lastRow="0" w:firstColumn="0" w:lastColumn="0" w:noHBand="0" w:noVBand="0"/>
      </w:tblPr>
      <w:tblGrid>
        <w:gridCol w:w="9352"/>
      </w:tblGrid>
      <w:tr w:rsidR="000A3B2B" w14:paraId="17394351" w14:textId="77777777">
        <w:trPr>
          <w:trHeight w:val="60"/>
          <w:tblCellSpacing w:w="0" w:type="dxa"/>
        </w:trPr>
        <w:tc>
          <w:tcPr>
            <w:tcW w:w="9352" w:type="dxa"/>
            <w:tcBorders>
              <w:top w:val="single" w:sz="6" w:space="0" w:color="000000"/>
              <w:left w:val="single" w:sz="6" w:space="0" w:color="000000"/>
              <w:bottom w:val="single" w:sz="6" w:space="0" w:color="000000"/>
              <w:right w:val="single" w:sz="6" w:space="0" w:color="000000"/>
            </w:tcBorders>
          </w:tcPr>
          <w:p w14:paraId="4B445337"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Uwaga: Niniejsza specyfikacja nie obejmuje przygotowania i montażu zbrojenia konstrukcji cementowych, dla którego warunki wykonania i odbioru podano w ST „Zbrojenie – Przygotowanie i montaż zbrojenia, Kod CPV 45262310.”</w:t>
            </w:r>
          </w:p>
        </w:tc>
      </w:tr>
    </w:tbl>
    <w:p w14:paraId="0AD84834"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2656BB33"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p>
    <w:p w14:paraId="685851DE"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1.3.</w:t>
      </w:r>
      <w:r>
        <w:rPr>
          <w:rFonts w:ascii="Arial" w:hAnsi="Arial" w:cs="Arial"/>
          <w:b/>
          <w:bCs/>
          <w:color w:val="000000"/>
          <w:sz w:val="18"/>
          <w:szCs w:val="18"/>
          <w:lang w:val="x-none"/>
        </w:rPr>
        <w:tab/>
        <w:t>Zakres stosowania ST</w:t>
      </w:r>
    </w:p>
    <w:p w14:paraId="1F499049"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Niniejsza specyfikacja techniczna jest dokumentem przetargowym i kontraktowym przy zlecaniu i realizacji robót wymienionych w pkt. 1.2., a objętych zamówieniem określonym w pkt. 1.8.</w:t>
      </w:r>
    </w:p>
    <w:p w14:paraId="643103CE"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476BD405"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Odstępstwa od wymagań podanych w niniejszej specyfikacji mogą mieć miejsce tylko w przypadkach prostych robót o niewielkim znaczeniu, dla których istnieje pewność, że podstawowe wymagania będą spełnione przy zastosowaniu metod wykonania wynikających z doświadczenia oraz uznanych reguł i zasad sztuki budowlanej oraz przy uwzględnieniu przepisów bhp.</w:t>
      </w:r>
    </w:p>
    <w:p w14:paraId="0EB1AA06"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p>
    <w:p w14:paraId="50D4525D"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1.4.</w:t>
      </w:r>
      <w:r>
        <w:rPr>
          <w:rFonts w:ascii="Arial" w:hAnsi="Arial" w:cs="Arial"/>
          <w:b/>
          <w:bCs/>
          <w:color w:val="000000"/>
          <w:sz w:val="18"/>
          <w:szCs w:val="18"/>
          <w:lang w:val="x-none"/>
        </w:rPr>
        <w:tab/>
        <w:t>Przedmiot i zakres robót objętych ST</w:t>
      </w:r>
    </w:p>
    <w:p w14:paraId="7C689DBC"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Specyfikacja dotyczy zasad prowadzenia robót związanych z wykonywaniem konstrukcji betonowych i żelbetowych w obiektach kubaturowych (za wyjątkiem przygotowania i montażu zbrojenia). Specyfikacja dotyczy wszystkich czynności mających na celu wykonanie robót związanych z:</w:t>
      </w:r>
    </w:p>
    <w:p w14:paraId="54784156"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przygotowaniem mieszanki betonowej,</w:t>
      </w:r>
    </w:p>
    <w:p w14:paraId="246F6CD1"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wykonaniem rusztowań,</w:t>
      </w:r>
    </w:p>
    <w:p w14:paraId="61AE48F8"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wykonaniem </w:t>
      </w:r>
      <w:proofErr w:type="spellStart"/>
      <w:r>
        <w:rPr>
          <w:rFonts w:ascii="Arial" w:hAnsi="Arial" w:cs="Arial"/>
          <w:color w:val="000000"/>
          <w:sz w:val="18"/>
          <w:szCs w:val="18"/>
          <w:lang w:val="x-none"/>
        </w:rPr>
        <w:t>deskowań</w:t>
      </w:r>
      <w:proofErr w:type="spellEnd"/>
      <w:r>
        <w:rPr>
          <w:rFonts w:ascii="Arial" w:hAnsi="Arial" w:cs="Arial"/>
          <w:color w:val="000000"/>
          <w:sz w:val="18"/>
          <w:szCs w:val="18"/>
          <w:lang w:val="x-none"/>
        </w:rPr>
        <w:t xml:space="preserve"> wraz z usztywnieniem,</w:t>
      </w:r>
    </w:p>
    <w:p w14:paraId="76323106"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układaniem i zagęszczaniem mieszanki betonowej,</w:t>
      </w:r>
    </w:p>
    <w:p w14:paraId="7E8FB8B3"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pielęgnacją betonu.</w:t>
      </w:r>
    </w:p>
    <w:p w14:paraId="6AAD9F3D"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p>
    <w:p w14:paraId="21C2DCE0"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1.5.</w:t>
      </w:r>
      <w:r>
        <w:rPr>
          <w:rFonts w:ascii="Arial" w:hAnsi="Arial" w:cs="Arial"/>
          <w:b/>
          <w:bCs/>
          <w:color w:val="000000"/>
          <w:sz w:val="18"/>
          <w:szCs w:val="18"/>
          <w:lang w:val="x-none"/>
        </w:rPr>
        <w:tab/>
        <w:t>Określenia podstawowe i definicje</w:t>
      </w:r>
    </w:p>
    <w:p w14:paraId="4BA03E90"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Określenia podane w niniejszej Specyfikacji są zgodne z odpowiednimi normami oraz określeniami podanymi w ST „Wymagania ogólne” Kod CPV 45000000-7, pkt 1.7., a także podanymi poniżej:</w:t>
      </w:r>
    </w:p>
    <w:p w14:paraId="5D8CF533"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Beton zwykły</w:t>
      </w:r>
      <w:r>
        <w:rPr>
          <w:rFonts w:ascii="Arial" w:hAnsi="Arial" w:cs="Arial"/>
          <w:color w:val="000000"/>
          <w:sz w:val="18"/>
          <w:szCs w:val="18"/>
          <w:lang w:val="x-none"/>
        </w:rPr>
        <w:t xml:space="preserve"> – beton o gęstości powyżej 1,8 t/m3 wykonany z cementu, wody, kruszywa mineralnego o frakcjach piaskowych i grubszych oraz ewentualnych dodatków mineralnych i domieszek chemicznych.</w:t>
      </w:r>
    </w:p>
    <w:p w14:paraId="03A78C09"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Mieszanka betonowa</w:t>
      </w:r>
      <w:r>
        <w:rPr>
          <w:rFonts w:ascii="Arial" w:hAnsi="Arial" w:cs="Arial"/>
          <w:color w:val="000000"/>
          <w:sz w:val="18"/>
          <w:szCs w:val="18"/>
          <w:lang w:val="x-none"/>
        </w:rPr>
        <w:t xml:space="preserve"> – mieszanka wszystkich składników przed związaniem betonu.</w:t>
      </w:r>
    </w:p>
    <w:p w14:paraId="4DB3D4F7"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Zaczyn cementowy – mieszanka cementu i wody.</w:t>
      </w:r>
    </w:p>
    <w:p w14:paraId="06FDDB34"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Zaprawa</w:t>
      </w:r>
      <w:r>
        <w:rPr>
          <w:rFonts w:ascii="Arial" w:hAnsi="Arial" w:cs="Arial"/>
          <w:color w:val="000000"/>
          <w:sz w:val="18"/>
          <w:szCs w:val="18"/>
          <w:lang w:val="x-none"/>
        </w:rPr>
        <w:t xml:space="preserve"> – mieszanka cementu, wody, składników mineralnych i ewentualnych dodatków przechodzących przez sito kontrolne o boku oczka kwadratowego 2 mm.</w:t>
      </w:r>
    </w:p>
    <w:p w14:paraId="53CF1AB4"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Nasiąkliwość betonu</w:t>
      </w:r>
      <w:r>
        <w:rPr>
          <w:rFonts w:ascii="Arial" w:hAnsi="Arial" w:cs="Arial"/>
          <w:color w:val="000000"/>
          <w:sz w:val="18"/>
          <w:szCs w:val="18"/>
          <w:lang w:val="x-none"/>
        </w:rPr>
        <w:t xml:space="preserve"> – stosunek masy wody, którą zdolny jest wchłonąć beton, do jego masy w stanie suchym.</w:t>
      </w:r>
    </w:p>
    <w:p w14:paraId="4B4049CD"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 xml:space="preserve">Stopień wodoszczelności </w:t>
      </w:r>
      <w:r>
        <w:rPr>
          <w:rFonts w:ascii="Arial" w:hAnsi="Arial" w:cs="Arial"/>
          <w:color w:val="000000"/>
          <w:sz w:val="18"/>
          <w:szCs w:val="18"/>
          <w:lang w:val="x-none"/>
        </w:rPr>
        <w:t xml:space="preserve">– symbol literowo-liczbowy (np. W8) klasyfikujący beton pod względem przepuszczalności wody. Liczba po literze W oznacza dziesięciokrotną wartość ciśnienia wody w </w:t>
      </w:r>
      <w:proofErr w:type="spellStart"/>
      <w:r>
        <w:rPr>
          <w:rFonts w:ascii="Arial" w:hAnsi="Arial" w:cs="Arial"/>
          <w:color w:val="000000"/>
          <w:sz w:val="18"/>
          <w:szCs w:val="18"/>
          <w:lang w:val="x-none"/>
        </w:rPr>
        <w:t>MPa</w:t>
      </w:r>
      <w:proofErr w:type="spellEnd"/>
      <w:r>
        <w:rPr>
          <w:rFonts w:ascii="Arial" w:hAnsi="Arial" w:cs="Arial"/>
          <w:color w:val="000000"/>
          <w:sz w:val="18"/>
          <w:szCs w:val="18"/>
          <w:lang w:val="x-none"/>
        </w:rPr>
        <w:t>, działającego na próbki betonowe.</w:t>
      </w:r>
    </w:p>
    <w:p w14:paraId="7C5C1237"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 xml:space="preserve">Stopień mrozoodporności </w:t>
      </w:r>
      <w:r>
        <w:rPr>
          <w:rFonts w:ascii="Arial" w:hAnsi="Arial" w:cs="Arial"/>
          <w:color w:val="000000"/>
          <w:sz w:val="18"/>
          <w:szCs w:val="18"/>
          <w:lang w:val="x-none"/>
        </w:rPr>
        <w:t>– symbol literowo-liczbowy (np. F150) klasyfikujący beton pod względem jego odporności na działania mrozu. Liczba po literze F oznacza wymaganą liczbę cykli zamrażania i odmrażania próbek betonowych.</w:t>
      </w:r>
    </w:p>
    <w:p w14:paraId="7333B287"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Klasa betonu</w:t>
      </w:r>
      <w:r>
        <w:rPr>
          <w:rFonts w:ascii="Arial" w:hAnsi="Arial" w:cs="Arial"/>
          <w:color w:val="000000"/>
          <w:sz w:val="18"/>
          <w:szCs w:val="18"/>
          <w:lang w:val="x-none"/>
        </w:rPr>
        <w:t xml:space="preserve"> – symbol literowo-liczbowy (np. C25/30) klasyfikujący beton pod względem jego wytrzymałości na ściskanie. Liczba po literze C oznacza wytrzymałość charakterystyczną  w </w:t>
      </w:r>
      <w:proofErr w:type="spellStart"/>
      <w:r>
        <w:rPr>
          <w:rFonts w:ascii="Arial" w:hAnsi="Arial" w:cs="Arial"/>
          <w:color w:val="000000"/>
          <w:sz w:val="18"/>
          <w:szCs w:val="18"/>
          <w:lang w:val="x-none"/>
        </w:rPr>
        <w:t>MPa</w:t>
      </w:r>
      <w:proofErr w:type="spellEnd"/>
      <w:r>
        <w:rPr>
          <w:rFonts w:ascii="Arial" w:hAnsi="Arial" w:cs="Arial"/>
          <w:color w:val="000000"/>
          <w:sz w:val="18"/>
          <w:szCs w:val="18"/>
          <w:lang w:val="x-none"/>
        </w:rPr>
        <w:t xml:space="preserve">; </w:t>
      </w:r>
    </w:p>
    <w:p w14:paraId="2154CA46" w14:textId="77777777" w:rsidR="000A3B2B" w:rsidRDefault="000A3B2B" w:rsidP="009E5295">
      <w:pPr>
        <w:autoSpaceDE w:val="0"/>
        <w:autoSpaceDN w:val="0"/>
        <w:adjustRightInd w:val="0"/>
        <w:spacing w:after="30" w:line="240" w:lineRule="auto"/>
        <w:ind w:left="510" w:hanging="510"/>
        <w:jc w:val="both"/>
        <w:rPr>
          <w:rFonts w:ascii="Arial" w:hAnsi="Arial" w:cs="Arial"/>
          <w:color w:val="000000"/>
          <w:sz w:val="18"/>
          <w:szCs w:val="18"/>
          <w:lang w:val="x-none"/>
        </w:rPr>
      </w:pPr>
      <w:r>
        <w:rPr>
          <w:rFonts w:ascii="Arial" w:hAnsi="Arial" w:cs="Arial"/>
          <w:color w:val="000000"/>
          <w:sz w:val="18"/>
          <w:szCs w:val="18"/>
          <w:lang w:val="x-none"/>
        </w:rPr>
        <w:t>25  –</w:t>
      </w:r>
      <w:r>
        <w:rPr>
          <w:rFonts w:ascii="Arial" w:hAnsi="Arial" w:cs="Arial"/>
          <w:color w:val="000000"/>
          <w:sz w:val="18"/>
          <w:szCs w:val="18"/>
          <w:lang w:val="x-none"/>
        </w:rPr>
        <w:tab/>
        <w:t xml:space="preserve">wytrzymałość charakterystyczna w </w:t>
      </w:r>
      <w:proofErr w:type="spellStart"/>
      <w:r>
        <w:rPr>
          <w:rFonts w:ascii="Arial" w:hAnsi="Arial" w:cs="Arial"/>
          <w:color w:val="000000"/>
          <w:sz w:val="18"/>
          <w:szCs w:val="18"/>
          <w:lang w:val="x-none"/>
        </w:rPr>
        <w:t>MPa</w:t>
      </w:r>
      <w:proofErr w:type="spellEnd"/>
      <w:r>
        <w:rPr>
          <w:rFonts w:ascii="Arial" w:hAnsi="Arial" w:cs="Arial"/>
          <w:color w:val="000000"/>
          <w:sz w:val="18"/>
          <w:szCs w:val="18"/>
          <w:lang w:val="x-none"/>
        </w:rPr>
        <w:t xml:space="preserve"> przy ściskaniu próbki walcowej o średnicy 15 cm i wysokości 30 cm,</w:t>
      </w:r>
    </w:p>
    <w:p w14:paraId="4CE0A231" w14:textId="77777777" w:rsidR="000A3B2B" w:rsidRDefault="000A3B2B" w:rsidP="009E5295">
      <w:pPr>
        <w:autoSpaceDE w:val="0"/>
        <w:autoSpaceDN w:val="0"/>
        <w:adjustRightInd w:val="0"/>
        <w:spacing w:after="30" w:line="240" w:lineRule="auto"/>
        <w:ind w:left="510" w:hanging="510"/>
        <w:jc w:val="both"/>
        <w:rPr>
          <w:rFonts w:ascii="Arial" w:hAnsi="Arial" w:cs="Arial"/>
          <w:color w:val="000000"/>
          <w:sz w:val="18"/>
          <w:szCs w:val="18"/>
          <w:lang w:val="x-none"/>
        </w:rPr>
      </w:pPr>
      <w:r>
        <w:rPr>
          <w:rFonts w:ascii="Arial" w:hAnsi="Arial" w:cs="Arial"/>
          <w:color w:val="000000"/>
          <w:sz w:val="18"/>
          <w:szCs w:val="18"/>
          <w:lang w:val="x-none"/>
        </w:rPr>
        <w:t>30  –</w:t>
      </w:r>
      <w:r>
        <w:rPr>
          <w:rFonts w:ascii="Arial" w:hAnsi="Arial" w:cs="Arial"/>
          <w:color w:val="000000"/>
          <w:sz w:val="18"/>
          <w:szCs w:val="18"/>
          <w:lang w:val="x-none"/>
        </w:rPr>
        <w:tab/>
        <w:t xml:space="preserve">wytrzymałość charakterystyczna w </w:t>
      </w:r>
      <w:proofErr w:type="spellStart"/>
      <w:r>
        <w:rPr>
          <w:rFonts w:ascii="Arial" w:hAnsi="Arial" w:cs="Arial"/>
          <w:color w:val="000000"/>
          <w:sz w:val="18"/>
          <w:szCs w:val="18"/>
          <w:lang w:val="x-none"/>
        </w:rPr>
        <w:t>MPa</w:t>
      </w:r>
      <w:proofErr w:type="spellEnd"/>
      <w:r>
        <w:rPr>
          <w:rFonts w:ascii="Arial" w:hAnsi="Arial" w:cs="Arial"/>
          <w:color w:val="000000"/>
          <w:sz w:val="18"/>
          <w:szCs w:val="18"/>
          <w:lang w:val="x-none"/>
        </w:rPr>
        <w:t xml:space="preserve"> przy ściskaniu próbki sześciennej o wymiarach boków 15x15x15 cm.</w:t>
      </w:r>
    </w:p>
    <w:p w14:paraId="60BB0592"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Wytrzymałość charakterystyczna betonu na ściskanie C</w:t>
      </w:r>
      <w:r>
        <w:rPr>
          <w:rFonts w:ascii="Arial" w:hAnsi="Arial" w:cs="Arial"/>
          <w:color w:val="000000"/>
          <w:sz w:val="18"/>
          <w:szCs w:val="18"/>
          <w:lang w:val="x-none"/>
        </w:rPr>
        <w:t xml:space="preserve"> – wytrzymałość (zapewniona z 95-proc. prawdopodobieństwem) uzyskania w wyniku badania na ściskanie kostek sześciennych o boku 150 mm, wykonanych, przechowywanych i badanych zgodnie z normą PN-EN 12390-3:2011.</w:t>
      </w:r>
    </w:p>
    <w:p w14:paraId="01D18EBB"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1.6.</w:t>
      </w:r>
      <w:r>
        <w:rPr>
          <w:rFonts w:ascii="Arial" w:hAnsi="Arial" w:cs="Arial"/>
          <w:b/>
          <w:bCs/>
          <w:color w:val="000000"/>
          <w:sz w:val="18"/>
          <w:szCs w:val="18"/>
          <w:lang w:val="x-none"/>
        </w:rPr>
        <w:tab/>
        <w:t>Ogólne wymagania dotyczące robót</w:t>
      </w:r>
    </w:p>
    <w:p w14:paraId="5F5D437F"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Wykonawca robót jest odpowiedzialny za jakość ich wykonania oraz za zgodność z dokumentacją projektową, specyfikacjami technicznymi i poleceniami Inspektora nadzoru. Ogólne wymagania dotyczące robót wykonywanych na tej budowie podano w ST „Wymagania ogólne” Kod CPV 45000000-7, pkt 1.5.</w:t>
      </w:r>
    </w:p>
    <w:p w14:paraId="17F33562"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p>
    <w:p w14:paraId="6853BDB3"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lastRenderedPageBreak/>
        <w:t>1.7.</w:t>
      </w:r>
      <w:r>
        <w:rPr>
          <w:rFonts w:ascii="Arial" w:hAnsi="Arial" w:cs="Arial"/>
          <w:b/>
          <w:bCs/>
          <w:color w:val="000000"/>
          <w:sz w:val="18"/>
          <w:szCs w:val="18"/>
          <w:lang w:val="x-none"/>
        </w:rPr>
        <w:tab/>
        <w:t>Dokumentacja wykonania konstrukcji betonowych i żelbetowych w obiektach kubaturowych</w:t>
      </w:r>
    </w:p>
    <w:p w14:paraId="6FA178B5" w14:textId="77777777" w:rsidR="000A3B2B" w:rsidRDefault="000A3B2B" w:rsidP="009B4648">
      <w:pPr>
        <w:tabs>
          <w:tab w:val="right" w:leader="dot" w:pos="7035"/>
        </w:tabs>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Roboty betonowe i żelbetowe należy wykonać na podstawie dokumentacji, której wykaz oraz podstawy prawne ich sporządzania podano w ST „Wymagania ogólne” Kod CPV 45000000-7, pkt 1.6. </w:t>
      </w:r>
    </w:p>
    <w:p w14:paraId="20A09B30"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p>
    <w:p w14:paraId="4C6E3569"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1.8.</w:t>
      </w:r>
      <w:r>
        <w:rPr>
          <w:rFonts w:ascii="Arial" w:hAnsi="Arial" w:cs="Arial"/>
          <w:b/>
          <w:bCs/>
          <w:color w:val="000000"/>
          <w:sz w:val="18"/>
          <w:szCs w:val="18"/>
          <w:lang w:val="x-none"/>
        </w:rPr>
        <w:tab/>
        <w:t>Nazwy i kody robót objętych zamówieniem:</w:t>
      </w:r>
    </w:p>
    <w:p w14:paraId="3B03E718" w14:textId="77777777" w:rsidR="000A3B2B" w:rsidRDefault="000A3B2B" w:rsidP="009E5295">
      <w:pPr>
        <w:autoSpaceDE w:val="0"/>
        <w:autoSpaceDN w:val="0"/>
        <w:adjustRightInd w:val="0"/>
        <w:spacing w:after="30" w:line="240" w:lineRule="auto"/>
        <w:jc w:val="both"/>
        <w:rPr>
          <w:rFonts w:ascii="Arial" w:hAnsi="Arial" w:cs="Arial"/>
          <w:b/>
          <w:bCs/>
          <w:color w:val="000000"/>
          <w:sz w:val="18"/>
          <w:szCs w:val="18"/>
          <w:lang w:val="x-none"/>
        </w:rPr>
      </w:pPr>
      <w:r>
        <w:rPr>
          <w:rFonts w:ascii="Arial" w:hAnsi="Arial" w:cs="Arial"/>
          <w:b/>
          <w:bCs/>
          <w:color w:val="000000"/>
          <w:sz w:val="18"/>
          <w:szCs w:val="18"/>
          <w:lang w:val="x-none"/>
        </w:rPr>
        <w:t>Grupy robót, klasy robót lub kategorie robót</w:t>
      </w:r>
    </w:p>
    <w:tbl>
      <w:tblPr>
        <w:tblW w:w="0" w:type="auto"/>
        <w:tblCellSpacing w:w="0" w:type="dxa"/>
        <w:tblInd w:w="-8" w:type="dxa"/>
        <w:tblLayout w:type="fixed"/>
        <w:tblCellMar>
          <w:left w:w="0" w:type="dxa"/>
          <w:right w:w="0" w:type="dxa"/>
        </w:tblCellMar>
        <w:tblLook w:val="0000" w:firstRow="0" w:lastRow="0" w:firstColumn="0" w:lastColumn="0" w:noHBand="0" w:noVBand="0"/>
      </w:tblPr>
      <w:tblGrid>
        <w:gridCol w:w="278"/>
        <w:gridCol w:w="180"/>
        <w:gridCol w:w="300"/>
        <w:gridCol w:w="180"/>
        <w:gridCol w:w="300"/>
        <w:gridCol w:w="180"/>
        <w:gridCol w:w="300"/>
        <w:gridCol w:w="180"/>
        <w:gridCol w:w="300"/>
        <w:gridCol w:w="180"/>
        <w:gridCol w:w="300"/>
        <w:gridCol w:w="180"/>
        <w:gridCol w:w="300"/>
        <w:gridCol w:w="180"/>
        <w:gridCol w:w="300"/>
        <w:gridCol w:w="390"/>
        <w:gridCol w:w="300"/>
        <w:gridCol w:w="180"/>
        <w:gridCol w:w="2820"/>
      </w:tblGrid>
      <w:tr w:rsidR="000A3B2B" w14:paraId="08869EC7" w14:textId="77777777">
        <w:trPr>
          <w:trHeight w:val="60"/>
          <w:tblCellSpacing w:w="0" w:type="dxa"/>
        </w:trPr>
        <w:tc>
          <w:tcPr>
            <w:tcW w:w="278" w:type="dxa"/>
            <w:tcBorders>
              <w:top w:val="single" w:sz="6" w:space="0" w:color="000000"/>
              <w:left w:val="single" w:sz="6" w:space="0" w:color="000000"/>
              <w:bottom w:val="single" w:sz="6" w:space="0" w:color="000000"/>
              <w:right w:val="single" w:sz="6" w:space="0" w:color="000000"/>
            </w:tcBorders>
          </w:tcPr>
          <w:p w14:paraId="1FC5576A" w14:textId="77777777" w:rsidR="000A3B2B" w:rsidRPr="009B4648" w:rsidRDefault="000A3B2B">
            <w:pPr>
              <w:autoSpaceDE w:val="0"/>
              <w:autoSpaceDN w:val="0"/>
              <w:adjustRightInd w:val="0"/>
              <w:spacing w:after="0" w:line="240" w:lineRule="auto"/>
              <w:rPr>
                <w:rFonts w:ascii="Arial" w:hAnsi="Arial" w:cs="Arial"/>
                <w:sz w:val="24"/>
                <w:szCs w:val="24"/>
              </w:rPr>
            </w:pPr>
            <w:r>
              <w:rPr>
                <w:rFonts w:ascii="Arial" w:hAnsi="Arial" w:cs="Arial"/>
                <w:sz w:val="24"/>
                <w:szCs w:val="24"/>
              </w:rPr>
              <w:t>4</w:t>
            </w:r>
          </w:p>
        </w:tc>
        <w:tc>
          <w:tcPr>
            <w:tcW w:w="180" w:type="dxa"/>
            <w:tcBorders>
              <w:top w:val="nil"/>
              <w:left w:val="single" w:sz="6" w:space="0" w:color="000000"/>
              <w:bottom w:val="nil"/>
              <w:right w:val="single" w:sz="6" w:space="0" w:color="000000"/>
            </w:tcBorders>
          </w:tcPr>
          <w:p w14:paraId="70B75339"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300" w:type="dxa"/>
            <w:tcBorders>
              <w:top w:val="single" w:sz="6" w:space="0" w:color="000000"/>
              <w:left w:val="single" w:sz="6" w:space="0" w:color="000000"/>
              <w:bottom w:val="single" w:sz="6" w:space="0" w:color="000000"/>
              <w:right w:val="single" w:sz="6" w:space="0" w:color="000000"/>
            </w:tcBorders>
          </w:tcPr>
          <w:p w14:paraId="4400AA1E" w14:textId="77777777" w:rsidR="000A3B2B" w:rsidRPr="009B4648" w:rsidRDefault="000A3B2B">
            <w:pPr>
              <w:autoSpaceDE w:val="0"/>
              <w:autoSpaceDN w:val="0"/>
              <w:adjustRightInd w:val="0"/>
              <w:spacing w:after="0" w:line="240" w:lineRule="auto"/>
              <w:rPr>
                <w:rFonts w:ascii="Arial" w:hAnsi="Arial" w:cs="Arial"/>
                <w:sz w:val="24"/>
                <w:szCs w:val="24"/>
              </w:rPr>
            </w:pPr>
            <w:r>
              <w:rPr>
                <w:rFonts w:ascii="Arial" w:hAnsi="Arial" w:cs="Arial"/>
                <w:sz w:val="24"/>
                <w:szCs w:val="24"/>
              </w:rPr>
              <w:t>5</w:t>
            </w:r>
          </w:p>
        </w:tc>
        <w:tc>
          <w:tcPr>
            <w:tcW w:w="180" w:type="dxa"/>
            <w:tcBorders>
              <w:top w:val="nil"/>
              <w:left w:val="single" w:sz="6" w:space="0" w:color="000000"/>
              <w:bottom w:val="nil"/>
              <w:right w:val="single" w:sz="6" w:space="0" w:color="000000"/>
            </w:tcBorders>
          </w:tcPr>
          <w:p w14:paraId="688B16D7"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300" w:type="dxa"/>
            <w:tcBorders>
              <w:top w:val="single" w:sz="6" w:space="0" w:color="000000"/>
              <w:left w:val="single" w:sz="6" w:space="0" w:color="000000"/>
              <w:bottom w:val="single" w:sz="6" w:space="0" w:color="000000"/>
              <w:right w:val="single" w:sz="6" w:space="0" w:color="000000"/>
            </w:tcBorders>
          </w:tcPr>
          <w:p w14:paraId="3AF81D0F" w14:textId="77777777" w:rsidR="000A3B2B" w:rsidRPr="009B4648" w:rsidRDefault="000A3B2B">
            <w:pPr>
              <w:autoSpaceDE w:val="0"/>
              <w:autoSpaceDN w:val="0"/>
              <w:adjustRightInd w:val="0"/>
              <w:spacing w:after="0" w:line="240" w:lineRule="auto"/>
              <w:rPr>
                <w:rFonts w:ascii="Arial" w:hAnsi="Arial" w:cs="Arial"/>
                <w:sz w:val="24"/>
                <w:szCs w:val="24"/>
              </w:rPr>
            </w:pPr>
            <w:r>
              <w:rPr>
                <w:rFonts w:ascii="Arial" w:hAnsi="Arial" w:cs="Arial"/>
                <w:sz w:val="24"/>
                <w:szCs w:val="24"/>
              </w:rPr>
              <w:t>2</w:t>
            </w:r>
          </w:p>
        </w:tc>
        <w:tc>
          <w:tcPr>
            <w:tcW w:w="180" w:type="dxa"/>
            <w:tcBorders>
              <w:top w:val="nil"/>
              <w:left w:val="single" w:sz="6" w:space="0" w:color="000000"/>
              <w:bottom w:val="nil"/>
              <w:right w:val="single" w:sz="6" w:space="0" w:color="000000"/>
            </w:tcBorders>
          </w:tcPr>
          <w:p w14:paraId="5B7F91F4"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300" w:type="dxa"/>
            <w:tcBorders>
              <w:top w:val="single" w:sz="6" w:space="0" w:color="000000"/>
              <w:left w:val="single" w:sz="6" w:space="0" w:color="000000"/>
              <w:bottom w:val="single" w:sz="6" w:space="0" w:color="000000"/>
              <w:right w:val="single" w:sz="6" w:space="0" w:color="000000"/>
            </w:tcBorders>
          </w:tcPr>
          <w:p w14:paraId="480F1EBF" w14:textId="77777777" w:rsidR="000A3B2B" w:rsidRPr="009B4648" w:rsidRDefault="000A3B2B">
            <w:pPr>
              <w:autoSpaceDE w:val="0"/>
              <w:autoSpaceDN w:val="0"/>
              <w:adjustRightInd w:val="0"/>
              <w:spacing w:after="0" w:line="240" w:lineRule="auto"/>
              <w:rPr>
                <w:rFonts w:ascii="Arial" w:hAnsi="Arial" w:cs="Arial"/>
                <w:sz w:val="24"/>
                <w:szCs w:val="24"/>
              </w:rPr>
            </w:pPr>
            <w:r>
              <w:rPr>
                <w:rFonts w:ascii="Arial" w:hAnsi="Arial" w:cs="Arial"/>
                <w:sz w:val="24"/>
                <w:szCs w:val="24"/>
              </w:rPr>
              <w:t>2</w:t>
            </w:r>
          </w:p>
        </w:tc>
        <w:tc>
          <w:tcPr>
            <w:tcW w:w="180" w:type="dxa"/>
            <w:tcBorders>
              <w:top w:val="nil"/>
              <w:left w:val="single" w:sz="6" w:space="0" w:color="000000"/>
              <w:bottom w:val="nil"/>
              <w:right w:val="single" w:sz="6" w:space="0" w:color="000000"/>
            </w:tcBorders>
          </w:tcPr>
          <w:p w14:paraId="071B6ED1"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300" w:type="dxa"/>
            <w:tcBorders>
              <w:top w:val="single" w:sz="6" w:space="0" w:color="000000"/>
              <w:left w:val="single" w:sz="6" w:space="0" w:color="000000"/>
              <w:bottom w:val="single" w:sz="6" w:space="0" w:color="000000"/>
              <w:right w:val="single" w:sz="6" w:space="0" w:color="000000"/>
            </w:tcBorders>
          </w:tcPr>
          <w:p w14:paraId="4276EAD8" w14:textId="77777777" w:rsidR="000A3B2B" w:rsidRPr="009B4648" w:rsidRDefault="000A3B2B">
            <w:pPr>
              <w:autoSpaceDE w:val="0"/>
              <w:autoSpaceDN w:val="0"/>
              <w:adjustRightInd w:val="0"/>
              <w:spacing w:after="0" w:line="240" w:lineRule="auto"/>
              <w:rPr>
                <w:rFonts w:ascii="Arial" w:hAnsi="Arial" w:cs="Arial"/>
                <w:sz w:val="24"/>
                <w:szCs w:val="24"/>
              </w:rPr>
            </w:pPr>
            <w:r>
              <w:rPr>
                <w:rFonts w:ascii="Arial" w:hAnsi="Arial" w:cs="Arial"/>
                <w:sz w:val="24"/>
                <w:szCs w:val="24"/>
              </w:rPr>
              <w:t>2</w:t>
            </w:r>
          </w:p>
        </w:tc>
        <w:tc>
          <w:tcPr>
            <w:tcW w:w="180" w:type="dxa"/>
            <w:tcBorders>
              <w:top w:val="nil"/>
              <w:left w:val="single" w:sz="6" w:space="0" w:color="000000"/>
              <w:bottom w:val="nil"/>
              <w:right w:val="single" w:sz="6" w:space="0" w:color="000000"/>
            </w:tcBorders>
          </w:tcPr>
          <w:p w14:paraId="671C2CAB"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300" w:type="dxa"/>
            <w:tcBorders>
              <w:top w:val="single" w:sz="6" w:space="0" w:color="000000"/>
              <w:left w:val="single" w:sz="6" w:space="0" w:color="000000"/>
              <w:bottom w:val="single" w:sz="6" w:space="0" w:color="000000"/>
              <w:right w:val="single" w:sz="6" w:space="0" w:color="000000"/>
            </w:tcBorders>
          </w:tcPr>
          <w:p w14:paraId="3EEA91E9" w14:textId="77777777" w:rsidR="000A3B2B" w:rsidRPr="009B4648" w:rsidRDefault="000A3B2B">
            <w:pPr>
              <w:autoSpaceDE w:val="0"/>
              <w:autoSpaceDN w:val="0"/>
              <w:adjustRightInd w:val="0"/>
              <w:spacing w:after="0" w:line="240" w:lineRule="auto"/>
              <w:rPr>
                <w:rFonts w:ascii="Arial" w:hAnsi="Arial" w:cs="Arial"/>
                <w:sz w:val="24"/>
                <w:szCs w:val="24"/>
              </w:rPr>
            </w:pPr>
            <w:r>
              <w:rPr>
                <w:rFonts w:ascii="Arial" w:hAnsi="Arial" w:cs="Arial"/>
                <w:sz w:val="24"/>
                <w:szCs w:val="24"/>
              </w:rPr>
              <w:t>3</w:t>
            </w:r>
          </w:p>
        </w:tc>
        <w:tc>
          <w:tcPr>
            <w:tcW w:w="180" w:type="dxa"/>
            <w:tcBorders>
              <w:top w:val="nil"/>
              <w:left w:val="single" w:sz="6" w:space="0" w:color="000000"/>
              <w:bottom w:val="nil"/>
              <w:right w:val="single" w:sz="6" w:space="0" w:color="000000"/>
            </w:tcBorders>
          </w:tcPr>
          <w:p w14:paraId="47EC5FCD"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300" w:type="dxa"/>
            <w:tcBorders>
              <w:top w:val="single" w:sz="6" w:space="0" w:color="000000"/>
              <w:left w:val="single" w:sz="6" w:space="0" w:color="000000"/>
              <w:bottom w:val="single" w:sz="6" w:space="0" w:color="000000"/>
              <w:right w:val="single" w:sz="6" w:space="0" w:color="000000"/>
            </w:tcBorders>
          </w:tcPr>
          <w:p w14:paraId="5224123D" w14:textId="77777777" w:rsidR="000A3B2B" w:rsidRPr="009B4648" w:rsidRDefault="000A3B2B">
            <w:pPr>
              <w:autoSpaceDE w:val="0"/>
              <w:autoSpaceDN w:val="0"/>
              <w:adjustRightInd w:val="0"/>
              <w:spacing w:after="0" w:line="240" w:lineRule="auto"/>
              <w:rPr>
                <w:rFonts w:ascii="Arial" w:hAnsi="Arial" w:cs="Arial"/>
                <w:sz w:val="24"/>
                <w:szCs w:val="24"/>
              </w:rPr>
            </w:pPr>
            <w:r>
              <w:rPr>
                <w:rFonts w:ascii="Arial" w:hAnsi="Arial" w:cs="Arial"/>
                <w:sz w:val="24"/>
                <w:szCs w:val="24"/>
              </w:rPr>
              <w:t>1</w:t>
            </w:r>
          </w:p>
        </w:tc>
        <w:tc>
          <w:tcPr>
            <w:tcW w:w="180" w:type="dxa"/>
            <w:tcBorders>
              <w:top w:val="nil"/>
              <w:left w:val="single" w:sz="6" w:space="0" w:color="000000"/>
              <w:bottom w:val="nil"/>
              <w:right w:val="single" w:sz="6" w:space="0" w:color="000000"/>
            </w:tcBorders>
          </w:tcPr>
          <w:p w14:paraId="4CDC9509"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300" w:type="dxa"/>
            <w:tcBorders>
              <w:top w:val="single" w:sz="6" w:space="0" w:color="000000"/>
              <w:left w:val="single" w:sz="6" w:space="0" w:color="000000"/>
              <w:bottom w:val="single" w:sz="6" w:space="0" w:color="000000"/>
              <w:right w:val="single" w:sz="6" w:space="0" w:color="000000"/>
            </w:tcBorders>
          </w:tcPr>
          <w:p w14:paraId="454E632B" w14:textId="77777777" w:rsidR="000A3B2B" w:rsidRPr="009B4648" w:rsidRDefault="000A3B2B">
            <w:pPr>
              <w:autoSpaceDE w:val="0"/>
              <w:autoSpaceDN w:val="0"/>
              <w:adjustRightInd w:val="0"/>
              <w:spacing w:after="0" w:line="240" w:lineRule="auto"/>
              <w:rPr>
                <w:rFonts w:ascii="Arial" w:hAnsi="Arial" w:cs="Arial"/>
                <w:sz w:val="24"/>
                <w:szCs w:val="24"/>
              </w:rPr>
            </w:pPr>
            <w:r>
              <w:rPr>
                <w:rFonts w:ascii="Arial" w:hAnsi="Arial" w:cs="Arial"/>
                <w:sz w:val="24"/>
                <w:szCs w:val="24"/>
              </w:rPr>
              <w:t>1</w:t>
            </w:r>
          </w:p>
        </w:tc>
        <w:tc>
          <w:tcPr>
            <w:tcW w:w="390" w:type="dxa"/>
            <w:tcBorders>
              <w:top w:val="nil"/>
              <w:left w:val="single" w:sz="6" w:space="0" w:color="000000"/>
              <w:bottom w:val="nil"/>
              <w:right w:val="single" w:sz="6" w:space="0" w:color="000000"/>
            </w:tcBorders>
            <w:vAlign w:val="center"/>
          </w:tcPr>
          <w:p w14:paraId="6B3F4DD9" w14:textId="77777777" w:rsidR="000A3B2B" w:rsidRDefault="000A3B2B">
            <w:pPr>
              <w:tabs>
                <w:tab w:val="right" w:pos="7035"/>
              </w:tabs>
              <w:autoSpaceDE w:val="0"/>
              <w:autoSpaceDN w:val="0"/>
              <w:adjustRightInd w:val="0"/>
              <w:spacing w:after="0" w:line="288" w:lineRule="auto"/>
              <w:jc w:val="center"/>
              <w:rPr>
                <w:rFonts w:ascii="Times New Roman" w:hAnsi="Times New Roman" w:cs="Times New Roman"/>
                <w:color w:val="000000"/>
                <w:sz w:val="24"/>
                <w:szCs w:val="24"/>
                <w:lang w:val="x-none"/>
              </w:rPr>
            </w:pPr>
            <w:r>
              <w:rPr>
                <w:rFonts w:ascii="Times New Roman" w:hAnsi="Times New Roman" w:cs="Times New Roman"/>
                <w:color w:val="000000"/>
                <w:sz w:val="24"/>
                <w:szCs w:val="24"/>
                <w:lang w:val="x-none"/>
              </w:rPr>
              <w:t>–</w:t>
            </w:r>
          </w:p>
        </w:tc>
        <w:tc>
          <w:tcPr>
            <w:tcW w:w="300" w:type="dxa"/>
            <w:tcBorders>
              <w:top w:val="single" w:sz="6" w:space="0" w:color="000000"/>
              <w:left w:val="single" w:sz="6" w:space="0" w:color="000000"/>
              <w:bottom w:val="single" w:sz="6" w:space="0" w:color="000000"/>
              <w:right w:val="single" w:sz="6" w:space="0" w:color="000000"/>
            </w:tcBorders>
          </w:tcPr>
          <w:p w14:paraId="769A66E1" w14:textId="77777777" w:rsidR="000A3B2B" w:rsidRPr="009B4648" w:rsidRDefault="000A3B2B">
            <w:pPr>
              <w:autoSpaceDE w:val="0"/>
              <w:autoSpaceDN w:val="0"/>
              <w:adjustRightInd w:val="0"/>
              <w:spacing w:after="0" w:line="240" w:lineRule="auto"/>
              <w:rPr>
                <w:rFonts w:ascii="Arial" w:hAnsi="Arial" w:cs="Arial"/>
                <w:sz w:val="24"/>
                <w:szCs w:val="24"/>
              </w:rPr>
            </w:pPr>
            <w:r>
              <w:rPr>
                <w:rFonts w:ascii="Arial" w:hAnsi="Arial" w:cs="Arial"/>
                <w:sz w:val="24"/>
                <w:szCs w:val="24"/>
              </w:rPr>
              <w:t>4</w:t>
            </w:r>
          </w:p>
        </w:tc>
        <w:tc>
          <w:tcPr>
            <w:tcW w:w="180" w:type="dxa"/>
            <w:tcBorders>
              <w:top w:val="nil"/>
              <w:left w:val="single" w:sz="6" w:space="0" w:color="000000"/>
              <w:bottom w:val="nil"/>
              <w:right w:val="nil"/>
            </w:tcBorders>
          </w:tcPr>
          <w:p w14:paraId="1C69B90E"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2820" w:type="dxa"/>
            <w:tcBorders>
              <w:top w:val="nil"/>
              <w:left w:val="nil"/>
              <w:bottom w:val="single" w:sz="6" w:space="0" w:color="auto"/>
              <w:right w:val="nil"/>
            </w:tcBorders>
          </w:tcPr>
          <w:p w14:paraId="1EED168B" w14:textId="77777777" w:rsidR="000A3B2B" w:rsidRPr="009B4648" w:rsidRDefault="000A3B2B">
            <w:pPr>
              <w:autoSpaceDE w:val="0"/>
              <w:autoSpaceDN w:val="0"/>
              <w:adjustRightInd w:val="0"/>
              <w:spacing w:after="0" w:line="240" w:lineRule="auto"/>
              <w:rPr>
                <w:rFonts w:ascii="Arial" w:hAnsi="Arial" w:cs="Arial"/>
                <w:sz w:val="24"/>
                <w:szCs w:val="24"/>
              </w:rPr>
            </w:pPr>
            <w:r>
              <w:rPr>
                <w:rFonts w:ascii="Arial" w:hAnsi="Arial" w:cs="Arial"/>
                <w:sz w:val="24"/>
                <w:szCs w:val="24"/>
              </w:rPr>
              <w:t>Betonowa konstrukcji</w:t>
            </w:r>
          </w:p>
        </w:tc>
      </w:tr>
    </w:tbl>
    <w:p w14:paraId="2F85E853"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p>
    <w:p w14:paraId="3F2E7C30" w14:textId="77777777" w:rsidR="000A3B2B" w:rsidRDefault="000A3B2B" w:rsidP="009E5295">
      <w:pPr>
        <w:autoSpaceDE w:val="0"/>
        <w:autoSpaceDN w:val="0"/>
        <w:adjustRightInd w:val="0"/>
        <w:spacing w:before="225" w:after="12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2.</w:t>
      </w:r>
      <w:r>
        <w:rPr>
          <w:rFonts w:ascii="Arial" w:hAnsi="Arial" w:cs="Arial"/>
          <w:b/>
          <w:bCs/>
          <w:color w:val="000000"/>
          <w:sz w:val="18"/>
          <w:szCs w:val="18"/>
          <w:lang w:val="x-none"/>
        </w:rPr>
        <w:tab/>
        <w:t>WYMAGANIA DOTYCZĄCE MATERIAŁÓW</w:t>
      </w:r>
    </w:p>
    <w:p w14:paraId="755F1494"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2.1.</w:t>
      </w:r>
      <w:r>
        <w:rPr>
          <w:rFonts w:ascii="Arial" w:hAnsi="Arial" w:cs="Arial"/>
          <w:b/>
          <w:bCs/>
          <w:color w:val="000000"/>
          <w:sz w:val="18"/>
          <w:szCs w:val="18"/>
          <w:lang w:val="x-none"/>
        </w:rPr>
        <w:tab/>
        <w:t>Ogólne wymagania dotyczące właściwości materiałów, ich pozyskiwania i składowania podano w ST „Wymagania ogólne” Kod CPV 45000000-7, pkt 2</w:t>
      </w:r>
    </w:p>
    <w:p w14:paraId="5BA5551F"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Wszystkie materiały do wykonania konstrukcji betonowych i żelbetowych powinny być wprowadzone do obrotu lub udostępnione na rynku krajowym zgodnie z właściwymi przepisami, a więc posiadać:</w:t>
      </w:r>
    </w:p>
    <w:p w14:paraId="70BF5AB4"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 xml:space="preserve">– </w:t>
      </w:r>
      <w:r>
        <w:rPr>
          <w:rFonts w:ascii="Arial" w:hAnsi="Arial" w:cs="Arial"/>
          <w:color w:val="000000"/>
          <w:sz w:val="18"/>
          <w:szCs w:val="18"/>
          <w:lang w:val="x-none"/>
        </w:rPr>
        <w:tab/>
        <w:t>oznakowanie znakiem CE co oznacza, że dokonano oceny ich zgodności ze zharmonizowaną normą europejską wprowadzoną do zbioru Polskich Norm lub z europejską oceną techniczną, albo</w:t>
      </w:r>
    </w:p>
    <w:p w14:paraId="7807A06D"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 xml:space="preserve">– </w:t>
      </w:r>
      <w:r>
        <w:rPr>
          <w:rFonts w:ascii="Arial" w:hAnsi="Arial" w:cs="Arial"/>
          <w:color w:val="000000"/>
          <w:sz w:val="18"/>
          <w:szCs w:val="18"/>
          <w:lang w:val="x-none"/>
        </w:rPr>
        <w:tab/>
        <w:t>oznakowanie znakiem budowlanym, co oznacza że są to wyroby nieobjęte normą  zharmonizowaną – dla której zakończył się okres koegzystencji – i dla których nie została wydana europejska ocena techniczna, a dokonano oceny zgodności z Polską Normą lub aprobatą techniczną (do końca okresu ważności tej aprobaty wydanej do 31 grudnia 2016 r., a później krajową oceną techniczną), bądź uznano za „regionalny wyrób budowlany”, albo</w:t>
      </w:r>
    </w:p>
    <w:p w14:paraId="57A26B4F"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 xml:space="preserve">– </w:t>
      </w:r>
      <w:r>
        <w:rPr>
          <w:rFonts w:ascii="Arial" w:hAnsi="Arial" w:cs="Arial"/>
          <w:color w:val="000000"/>
          <w:sz w:val="18"/>
          <w:szCs w:val="18"/>
          <w:lang w:val="x-none"/>
        </w:rPr>
        <w:tab/>
        <w:t>legalne wprowadzenie do obrotu w innym państwie członkowskim Unii Europejskiej lub w państwie członkowskim Europejskiego Porozumienia o Wolnym Handlu (EFTA) – stronie umowy o Europejskim Obszarze Gospodarczym oraz w Turcji, o ile wyroby budowlane udostępniane na rynku krajowym są nieobjęte zakresem przedmiotowym zharmonizowanych specyfikacji technicznych, o których mowa w art. 2 pkt 10 rozporządzenia Nr 305/2011, a ich właściwości użytkowe umożliwiają spełnienie podstawowych wymagań przez obiekty budowlane zaprojektowane i budowane w sposób określony w przepisach techniczno-budowlanych, oraz zgodnie z zasadami wiedzy technicznej (wraz z wyrobem budowlanym udostępnianym na rynku krajowym dostarcza się informacje o jego właściwościach użytkowych oznaczonych zgodnie z przepisami państwa, w którym wyrób budowlany został wprowadzony do obrotu, instrukcje stosowania, instrukcje obsługi oraz informacje dotyczące zagrożenia dla zdrowia i bezpieczeństwa, jakie ten wyrób stwarza podczas stosowania i użytkowania), albo</w:t>
      </w:r>
    </w:p>
    <w:p w14:paraId="0CFB9D54"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 xml:space="preserve">– </w:t>
      </w:r>
      <w:r>
        <w:rPr>
          <w:rFonts w:ascii="Arial" w:hAnsi="Arial" w:cs="Arial"/>
          <w:color w:val="000000"/>
          <w:sz w:val="18"/>
          <w:szCs w:val="18"/>
          <w:lang w:val="x-none"/>
        </w:rPr>
        <w:tab/>
        <w:t>dopuszczenie do jednostkowego zastosowania w obiekcie budowlanym.</w:t>
      </w:r>
    </w:p>
    <w:p w14:paraId="2BCF5B03"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Oznakowanie powinno umożliwiać identyfikację producenta i typu wyrobu, kraju pochodzenia oraz daty produkcji (okresu przydatności do użytkowania).</w:t>
      </w:r>
    </w:p>
    <w:p w14:paraId="4CE33E1B"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p>
    <w:p w14:paraId="44D27E9B"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2.2.</w:t>
      </w:r>
      <w:r>
        <w:rPr>
          <w:rFonts w:ascii="Arial" w:hAnsi="Arial" w:cs="Arial"/>
          <w:b/>
          <w:bCs/>
          <w:color w:val="000000"/>
          <w:sz w:val="18"/>
          <w:szCs w:val="18"/>
          <w:lang w:val="x-none"/>
        </w:rPr>
        <w:tab/>
        <w:t>Składniki mieszanki betonowej</w:t>
      </w:r>
    </w:p>
    <w:p w14:paraId="5A4FD041" w14:textId="77777777" w:rsidR="000A3B2B" w:rsidRDefault="000A3B2B" w:rsidP="009E529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2.2.1.</w:t>
      </w:r>
      <w:r>
        <w:rPr>
          <w:rFonts w:ascii="Arial" w:hAnsi="Arial" w:cs="Arial"/>
          <w:b/>
          <w:bCs/>
          <w:color w:val="000000"/>
          <w:sz w:val="18"/>
          <w:szCs w:val="18"/>
          <w:lang w:val="x-none"/>
        </w:rPr>
        <w:tab/>
        <w:t>Cement – wymagania i badania</w:t>
      </w:r>
    </w:p>
    <w:p w14:paraId="42F5468C"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Do wykonania betonów klasy C8/10 i wyższych powinien być stosowany cement portlandzki CEM I do CEM V klasy 32,5 ; 42,5 ; 52,5 spełniający wymagania PN-EN 197-1:2012. </w:t>
      </w:r>
    </w:p>
    <w:p w14:paraId="56A04924"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Te trzy klasy dzielą się w zależności od swej wytrzymałości wczesnej na cement o</w:t>
      </w:r>
      <w:r>
        <w:rPr>
          <w:rFonts w:ascii="Arial" w:hAnsi="Arial" w:cs="Arial"/>
          <w:b/>
          <w:bCs/>
          <w:color w:val="000000"/>
          <w:sz w:val="18"/>
          <w:szCs w:val="18"/>
          <w:lang w:val="x-none"/>
        </w:rPr>
        <w:t xml:space="preserve"> normalnej wytrzymałości wczesnej </w:t>
      </w:r>
      <w:r>
        <w:rPr>
          <w:rFonts w:ascii="Arial" w:hAnsi="Arial" w:cs="Arial"/>
          <w:color w:val="000000"/>
          <w:sz w:val="18"/>
          <w:szCs w:val="18"/>
          <w:lang w:val="x-none"/>
        </w:rPr>
        <w:t>(oznaczenie symbolem N):</w:t>
      </w:r>
    </w:p>
    <w:p w14:paraId="5E22D393" w14:textId="77777777" w:rsidR="000A3B2B" w:rsidRDefault="000A3B2B" w:rsidP="009E5295">
      <w:pPr>
        <w:autoSpaceDE w:val="0"/>
        <w:autoSpaceDN w:val="0"/>
        <w:adjustRightInd w:val="0"/>
        <w:spacing w:after="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32,5 N</w:t>
      </w:r>
    </w:p>
    <w:p w14:paraId="791BA503" w14:textId="77777777" w:rsidR="000A3B2B" w:rsidRDefault="000A3B2B" w:rsidP="009E5295">
      <w:pPr>
        <w:autoSpaceDE w:val="0"/>
        <w:autoSpaceDN w:val="0"/>
        <w:adjustRightInd w:val="0"/>
        <w:spacing w:after="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42,5 N</w:t>
      </w:r>
    </w:p>
    <w:p w14:paraId="34965289"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52,5 N</w:t>
      </w:r>
    </w:p>
    <w:p w14:paraId="05E921B9"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oraz na cement</w:t>
      </w:r>
      <w:r>
        <w:rPr>
          <w:rFonts w:ascii="Arial" w:hAnsi="Arial" w:cs="Arial"/>
          <w:b/>
          <w:bCs/>
          <w:color w:val="000000"/>
          <w:sz w:val="18"/>
          <w:szCs w:val="18"/>
          <w:lang w:val="x-none"/>
        </w:rPr>
        <w:t xml:space="preserve"> o wysokiej wytrzymałości wczesnej </w:t>
      </w:r>
      <w:r>
        <w:rPr>
          <w:rFonts w:ascii="Arial" w:hAnsi="Arial" w:cs="Arial"/>
          <w:color w:val="000000"/>
          <w:sz w:val="18"/>
          <w:szCs w:val="18"/>
          <w:lang w:val="x-none"/>
        </w:rPr>
        <w:t>(oznaczenie symbolem R)</w:t>
      </w:r>
    </w:p>
    <w:p w14:paraId="5BBF626A" w14:textId="77777777" w:rsidR="000A3B2B" w:rsidRDefault="000A3B2B" w:rsidP="009E5295">
      <w:pPr>
        <w:autoSpaceDE w:val="0"/>
        <w:autoSpaceDN w:val="0"/>
        <w:adjustRightInd w:val="0"/>
        <w:spacing w:after="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32,5R</w:t>
      </w:r>
    </w:p>
    <w:p w14:paraId="582F5CCA" w14:textId="77777777" w:rsidR="000A3B2B" w:rsidRDefault="000A3B2B" w:rsidP="009E5295">
      <w:pPr>
        <w:autoSpaceDE w:val="0"/>
        <w:autoSpaceDN w:val="0"/>
        <w:adjustRightInd w:val="0"/>
        <w:spacing w:after="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42,5R</w:t>
      </w:r>
    </w:p>
    <w:p w14:paraId="2C079AE2"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52,5R</w:t>
      </w:r>
    </w:p>
    <w:p w14:paraId="3ACDA05A"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Stosowane cementy powinny charakteryzować się następującym składem:</w:t>
      </w:r>
    </w:p>
    <w:p w14:paraId="7D8D64C6"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zawartość krzemianu trójwapniowego alitu (C</w:t>
      </w:r>
      <w:r>
        <w:rPr>
          <w:rFonts w:ascii="Arial" w:hAnsi="Arial" w:cs="Arial"/>
          <w:color w:val="000000"/>
          <w:position w:val="-2"/>
          <w:sz w:val="8"/>
          <w:szCs w:val="8"/>
          <w:lang w:val="x-none"/>
        </w:rPr>
        <w:t>3</w:t>
      </w:r>
      <w:r>
        <w:rPr>
          <w:rFonts w:ascii="Arial" w:hAnsi="Arial" w:cs="Arial"/>
          <w:color w:val="000000"/>
          <w:sz w:val="18"/>
          <w:szCs w:val="18"/>
          <w:lang w:val="x-none"/>
        </w:rPr>
        <w:t>S) do 60%,</w:t>
      </w:r>
    </w:p>
    <w:p w14:paraId="345FF618"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zawartość alkaliów do 0,6%,</w:t>
      </w:r>
    </w:p>
    <w:p w14:paraId="6070BB6D"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zawartość alkaliów pod warunkiem zastosowania kruszywa niereaktywnego do 0,9%,</w:t>
      </w:r>
    </w:p>
    <w:p w14:paraId="5FD33417"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zawartość C</w:t>
      </w:r>
      <w:r>
        <w:rPr>
          <w:rFonts w:ascii="Arial" w:hAnsi="Arial" w:cs="Arial"/>
          <w:color w:val="000000"/>
          <w:position w:val="-2"/>
          <w:sz w:val="8"/>
          <w:szCs w:val="8"/>
          <w:lang w:val="x-none"/>
        </w:rPr>
        <w:t>4</w:t>
      </w:r>
      <w:r>
        <w:rPr>
          <w:rFonts w:ascii="Arial" w:hAnsi="Arial" w:cs="Arial"/>
          <w:color w:val="000000"/>
          <w:sz w:val="18"/>
          <w:szCs w:val="18"/>
          <w:lang w:val="x-none"/>
        </w:rPr>
        <w:t>AF + 2 x C</w:t>
      </w:r>
      <w:r>
        <w:rPr>
          <w:rFonts w:ascii="Arial" w:hAnsi="Arial" w:cs="Arial"/>
          <w:color w:val="000000"/>
          <w:position w:val="-2"/>
          <w:sz w:val="8"/>
          <w:szCs w:val="8"/>
          <w:lang w:val="x-none"/>
        </w:rPr>
        <w:t>3</w:t>
      </w:r>
      <w:r>
        <w:rPr>
          <w:rFonts w:ascii="Arial" w:hAnsi="Arial" w:cs="Arial"/>
          <w:color w:val="000000"/>
          <w:sz w:val="18"/>
          <w:szCs w:val="18"/>
          <w:lang w:val="x-none"/>
        </w:rPr>
        <w:t>A ≤ 20%,</w:t>
      </w:r>
    </w:p>
    <w:p w14:paraId="44823AFC"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zawartość glinianu trójwapniowego C</w:t>
      </w:r>
      <w:r>
        <w:rPr>
          <w:rFonts w:ascii="Arial" w:hAnsi="Arial" w:cs="Arial"/>
          <w:color w:val="000000"/>
          <w:position w:val="-2"/>
          <w:sz w:val="8"/>
          <w:szCs w:val="8"/>
          <w:lang w:val="x-none"/>
        </w:rPr>
        <w:t>3</w:t>
      </w:r>
      <w:r>
        <w:rPr>
          <w:rFonts w:ascii="Arial" w:hAnsi="Arial" w:cs="Arial"/>
          <w:color w:val="000000"/>
          <w:sz w:val="18"/>
          <w:szCs w:val="18"/>
          <w:lang w:val="x-none"/>
        </w:rPr>
        <w:t>A ≤ 7%.</w:t>
      </w:r>
    </w:p>
    <w:p w14:paraId="531DAD36"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Cement pochodzący z każdej dostawy musi spełniać wymagania zawarte w PN-EN 197-1:2012. Przed użyciem cementu do wykonania mieszanki betonowej należy przeprowadzić kontrolę obejmującą:</w:t>
      </w:r>
    </w:p>
    <w:p w14:paraId="348ADE63"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oznaczenie wytrzymałości wg PN-EN 196-1:2016-07</w:t>
      </w:r>
    </w:p>
    <w:p w14:paraId="4E8259C6"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lastRenderedPageBreak/>
        <w:t>–</w:t>
      </w:r>
      <w:r>
        <w:rPr>
          <w:rFonts w:ascii="Arial" w:hAnsi="Arial" w:cs="Arial"/>
          <w:color w:val="000000"/>
          <w:sz w:val="18"/>
          <w:szCs w:val="18"/>
          <w:lang w:val="x-none"/>
        </w:rPr>
        <w:tab/>
        <w:t>oznaczenie czasu wiązania wg PN-EN 196-3, 196-3:2016-12</w:t>
      </w:r>
    </w:p>
    <w:p w14:paraId="79BAEAA6"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oznaczenie zmiany objętości wg PN-EN 196-3, 196-3:2016-12</w:t>
      </w:r>
    </w:p>
    <w:p w14:paraId="12C8EDD3"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sprawdzenie zawartości grudek cementu nie dających się rozgnieść w palcach i nie rozpadających się w wodzie.</w:t>
      </w:r>
    </w:p>
    <w:p w14:paraId="41587385"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Wyniki badań powinny spełniać następujące wymagania:</w:t>
      </w:r>
    </w:p>
    <w:p w14:paraId="7954942C"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początek wiązania najwcześniej po upływie 60 minut,</w:t>
      </w:r>
    </w:p>
    <w:p w14:paraId="3CC55A8A"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koniec wiązania najpóźniej po upływie 10 godz.,</w:t>
      </w:r>
    </w:p>
    <w:p w14:paraId="7A2F3207"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oznaczenie zmiany objętości: nie więcej niż 8 mm.</w:t>
      </w:r>
    </w:p>
    <w:p w14:paraId="7F9F24D5"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Nie dopuszcza się występowania w cemencie portlandzkim normalnie i szybko twardniejącym, większej niż 20% ciężaru cementu ilości grudek niedających się rozgnieść w palcach i nierozpadających się w wodzie. Grudki należy usunąć poprzez przesianie przez sito o boku oczka kwadratowego 2 mm. W przypadku, gdy wymienione badania wykażą niezgodność z normami, cement nie może być użyty do wykonania betonu.</w:t>
      </w:r>
    </w:p>
    <w:p w14:paraId="17550DF8"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Magazynowanie:</w:t>
      </w:r>
    </w:p>
    <w:p w14:paraId="3505B00C"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cement pakowany (workowany) – składy otwarte (wydzielone miejsca zadaszone na otwartym terenie, zabezpieczone z boków przed opadami) lub magazyny zamknięte (budynki lub pomieszczenia o szczelnym dachu i ścianach);</w:t>
      </w:r>
    </w:p>
    <w:p w14:paraId="363F84BE"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cement luzem – magazyny specjalne (zbiorniki stalowe lub żelbetowe przystosowane do pneumatycznego załadunku i wyładunku cementu luzem, zaopatrzone w urządzenia do przeprowadzania kontroli objętości cementu znajdującego się w zbiorniku lub otwory do przeprowadzania kontroli objętości cementu, włazy do czyszczenia oraz klamry na wewnętrznych ścianach).</w:t>
      </w:r>
    </w:p>
    <w:p w14:paraId="3DD43255"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Podłoża składów otwartych powinny być twarde i suche, odpowiednio pochylone, zabezpieczające cement przed ściekami wody deszczowej i zanieczyszczeń. Podłogi magazynów zamkniętych powinny być suche i czyste, zabezpieczające cement przed zawilgoceniem i zanieczyszczeniem.</w:t>
      </w:r>
    </w:p>
    <w:p w14:paraId="109BC165"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Dopuszczalny okres przechowywania cementu zależny jest od miejsca przechowywania. Cement nie może być użyty do betonu po okresie:</w:t>
      </w:r>
    </w:p>
    <w:p w14:paraId="4257035A"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10 dni, w przypadku przechowywania go w zadaszonych składach otwartych,</w:t>
      </w:r>
    </w:p>
    <w:p w14:paraId="1F286E5C"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po upływie terminu trwałości podanego przez wytwórnię, w przypadku przechowywania w składach zamkniętych.</w:t>
      </w:r>
    </w:p>
    <w:p w14:paraId="6D1E9104"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48AE3F3D"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2.2.2.</w:t>
      </w:r>
      <w:r>
        <w:rPr>
          <w:rFonts w:ascii="Arial" w:hAnsi="Arial" w:cs="Arial"/>
          <w:b/>
          <w:bCs/>
          <w:color w:val="000000"/>
          <w:sz w:val="18"/>
          <w:szCs w:val="18"/>
          <w:lang w:val="x-none"/>
        </w:rPr>
        <w:tab/>
        <w:t>Kruszywo</w:t>
      </w:r>
    </w:p>
    <w:p w14:paraId="5FBCD981"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Kruszywo do betonu powinno charakteryzować się stałością cech fizycznych i jednorodnością uziarnienia pozwalającą na wykonanie partii betonu o stałej jakości.</w:t>
      </w:r>
    </w:p>
    <w:p w14:paraId="6AF11B9A"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Poszczególne rodzaje i frakcje kruszywa muszą być na placu oddzielnie składowane, na umocnionym i czystym podłożu w sposób uniemożliwiający mieszanie się.</w:t>
      </w:r>
    </w:p>
    <w:p w14:paraId="3EBCD8CF"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Kruszywa grube powinny spełniać wymagania norm PN-EN 932 oraz PN-EN 933. W kruszywie grubym nie dopuszcza się grudek gliny. W kruszywie grubszym zawartość podziarna nie powinna przekraczać 5%, a nadziarna 10%. Ziarna kruszywa nie powinny być większe niż:</w:t>
      </w:r>
    </w:p>
    <w:p w14:paraId="6DD64C65"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⅓ najmniejszego wymiaru przekroju poprzecznego elementu betonowego,</w:t>
      </w:r>
    </w:p>
    <w:p w14:paraId="513DBEAB"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¾ odległości w świetle między prętami zbrojenia, leżącymi w jednej płaszczyźnie prostopadłej do kierunku betonowania.</w:t>
      </w:r>
    </w:p>
    <w:p w14:paraId="48C88940"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 xml:space="preserve">Do betonów klas C25/30 i wyższych należy stosować </w:t>
      </w:r>
      <w:r>
        <w:rPr>
          <w:rFonts w:ascii="Arial" w:hAnsi="Arial" w:cs="Arial"/>
          <w:b/>
          <w:bCs/>
          <w:color w:val="000000"/>
          <w:sz w:val="18"/>
          <w:szCs w:val="18"/>
          <w:lang w:val="x-none"/>
        </w:rPr>
        <w:t xml:space="preserve">wyłącznie grysy granitowe lub bazaltowe </w:t>
      </w:r>
      <w:r>
        <w:rPr>
          <w:rFonts w:ascii="Arial" w:hAnsi="Arial" w:cs="Arial"/>
          <w:color w:val="000000"/>
          <w:sz w:val="18"/>
          <w:szCs w:val="18"/>
          <w:lang w:val="x-none"/>
        </w:rPr>
        <w:t>marki 50, o maksymalnym wymiarze ziarna 16 mm.</w:t>
      </w:r>
    </w:p>
    <w:p w14:paraId="50464200"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Stosowanie grysów z innych skał dopuszcza się pod warunkiem, że zostały one zbadane w placówce badawczej wskazanej przez zamawiającego, a wyniki badań spełniają wymagania dotyczące grysów granitowych i bazaltowych.</w:t>
      </w:r>
    </w:p>
    <w:p w14:paraId="325EED77"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Grysy powinny odpowiadać następującym wymaganiom:</w:t>
      </w:r>
    </w:p>
    <w:p w14:paraId="7EC8C48B"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zawartość pyłów mineralnych – do 1%,</w:t>
      </w:r>
    </w:p>
    <w:p w14:paraId="77291249"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zawartość ziaren nieforemnych (to jest wydłużonych płaskich) – do 20%,</w:t>
      </w:r>
    </w:p>
    <w:p w14:paraId="7DAF7C38"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wskaźnik rozkruszenia:</w:t>
      </w:r>
    </w:p>
    <w:p w14:paraId="503D5A5E" w14:textId="77777777" w:rsidR="000A3B2B" w:rsidRDefault="000A3B2B" w:rsidP="009E5295">
      <w:pPr>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t>•  dla grysów granitowych – do 16%,</w:t>
      </w:r>
    </w:p>
    <w:p w14:paraId="5CC0A2E3" w14:textId="77777777" w:rsidR="000A3B2B" w:rsidRDefault="000A3B2B" w:rsidP="009E5295">
      <w:pPr>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t>•  dla grysów bazaltowych i innych – do 8%,</w:t>
      </w:r>
    </w:p>
    <w:p w14:paraId="6535B707"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nasiąkliwość – do 1,2%,</w:t>
      </w:r>
    </w:p>
    <w:p w14:paraId="58BB7C35"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mrozoodporność według metody bezpośredniej – do 2%,</w:t>
      </w:r>
    </w:p>
    <w:p w14:paraId="2B98CFFA"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mrozoodporność wg zmodyfikowanej metody bezpośredniej do 10%,</w:t>
      </w:r>
    </w:p>
    <w:p w14:paraId="206F71AE"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reaktywność alkaliczna z cementem określona wg normy PN-EN 480-12:2006(u) – 480-12:2008 nie powinna wywoływać zwiększenia wymiarów liniowych ponad 0,1%,</w:t>
      </w:r>
    </w:p>
    <w:p w14:paraId="6E68DB1A"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zawartość związków siarki – do 0,1%,</w:t>
      </w:r>
    </w:p>
    <w:p w14:paraId="47AA6BCE"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zawartość zanieczyszczeń obcych – do 0,25%,</w:t>
      </w:r>
    </w:p>
    <w:p w14:paraId="6FF6A54F"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zawartość zanieczyszczeń organicznych, nie dających barwy ciemniejszej od wzorcowej.</w:t>
      </w:r>
    </w:p>
    <w:p w14:paraId="6430C1FB"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lastRenderedPageBreak/>
        <w:t>Kruszywem drobnym powinny być piaski o uziarnieniu do 2 mm pochodzenia rzecznego lub kompozycja piasku rzecznego i kopalnianego uszlachetnionego.</w:t>
      </w:r>
    </w:p>
    <w:p w14:paraId="3D8EA4CF"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Zawartość poszczególnych frakcji w stosie okruchowym piasku powinna się mieścić w granicach:</w:t>
      </w:r>
    </w:p>
    <w:p w14:paraId="24555EE2"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do 0,25 mm – 14÷19%,</w:t>
      </w:r>
    </w:p>
    <w:p w14:paraId="7A25DB17"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do 0,50 mm – 33÷48%,</w:t>
      </w:r>
    </w:p>
    <w:p w14:paraId="1952FD24"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do 1,00 mm – 53÷76%.</w:t>
      </w:r>
    </w:p>
    <w:p w14:paraId="1FC60441"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Piasek powinien spełniać następujące wymagania:</w:t>
      </w:r>
    </w:p>
    <w:p w14:paraId="0A9DF19B"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zawartość pyłów mineralnych – do 1,5%,</w:t>
      </w:r>
    </w:p>
    <w:p w14:paraId="684A7F6E"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reaktywność alkaliczna z cementem określona wg normy PN-EN 480-12:2006(u) – 480-12:2008 nie powinna wywoływać zwiększenia wymiarów liniowych ponad 0,1%,</w:t>
      </w:r>
    </w:p>
    <w:p w14:paraId="0D077AAD"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zawartość związków siarki – do 0,2%,</w:t>
      </w:r>
    </w:p>
    <w:p w14:paraId="72F9FEE9"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zawartość zanieczyszczeń obcych – do 0,25%,</w:t>
      </w:r>
    </w:p>
    <w:p w14:paraId="7BB51618"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zawartość zanieczyszczeń organicznych – nie dająca barwy ciemniejszej od wzorcowej,</w:t>
      </w:r>
    </w:p>
    <w:p w14:paraId="6D1D94D2"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 kruszywie drobnym nie dopuszcza się grudek gliny.</w:t>
      </w:r>
    </w:p>
    <w:p w14:paraId="22E3311B"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Piasek pochodzący z każdej dostawy musi być poddany badaniom obejmującym:</w:t>
      </w:r>
    </w:p>
    <w:p w14:paraId="00DF932F"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oznaczenie składu ziarnowego wg normy PN-EN 933-1:2012 lub PN-EN 933-2:1999,</w:t>
      </w:r>
    </w:p>
    <w:p w14:paraId="1C1E124C"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oznaczenie zawartości zanieczyszczeń obcych wg normy PN-EN 933-7:2000,</w:t>
      </w:r>
    </w:p>
    <w:p w14:paraId="48B0A522"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oznaczenie zawartości grudek gliny, które oznacza się podobnie, jak zawartość zanieczyszczeń obcych,</w:t>
      </w:r>
    </w:p>
    <w:p w14:paraId="3BBBDF2F"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oznaczenie zawartości pyłów mineralnych wg normy PN-EN 933-8+A1:2015-07, PN-EN 933-9+A1:2013-07 lub PN-EN 933-10:2009.</w:t>
      </w:r>
    </w:p>
    <w:p w14:paraId="316DD75B" w14:textId="77777777" w:rsidR="000A3B2B" w:rsidRDefault="000A3B2B" w:rsidP="009E5295">
      <w:pPr>
        <w:autoSpaceDE w:val="0"/>
        <w:autoSpaceDN w:val="0"/>
        <w:adjustRightInd w:val="0"/>
        <w:spacing w:after="30" w:line="240" w:lineRule="auto"/>
        <w:ind w:firstLine="285"/>
        <w:jc w:val="both"/>
        <w:rPr>
          <w:rFonts w:ascii="Arial" w:hAnsi="Arial" w:cs="Arial"/>
          <w:b/>
          <w:bCs/>
          <w:color w:val="000000"/>
          <w:sz w:val="18"/>
          <w:szCs w:val="18"/>
          <w:lang w:val="x-none"/>
        </w:rPr>
      </w:pPr>
      <w:r>
        <w:rPr>
          <w:rFonts w:ascii="Arial" w:hAnsi="Arial" w:cs="Arial"/>
          <w:b/>
          <w:bCs/>
          <w:color w:val="000000"/>
          <w:sz w:val="18"/>
          <w:szCs w:val="18"/>
          <w:lang w:val="x-none"/>
        </w:rPr>
        <w:t>Dostawca kruszywa jest zobowiązany do przekazania dla każdej partii kruszywa wyników jego pełnych badań wg normy PN-EN 932 i PN-EN 933 oraz wyników badania specjalnego dotyczące reaktywności alkalicznej w terminach przewidzianych przez Inspektora nadzoru.</w:t>
      </w:r>
    </w:p>
    <w:p w14:paraId="5DEB8A42" w14:textId="77777777" w:rsidR="000A3B2B" w:rsidRDefault="000A3B2B" w:rsidP="009E5295">
      <w:pPr>
        <w:autoSpaceDE w:val="0"/>
        <w:autoSpaceDN w:val="0"/>
        <w:adjustRightInd w:val="0"/>
        <w:spacing w:after="30" w:line="240" w:lineRule="auto"/>
        <w:ind w:firstLine="285"/>
        <w:jc w:val="both"/>
        <w:rPr>
          <w:rFonts w:ascii="Arial" w:hAnsi="Arial" w:cs="Arial"/>
          <w:b/>
          <w:bCs/>
          <w:color w:val="000000"/>
          <w:sz w:val="18"/>
          <w:szCs w:val="18"/>
          <w:lang w:val="x-none"/>
        </w:rPr>
      </w:pPr>
      <w:r>
        <w:rPr>
          <w:rFonts w:ascii="Arial" w:hAnsi="Arial" w:cs="Arial"/>
          <w:b/>
          <w:bCs/>
          <w:color w:val="000000"/>
          <w:sz w:val="18"/>
          <w:szCs w:val="18"/>
          <w:lang w:val="x-none"/>
        </w:rPr>
        <w:t>W przypadku, gdy kontrola wykaże niezgodność cech danego kruszywa z wymaganiami normy PN-EN 932 i PN-EN 933, użycie takiego kruszywa może nastąpić po jego uszlachetnieniu (np. przez płukanie lub dodanie odpowiednich frakcji kruszywa) i ponownym sprawdzeniu. Należy prowadzić bieżącą kontrolę wilgotności kruszywa wg normy PN-EN 1097-6:2013-11 dla korygowania receptury roboczej betonu.</w:t>
      </w:r>
    </w:p>
    <w:p w14:paraId="3023FBC4" w14:textId="77777777" w:rsidR="000A3B2B" w:rsidRDefault="000A3B2B" w:rsidP="009E529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2.2.3.</w:t>
      </w:r>
      <w:r>
        <w:rPr>
          <w:rFonts w:ascii="Arial" w:hAnsi="Arial" w:cs="Arial"/>
          <w:b/>
          <w:bCs/>
          <w:color w:val="000000"/>
          <w:sz w:val="18"/>
          <w:szCs w:val="18"/>
          <w:lang w:val="x-none"/>
        </w:rPr>
        <w:tab/>
        <w:t>Woda</w:t>
      </w:r>
    </w:p>
    <w:p w14:paraId="6F7E565B"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Do przygotowania mieszanki betonowej i skrapiania podłoża stosować można wodę odpowiadającą wymaganiom normy PN-EN 1008-1:2004 „Woda zarobowa do betonu. Specyfikacja pobierania próbek, badanie i ocena przydatności wody zarobowej do betonu, w tym wody odzyskanej z procesów produkcji betonu”. Bez badań laboratoryjnych można stosować wodociągową wodę pitną.</w:t>
      </w:r>
    </w:p>
    <w:p w14:paraId="5CC3DE30"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Niedozwolone jest użycie wód ściekowych, kanalizacyjnych, bagiennych oraz wód zawierających tłuszcze organiczne, oleje i muł.</w:t>
      </w:r>
    </w:p>
    <w:p w14:paraId="612FBE76" w14:textId="77777777" w:rsidR="000A3B2B" w:rsidRDefault="000A3B2B" w:rsidP="009E529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2.2.4.</w:t>
      </w:r>
      <w:r>
        <w:rPr>
          <w:rFonts w:ascii="Arial" w:hAnsi="Arial" w:cs="Arial"/>
          <w:b/>
          <w:bCs/>
          <w:color w:val="000000"/>
          <w:sz w:val="18"/>
          <w:szCs w:val="18"/>
          <w:lang w:val="x-none"/>
        </w:rPr>
        <w:tab/>
        <w:t>Domieszki i dodatki do betonu</w:t>
      </w:r>
    </w:p>
    <w:p w14:paraId="7FAAABB3"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Zaleca się stosowanie do mieszanek betonowych domieszek chemicznych o działaniu:</w:t>
      </w:r>
    </w:p>
    <w:p w14:paraId="5189F560"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napowietrzającym,</w:t>
      </w:r>
    </w:p>
    <w:p w14:paraId="34974DC0"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uplastyczniającym,</w:t>
      </w:r>
    </w:p>
    <w:p w14:paraId="2B8E8B7A"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przyśpieszającym lub opóźniającym wiązanie.</w:t>
      </w:r>
    </w:p>
    <w:p w14:paraId="1689A12A"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Dopuszcza się stosowanie domieszek kompleksowych:</w:t>
      </w:r>
    </w:p>
    <w:p w14:paraId="38F87391"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napowietrzająco-uplastyczniających,</w:t>
      </w:r>
    </w:p>
    <w:p w14:paraId="2E765B11"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przyśpieszająco-uplastyczniających.</w:t>
      </w:r>
    </w:p>
    <w:p w14:paraId="0D906968"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Domieszki do betonów muszą mieć aprobaty, wydane przez Instytut Techniki Budowlanej lub Instytut Dróg i Mostów do 31 grudnia 2016 r., a po zakończeniu okresu ich ważności krajowe oceny techniczne oraz posiadać deklaracje właściwości użytkowych.</w:t>
      </w:r>
    </w:p>
    <w:p w14:paraId="7828602B" w14:textId="77777777" w:rsidR="000A3B2B" w:rsidRDefault="000A3B2B" w:rsidP="009E529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2.2.5.</w:t>
      </w:r>
      <w:r>
        <w:rPr>
          <w:rFonts w:ascii="Arial" w:hAnsi="Arial" w:cs="Arial"/>
          <w:b/>
          <w:bCs/>
          <w:color w:val="000000"/>
          <w:sz w:val="18"/>
          <w:szCs w:val="18"/>
          <w:lang w:val="x-none"/>
        </w:rPr>
        <w:tab/>
        <w:t>Materiały pomocnicze i montażowe</w:t>
      </w:r>
    </w:p>
    <w:p w14:paraId="3FFE43F6"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Zaleca się do stosowania przed betonowaniem:</w:t>
      </w:r>
    </w:p>
    <w:p w14:paraId="18821567"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środki antyadhezyjne,</w:t>
      </w:r>
    </w:p>
    <w:p w14:paraId="517BCC82"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złącza do łączenia deskowania.</w:t>
      </w:r>
    </w:p>
    <w:p w14:paraId="15618AFE"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5A1DFE19"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2.3.</w:t>
      </w:r>
      <w:r>
        <w:rPr>
          <w:rFonts w:ascii="Arial" w:hAnsi="Arial" w:cs="Arial"/>
          <w:b/>
          <w:bCs/>
          <w:color w:val="000000"/>
          <w:sz w:val="18"/>
          <w:szCs w:val="18"/>
          <w:lang w:val="x-none"/>
        </w:rPr>
        <w:tab/>
        <w:t>Beton</w:t>
      </w:r>
    </w:p>
    <w:p w14:paraId="4BA9FE64"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Beton do konstrukcji obiektów kubaturowych musi spełniać wymagania nasiąkliwości, mrozoodporności, wodoszczelności oraz mieć właściwy wskaźnik wody do cementu (w/c) zgodnie z wymogami  dotyczącymi betonu i metod weryfikacji zawartych w PN-EN 206+A1:2016-12.</w:t>
      </w:r>
    </w:p>
    <w:p w14:paraId="53911F17"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 xml:space="preserve">Skład mieszanki betonowej powinien być ustalony zgodnie z normą PN-EN 206+A1:2016-12 tak, aby przy najmniejszej ilości wody zapewnić szczelne ułożenie mieszanki w wyniku zagęszczania przez wibrowanie. Skład </w:t>
      </w:r>
      <w:r>
        <w:rPr>
          <w:rFonts w:ascii="Arial" w:hAnsi="Arial" w:cs="Arial"/>
          <w:color w:val="000000"/>
          <w:sz w:val="18"/>
          <w:szCs w:val="18"/>
          <w:lang w:val="x-none"/>
        </w:rPr>
        <w:lastRenderedPageBreak/>
        <w:t>mieszanki betonowej ustala laboratorium Wykonawcy lub wytwórni betonów i wymaga on zatwierdzenia przez Inspektora nadzoru.</w:t>
      </w:r>
    </w:p>
    <w:p w14:paraId="01628A41"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Stosunek poszczególnych frakcji kruszywa grubego ustalany doświadczalnie powinien odpowiadać najmniejszej jamistości.</w:t>
      </w:r>
    </w:p>
    <w:p w14:paraId="3C5E8B5F"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Zawartość piasku w stosie okruchowym powinna być jak najmniejsza i jednocześnie zapewniać niezbędną urabialność przy zagęszczeniu przez wibrowanie oraz nie powinna być większa niż 42% przy kruszywie grubym do 16 mm.</w:t>
      </w:r>
    </w:p>
    <w:p w14:paraId="1215985A"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Optymalną zawartość piasku w mieszance betonowej ustala się następująco:</w:t>
      </w:r>
    </w:p>
    <w:p w14:paraId="618275A8"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z ustalonym składem kruszywa grubego wykonuje się kilka (3÷5) mieszanek betonowych o ustalonym teoretycznie stosunku w/c i o wymaganej konsystencji zawierających różną, ale nie większą od dopuszczalnej, ilość piasku,</w:t>
      </w:r>
    </w:p>
    <w:p w14:paraId="64E89A60"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za optymalną ilość piasku przyjmuje się taką, przy której mieszanka betonowa zagęszczona przez wibrowanie charakteryzuje się największą masą objętościową.</w:t>
      </w:r>
    </w:p>
    <w:p w14:paraId="4A7747BD"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Wartość parametru A do wzoru </w:t>
      </w:r>
      <w:proofErr w:type="spellStart"/>
      <w:r>
        <w:rPr>
          <w:rFonts w:ascii="Arial" w:hAnsi="Arial" w:cs="Arial"/>
          <w:color w:val="000000"/>
          <w:sz w:val="18"/>
          <w:szCs w:val="18"/>
          <w:lang w:val="x-none"/>
        </w:rPr>
        <w:t>Bolomey’a</w:t>
      </w:r>
      <w:proofErr w:type="spellEnd"/>
      <w:r>
        <w:rPr>
          <w:rFonts w:ascii="Arial" w:hAnsi="Arial" w:cs="Arial"/>
          <w:color w:val="000000"/>
          <w:sz w:val="18"/>
          <w:szCs w:val="18"/>
          <w:lang w:val="x-none"/>
        </w:rPr>
        <w:t xml:space="preserve"> stosowanego do wyznaczenia wskaźnika w/c charakteryzującego mieszankę betonową należy określić doświadczalnie. Współczynnik ten wyznacza się na podstawie uzyskanych wytrzymałości betonu z mieszanek o różnych wartościach w/c (mniejszych i większych od wartości przewidywanej teoretycznie) wykonanych ze stosowanych materiałów. Dla teoretycznego ustalenia wartości wskaźnika w/c w mieszance można skorzystać z wartości parametru A podawanego w literaturze fachowej.</w:t>
      </w:r>
    </w:p>
    <w:p w14:paraId="5D0808F5"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Minimalne ilości cementu w zależności od klasy betonu są następujące:</w:t>
      </w:r>
    </w:p>
    <w:p w14:paraId="184C7D0B"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260 kg/m</w:t>
      </w:r>
      <w:r>
        <w:rPr>
          <w:rFonts w:ascii="Arial" w:hAnsi="Arial" w:cs="Arial"/>
          <w:color w:val="000000"/>
          <w:position w:val="4"/>
          <w:sz w:val="8"/>
          <w:szCs w:val="8"/>
          <w:lang w:val="x-none"/>
        </w:rPr>
        <w:t>3</w:t>
      </w:r>
      <w:r>
        <w:rPr>
          <w:rFonts w:ascii="Arial" w:hAnsi="Arial" w:cs="Arial"/>
          <w:color w:val="000000"/>
          <w:sz w:val="18"/>
          <w:szCs w:val="18"/>
          <w:lang w:val="x-none"/>
        </w:rPr>
        <w:t xml:space="preserve">   dla betonu klas C20/25</w:t>
      </w:r>
    </w:p>
    <w:p w14:paraId="4965C0E6"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280 do 300 kg/m</w:t>
      </w:r>
      <w:r>
        <w:rPr>
          <w:rFonts w:ascii="Arial" w:hAnsi="Arial" w:cs="Arial"/>
          <w:color w:val="000000"/>
          <w:position w:val="4"/>
          <w:sz w:val="8"/>
          <w:szCs w:val="8"/>
          <w:lang w:val="x-none"/>
        </w:rPr>
        <w:t>3</w:t>
      </w:r>
      <w:r>
        <w:rPr>
          <w:rFonts w:ascii="Arial" w:hAnsi="Arial" w:cs="Arial"/>
          <w:color w:val="000000"/>
          <w:sz w:val="18"/>
          <w:szCs w:val="18"/>
          <w:lang w:val="x-none"/>
        </w:rPr>
        <w:t xml:space="preserve">   dla betonu klas C25/30</w:t>
      </w:r>
    </w:p>
    <w:p w14:paraId="5FA61058"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280 do 340 kg/m</w:t>
      </w:r>
      <w:r>
        <w:rPr>
          <w:rFonts w:ascii="Arial" w:hAnsi="Arial" w:cs="Arial"/>
          <w:color w:val="000000"/>
          <w:position w:val="4"/>
          <w:sz w:val="8"/>
          <w:szCs w:val="8"/>
          <w:lang w:val="x-none"/>
        </w:rPr>
        <w:t>3</w:t>
      </w:r>
      <w:r>
        <w:rPr>
          <w:rFonts w:ascii="Arial" w:hAnsi="Arial" w:cs="Arial"/>
          <w:color w:val="000000"/>
          <w:sz w:val="18"/>
          <w:szCs w:val="18"/>
          <w:lang w:val="x-none"/>
        </w:rPr>
        <w:t xml:space="preserve">   dla betonu klas C30/37</w:t>
      </w:r>
    </w:p>
    <w:p w14:paraId="00CDE32E"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320 do 360 kg/m</w:t>
      </w:r>
      <w:r>
        <w:rPr>
          <w:rFonts w:ascii="Arial" w:hAnsi="Arial" w:cs="Arial"/>
          <w:color w:val="000000"/>
          <w:position w:val="4"/>
          <w:sz w:val="8"/>
          <w:szCs w:val="8"/>
          <w:lang w:val="x-none"/>
        </w:rPr>
        <w:t>3</w:t>
      </w:r>
      <w:r>
        <w:rPr>
          <w:rFonts w:ascii="Arial" w:hAnsi="Arial" w:cs="Arial"/>
          <w:color w:val="000000"/>
          <w:sz w:val="18"/>
          <w:szCs w:val="18"/>
          <w:lang w:val="x-none"/>
        </w:rPr>
        <w:t xml:space="preserve">   dla betonu klas C35/45</w:t>
      </w:r>
    </w:p>
    <w:p w14:paraId="7590FBB4"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 xml:space="preserve">Przy projektowaniu składu mieszanki betonowej zagęszczanej przez wibrowanie i dojrzewającej w warunkach naturalnych (średnia temperatura dobowa nie niższa niż 10°C), średnią wymaganą wytrzymałość na ściskanie należy określić jako równą 1,3 C (gdzie C – wytrzymałość charakterystyczna w </w:t>
      </w:r>
      <w:proofErr w:type="spellStart"/>
      <w:r>
        <w:rPr>
          <w:rFonts w:ascii="Arial" w:hAnsi="Arial" w:cs="Arial"/>
          <w:color w:val="000000"/>
          <w:sz w:val="18"/>
          <w:szCs w:val="18"/>
          <w:lang w:val="x-none"/>
        </w:rPr>
        <w:t>MPa</w:t>
      </w:r>
      <w:proofErr w:type="spellEnd"/>
      <w:r>
        <w:rPr>
          <w:rFonts w:ascii="Arial" w:hAnsi="Arial" w:cs="Arial"/>
          <w:color w:val="000000"/>
          <w:sz w:val="18"/>
          <w:szCs w:val="18"/>
          <w:lang w:val="x-none"/>
        </w:rPr>
        <w:t>).</w:t>
      </w:r>
    </w:p>
    <w:p w14:paraId="561517BC"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p>
    <w:p w14:paraId="023C6988"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2.4.</w:t>
      </w:r>
      <w:r>
        <w:rPr>
          <w:rFonts w:ascii="Arial" w:hAnsi="Arial" w:cs="Arial"/>
          <w:b/>
          <w:bCs/>
          <w:color w:val="000000"/>
          <w:sz w:val="18"/>
          <w:szCs w:val="18"/>
          <w:lang w:val="x-none"/>
        </w:rPr>
        <w:tab/>
        <w:t>Warunki przyjęcia na budowę materiałów i wyrobów do robót betonowych</w:t>
      </w:r>
    </w:p>
    <w:p w14:paraId="62A93EE7"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Materiały i wyroby do robót betonowych mogą być przyjęte na budowę, jeśli spełniają następujące warunki:</w:t>
      </w:r>
    </w:p>
    <w:p w14:paraId="11DEFC1D"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są zgodne z ich wyszczególnieniem i charakterystyką podaną w dokumentacji projektowej i specyfikacji technicznej (szczegółowej),</w:t>
      </w:r>
    </w:p>
    <w:p w14:paraId="327AA6FF"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są właściwie opakowane, firmowo zamknięte (bez oznak naruszenia zamknięć) i oznakowane (pełna nazwa wyrobu, ewentualnie nazwa handlowa oraz symbol handlowy wyrobu),</w:t>
      </w:r>
    </w:p>
    <w:p w14:paraId="266562E6"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spełniają wymagane właściwości wskazane odpowiednimi dokumentami odniesienia,</w:t>
      </w:r>
    </w:p>
    <w:p w14:paraId="1A8FD85D"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producent dostarczył dokumenty świadczące o dopuszczeniu do obrotu lub udostępnieniu na rynku krajowym bądź do jednostkowego zastosowania oraz karty techniczne (katalogowe) wyrobów lub firmowe wytyczne (zalecenia) ich stosowania,</w:t>
      </w:r>
    </w:p>
    <w:p w14:paraId="1B6C3437"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spełniają wymagania wynikające z ich terminu przydatności do użycia.</w:t>
      </w:r>
    </w:p>
    <w:p w14:paraId="211BDFF3" w14:textId="77777777" w:rsidR="000A3B2B" w:rsidRDefault="000A3B2B" w:rsidP="009E5295">
      <w:pPr>
        <w:autoSpaceDE w:val="0"/>
        <w:autoSpaceDN w:val="0"/>
        <w:adjustRightInd w:val="0"/>
        <w:spacing w:after="30" w:line="240" w:lineRule="auto"/>
        <w:ind w:firstLine="285"/>
        <w:jc w:val="both"/>
        <w:rPr>
          <w:rFonts w:ascii="Arial" w:hAnsi="Arial" w:cs="Arial"/>
          <w:b/>
          <w:bCs/>
          <w:color w:val="000000"/>
          <w:sz w:val="18"/>
          <w:szCs w:val="18"/>
          <w:lang w:val="x-none"/>
        </w:rPr>
      </w:pPr>
      <w:r>
        <w:rPr>
          <w:rFonts w:ascii="Arial" w:hAnsi="Arial" w:cs="Arial"/>
          <w:b/>
          <w:bCs/>
          <w:color w:val="000000"/>
          <w:sz w:val="18"/>
          <w:szCs w:val="18"/>
          <w:lang w:val="x-none"/>
        </w:rPr>
        <w:t>Przyjęcie materiałów i wyrobów na budowę powinno być potwierdzone wpisem do dziennika budowy lub protokołem przyjęcia materiałów.</w:t>
      </w:r>
    </w:p>
    <w:p w14:paraId="456B2912"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p>
    <w:p w14:paraId="3B136F6E"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2.5.</w:t>
      </w:r>
      <w:r>
        <w:rPr>
          <w:rFonts w:ascii="Arial" w:hAnsi="Arial" w:cs="Arial"/>
          <w:b/>
          <w:bCs/>
          <w:color w:val="000000"/>
          <w:sz w:val="18"/>
          <w:szCs w:val="18"/>
          <w:lang w:val="x-none"/>
        </w:rPr>
        <w:tab/>
        <w:t>Warunki przechowywania materiałów i wyrobów do robót betonowych</w:t>
      </w:r>
    </w:p>
    <w:p w14:paraId="73A6AB45"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Materiały i wyroby do robót betonowych powinny być przechowywane i magazynowane zgodnie z instrukcją producenta oraz wymaganiami odpowiednich dokumentów odniesienia tj. norm, europejskich ocen technicznych bądź aprobat technicznych – wydanych do 31 grudnia 2016 r., a po zakończeniu okresu ich ważności krajowych ocen technicznych.</w:t>
      </w:r>
    </w:p>
    <w:p w14:paraId="5C056DE0"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Pomieszczenie magazynowe do przechowywania materiałów i wyrobów opakowanych powinno być kryte, suche oraz zabezpieczone przed zawilgoceniem, opadami atmosferycznymi, przemarznięciem i przed działaniem promieni słonecznych.</w:t>
      </w:r>
    </w:p>
    <w:p w14:paraId="5755154C"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Wyroby konfekcjonowane powinny być przechowywane w oryginalnych, zamkniętych opakowaniach w temperaturze powyżej +5°C a poniżej +35°C. Wyroby pakowane w worki powinny być układane na paletach lub drewnianej wentylowanej podłodze, w ilości warstw nie większej niż 10.</w:t>
      </w:r>
    </w:p>
    <w:p w14:paraId="761EE62A"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Jeżeli nie ma możliwości poboru wody na miejscu wykonywania robót, to wodę należy przechowywać w szczelnych i czystych pojemnikach lub cysternach. Nie wolno przechowywać wody w opakowaniach po środkach chemicznych lub w takich, w których wcześniej przetrzymywano materiały mogące zmienić skład chemiczny wody.</w:t>
      </w:r>
    </w:p>
    <w:p w14:paraId="1A70C622"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p>
    <w:p w14:paraId="736DB6FA" w14:textId="77777777" w:rsidR="000A3B2B" w:rsidRDefault="000A3B2B" w:rsidP="009E5295">
      <w:pPr>
        <w:autoSpaceDE w:val="0"/>
        <w:autoSpaceDN w:val="0"/>
        <w:adjustRightInd w:val="0"/>
        <w:spacing w:before="225" w:after="12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3.</w:t>
      </w:r>
      <w:r>
        <w:rPr>
          <w:rFonts w:ascii="Arial" w:hAnsi="Arial" w:cs="Arial"/>
          <w:b/>
          <w:bCs/>
          <w:color w:val="000000"/>
          <w:sz w:val="18"/>
          <w:szCs w:val="18"/>
          <w:lang w:val="x-none"/>
        </w:rPr>
        <w:tab/>
        <w:t>WYMAGANIA DOTYCZĄCE SPRZĘTU, MASZYN I NARZĘDZI</w:t>
      </w:r>
    </w:p>
    <w:p w14:paraId="5311909A"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3.1.</w:t>
      </w:r>
      <w:r>
        <w:rPr>
          <w:rFonts w:ascii="Arial" w:hAnsi="Arial" w:cs="Arial"/>
          <w:b/>
          <w:bCs/>
          <w:color w:val="000000"/>
          <w:sz w:val="18"/>
          <w:szCs w:val="18"/>
          <w:lang w:val="x-none"/>
        </w:rPr>
        <w:tab/>
        <w:t>Ogólne wymagania dotyczące sprzętu podano w ST „Wymagania ogólne”, Kod CPV 45000000-7, pkt 3</w:t>
      </w:r>
    </w:p>
    <w:p w14:paraId="63E5407B"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p>
    <w:p w14:paraId="6CE79509"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3.2.</w:t>
      </w:r>
      <w:r>
        <w:rPr>
          <w:rFonts w:ascii="Arial" w:hAnsi="Arial" w:cs="Arial"/>
          <w:b/>
          <w:bCs/>
          <w:color w:val="000000"/>
          <w:sz w:val="18"/>
          <w:szCs w:val="18"/>
          <w:lang w:val="x-none"/>
        </w:rPr>
        <w:tab/>
        <w:t>Sprzęt do wykonywania robót betonowych</w:t>
      </w:r>
    </w:p>
    <w:p w14:paraId="0B4D58C2" w14:textId="77777777" w:rsidR="000A3B2B" w:rsidRDefault="000A3B2B" w:rsidP="009E5295">
      <w:pPr>
        <w:autoSpaceDE w:val="0"/>
        <w:autoSpaceDN w:val="0"/>
        <w:adjustRightInd w:val="0"/>
        <w:spacing w:after="30" w:line="240" w:lineRule="auto"/>
        <w:jc w:val="both"/>
        <w:rPr>
          <w:rFonts w:ascii="Arial" w:hAnsi="Arial" w:cs="Arial"/>
          <w:i/>
          <w:iCs/>
          <w:color w:val="000000"/>
          <w:sz w:val="18"/>
          <w:szCs w:val="18"/>
          <w:lang w:val="x-none"/>
        </w:rPr>
      </w:pPr>
    </w:p>
    <w:p w14:paraId="3152BFE7"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Wykonawca jest zobowiązany do używania takiego sprzętu i narzędzi, które nie spowodują niekorzystnego wpływu na jakość materiałów i wykonywanych robót oraz będą przyjazne dla środowiska.</w:t>
      </w:r>
    </w:p>
    <w:p w14:paraId="4E98C7F3"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Do wykonywania robót betonowych należy stosować następujący sprzęt i narzędzia pomocnicze:</w:t>
      </w:r>
    </w:p>
    <w:p w14:paraId="563B969C"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3.2.1.</w:t>
      </w:r>
      <w:r>
        <w:rPr>
          <w:rFonts w:ascii="Arial" w:hAnsi="Arial" w:cs="Arial"/>
          <w:b/>
          <w:bCs/>
          <w:color w:val="000000"/>
          <w:sz w:val="18"/>
          <w:szCs w:val="18"/>
          <w:lang w:val="x-none"/>
        </w:rPr>
        <w:tab/>
        <w:t>Dozowanie składników</w:t>
      </w:r>
    </w:p>
    <w:p w14:paraId="470DB6A3"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Dozatory muszą mieć aktualne świadectwo legalizacji. Składniki muszą być dozowane wagowo.</w:t>
      </w:r>
    </w:p>
    <w:p w14:paraId="74246E7E"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3.2.2.</w:t>
      </w:r>
      <w:r>
        <w:rPr>
          <w:rFonts w:ascii="Arial" w:hAnsi="Arial" w:cs="Arial"/>
          <w:b/>
          <w:bCs/>
          <w:color w:val="000000"/>
          <w:sz w:val="18"/>
          <w:szCs w:val="18"/>
          <w:lang w:val="x-none"/>
        </w:rPr>
        <w:tab/>
        <w:t>Mieszanie składników</w:t>
      </w:r>
    </w:p>
    <w:p w14:paraId="34AFCB77"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Mieszanie składników musi odbywać się wyłącznie w betoniarkach o wymuszonym działaniu (zabrania się stosować mieszarek </w:t>
      </w:r>
      <w:proofErr w:type="spellStart"/>
      <w:r>
        <w:rPr>
          <w:rFonts w:ascii="Arial" w:hAnsi="Arial" w:cs="Arial"/>
          <w:color w:val="000000"/>
          <w:sz w:val="18"/>
          <w:szCs w:val="18"/>
          <w:lang w:val="x-none"/>
        </w:rPr>
        <w:t>wolnospadowych</w:t>
      </w:r>
      <w:proofErr w:type="spellEnd"/>
      <w:r>
        <w:rPr>
          <w:rFonts w:ascii="Arial" w:hAnsi="Arial" w:cs="Arial"/>
          <w:color w:val="000000"/>
          <w:sz w:val="18"/>
          <w:szCs w:val="18"/>
          <w:lang w:val="x-none"/>
        </w:rPr>
        <w:t>).</w:t>
      </w:r>
    </w:p>
    <w:p w14:paraId="571D5917"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3.2.3.</w:t>
      </w:r>
      <w:r>
        <w:rPr>
          <w:rFonts w:ascii="Arial" w:hAnsi="Arial" w:cs="Arial"/>
          <w:b/>
          <w:bCs/>
          <w:color w:val="000000"/>
          <w:sz w:val="18"/>
          <w:szCs w:val="18"/>
          <w:lang w:val="x-none"/>
        </w:rPr>
        <w:tab/>
        <w:t>Transport mieszanki betonowej</w:t>
      </w:r>
    </w:p>
    <w:p w14:paraId="1BEF9E6D"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Do transportu zewnętrznego mieszanek betonowych należy stosować mieszalniki samochodowe (tzw. „gruszki”). Ilość „gruszek” należy dobrać tak, aby zapewnić wymaganą szybkość betonowania z uwzględnieniem odległości dowozu, czasu twardnienia betonu oraz koniecznej rezerwy w przypadku awarii samochodu. Niedozwolone jest stosowanie samochodów skrzyniowych ani wywrotek.</w:t>
      </w:r>
    </w:p>
    <w:p w14:paraId="529D719F"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3.2.4.</w:t>
      </w:r>
      <w:r>
        <w:rPr>
          <w:rFonts w:ascii="Arial" w:hAnsi="Arial" w:cs="Arial"/>
          <w:b/>
          <w:bCs/>
          <w:color w:val="000000"/>
          <w:sz w:val="18"/>
          <w:szCs w:val="18"/>
          <w:lang w:val="x-none"/>
        </w:rPr>
        <w:tab/>
        <w:t>Podawanie mieszanki</w:t>
      </w:r>
    </w:p>
    <w:p w14:paraId="7D1CB92C"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Do podawania mieszanek należy stosować pojemniki lub pompy do podawania mieszanek plastycznych. Dopuszcza się także przenośniki taśmowe jednosekcyjne do podawania mieszanki na odległość nie większą niż 10 m.</w:t>
      </w:r>
    </w:p>
    <w:p w14:paraId="51F8DA13"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3.2.5.</w:t>
      </w:r>
      <w:r>
        <w:rPr>
          <w:rFonts w:ascii="Arial" w:hAnsi="Arial" w:cs="Arial"/>
          <w:b/>
          <w:bCs/>
          <w:color w:val="000000"/>
          <w:sz w:val="18"/>
          <w:szCs w:val="18"/>
          <w:lang w:val="x-none"/>
        </w:rPr>
        <w:tab/>
        <w:t>Zagęszczanie</w:t>
      </w:r>
    </w:p>
    <w:p w14:paraId="52D2E5F0"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Do zagęszczania mieszanki betonowej stosować wibratory wgłębne o częstotliwości min. 6000 drgań/min. z buławami o średnicy nie większej od 0,65 odległości między prętami zbrojenia krzyżującymi się w płaszczyźnie poziomej.</w:t>
      </w:r>
    </w:p>
    <w:p w14:paraId="7FCC1C9F"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Belki i łaty wibracyjne stosowane do wyrównywania powierzchni betonu powinny charakteryzować się jednakowymi drganiami na całej długości.</w:t>
      </w:r>
    </w:p>
    <w:p w14:paraId="54730A4E"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p>
    <w:p w14:paraId="5C5F26A1" w14:textId="77777777" w:rsidR="000A3B2B" w:rsidRDefault="000A3B2B" w:rsidP="009E5295">
      <w:pPr>
        <w:autoSpaceDE w:val="0"/>
        <w:autoSpaceDN w:val="0"/>
        <w:adjustRightInd w:val="0"/>
        <w:spacing w:before="225" w:after="12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4.</w:t>
      </w:r>
      <w:r>
        <w:rPr>
          <w:rFonts w:ascii="Arial" w:hAnsi="Arial" w:cs="Arial"/>
          <w:b/>
          <w:bCs/>
          <w:color w:val="000000"/>
          <w:sz w:val="18"/>
          <w:szCs w:val="18"/>
          <w:lang w:val="x-none"/>
        </w:rPr>
        <w:tab/>
        <w:t>WYMAGANIA DOTYCZĄCE TRANSPORTU</w:t>
      </w:r>
    </w:p>
    <w:p w14:paraId="4959D597" w14:textId="77777777" w:rsidR="000A3B2B" w:rsidRDefault="000A3B2B" w:rsidP="009E5295">
      <w:pPr>
        <w:autoSpaceDE w:val="0"/>
        <w:autoSpaceDN w:val="0"/>
        <w:adjustRightInd w:val="0"/>
        <w:spacing w:after="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4.1.</w:t>
      </w:r>
      <w:r>
        <w:rPr>
          <w:rFonts w:ascii="Arial" w:hAnsi="Arial" w:cs="Arial"/>
          <w:b/>
          <w:bCs/>
          <w:color w:val="000000"/>
          <w:sz w:val="18"/>
          <w:szCs w:val="18"/>
          <w:lang w:val="x-none"/>
        </w:rPr>
        <w:tab/>
        <w:t>Ogólne wymagania dotyczące transportu podano w ST „Wymagania ogólne” Kod CPV 45000000-7, pkt 4</w:t>
      </w:r>
    </w:p>
    <w:p w14:paraId="1663D94D" w14:textId="77777777" w:rsidR="000A3B2B" w:rsidRDefault="000A3B2B" w:rsidP="009E5295">
      <w:pPr>
        <w:autoSpaceDE w:val="0"/>
        <w:autoSpaceDN w:val="0"/>
        <w:adjustRightInd w:val="0"/>
        <w:spacing w:after="0" w:line="240" w:lineRule="auto"/>
        <w:ind w:left="390" w:hanging="390"/>
        <w:jc w:val="both"/>
        <w:rPr>
          <w:rFonts w:ascii="Arial" w:hAnsi="Arial" w:cs="Arial"/>
          <w:b/>
          <w:bCs/>
          <w:color w:val="000000"/>
          <w:sz w:val="18"/>
          <w:szCs w:val="18"/>
          <w:lang w:val="x-none"/>
        </w:rPr>
      </w:pPr>
    </w:p>
    <w:p w14:paraId="0F94117A"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4.2.</w:t>
      </w:r>
      <w:r>
        <w:rPr>
          <w:rFonts w:ascii="Arial" w:hAnsi="Arial" w:cs="Arial"/>
          <w:b/>
          <w:bCs/>
          <w:color w:val="000000"/>
          <w:sz w:val="18"/>
          <w:szCs w:val="18"/>
          <w:lang w:val="x-none"/>
        </w:rPr>
        <w:tab/>
        <w:t>Transport cementu i przechowywanie cementu – wg PN-EN 197-1:2012</w:t>
      </w:r>
    </w:p>
    <w:p w14:paraId="3E6F3921"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Cement wysyłany w opakowaniu powinien być pakowany w worki papierowe WK co najmniej trzywarstwowe wg PN-EN 197-1:2002.</w:t>
      </w:r>
    </w:p>
    <w:p w14:paraId="4BEF8F96"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Masa worka z cementem powinna wynosić 50±2 kg. Kolory rozpoznawcze worków oraz napisy na workach powinny być zgodne z PN-EN 197-1:2012</w:t>
      </w:r>
    </w:p>
    <w:p w14:paraId="40645D36"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Dla cementu luzem należy stosować cementowagony i cementosamochody wyposażone we wsypy umożliwiające grawitacyjne napełnianie zbiorników i urządzenie do ładowania i wyładowania cementu. Cement wysyłany luzem powinien mieć identyfikator zawierający dane zgodnie z PN-EN 197-1:2012</w:t>
      </w:r>
    </w:p>
    <w:p w14:paraId="6558B3C9"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Do każdej partii dostarczanego cementu powinien być dołączony dokument dostawy zawierający dane oraz sygnaturę odbiorczą kontroli jakości wg PN-B-197-1:2012</w:t>
      </w:r>
    </w:p>
    <w:p w14:paraId="16F617B0"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p>
    <w:p w14:paraId="79F78377"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4.3.</w:t>
      </w:r>
      <w:r>
        <w:rPr>
          <w:rFonts w:ascii="Arial" w:hAnsi="Arial" w:cs="Arial"/>
          <w:b/>
          <w:bCs/>
          <w:color w:val="000000"/>
          <w:sz w:val="18"/>
          <w:szCs w:val="18"/>
          <w:lang w:val="x-none"/>
        </w:rPr>
        <w:tab/>
        <w:t>Magazynowanie kruszywa</w:t>
      </w:r>
    </w:p>
    <w:p w14:paraId="277B65D7"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Kruszywo należy przechowywać na dobrze zagęszczonym i odwodnionym podłożu w warunkach zabezpieczających je przed </w:t>
      </w:r>
      <w:proofErr w:type="spellStart"/>
      <w:r>
        <w:rPr>
          <w:rFonts w:ascii="Arial" w:hAnsi="Arial" w:cs="Arial"/>
          <w:color w:val="000000"/>
          <w:sz w:val="18"/>
          <w:szCs w:val="18"/>
          <w:lang w:val="x-none"/>
        </w:rPr>
        <w:t>rozfrakcjowaniem</w:t>
      </w:r>
      <w:proofErr w:type="spellEnd"/>
      <w:r>
        <w:rPr>
          <w:rFonts w:ascii="Arial" w:hAnsi="Arial" w:cs="Arial"/>
          <w:color w:val="000000"/>
          <w:sz w:val="18"/>
          <w:szCs w:val="18"/>
          <w:lang w:val="x-none"/>
        </w:rPr>
        <w:t>, zanieczyszczeniem oraz zmieszaniem z kruszywem innych klas petrograficznych, asortymentów, marek i gatunków.</w:t>
      </w:r>
    </w:p>
    <w:p w14:paraId="43FEBB74"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p>
    <w:p w14:paraId="1E6A1C85"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4.4.</w:t>
      </w:r>
      <w:r>
        <w:rPr>
          <w:rFonts w:ascii="Arial" w:hAnsi="Arial" w:cs="Arial"/>
          <w:b/>
          <w:bCs/>
          <w:color w:val="000000"/>
          <w:sz w:val="18"/>
          <w:szCs w:val="18"/>
          <w:lang w:val="x-none"/>
        </w:rPr>
        <w:tab/>
        <w:t>Ogólne zasady transportu masy betonowej</w:t>
      </w:r>
    </w:p>
    <w:p w14:paraId="67D4E9D0"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Masę betonową należy transportować środkami nie powodującymi segregacji ani zmian w składzie masy w stosunku do stanu początkowego.</w:t>
      </w:r>
    </w:p>
    <w:p w14:paraId="6E1AC60C" w14:textId="77777777" w:rsidR="000A3B2B" w:rsidRDefault="000A3B2B" w:rsidP="009E5295">
      <w:pPr>
        <w:autoSpaceDE w:val="0"/>
        <w:autoSpaceDN w:val="0"/>
        <w:adjustRightInd w:val="0"/>
        <w:spacing w:after="30" w:line="240" w:lineRule="auto"/>
        <w:ind w:firstLine="285"/>
        <w:jc w:val="both"/>
        <w:rPr>
          <w:rFonts w:ascii="Arial" w:hAnsi="Arial" w:cs="Arial"/>
          <w:b/>
          <w:bCs/>
          <w:color w:val="000000"/>
          <w:sz w:val="18"/>
          <w:szCs w:val="18"/>
          <w:lang w:val="x-none"/>
        </w:rPr>
      </w:pPr>
      <w:r>
        <w:rPr>
          <w:rFonts w:ascii="Arial" w:hAnsi="Arial" w:cs="Arial"/>
          <w:color w:val="000000"/>
          <w:sz w:val="18"/>
          <w:szCs w:val="18"/>
          <w:lang w:val="x-none"/>
        </w:rPr>
        <w:t xml:space="preserve">Masę betonową można transportować mieszalnikami samochodowymi („gruszkami”). Ilość gruszek należy dobrać tak, aby zapewnić wymaganą szybkość betonowania z uwzględnieniem odległości dowozu, czasu twardnienia betonu oraz koniecznej rezerwy w przypadku awarii samochodu. </w:t>
      </w:r>
      <w:r>
        <w:rPr>
          <w:rFonts w:ascii="Arial" w:hAnsi="Arial" w:cs="Arial"/>
          <w:b/>
          <w:bCs/>
          <w:color w:val="000000"/>
          <w:sz w:val="18"/>
          <w:szCs w:val="18"/>
          <w:lang w:val="x-none"/>
        </w:rPr>
        <w:t>Niedozwolone jest stosowanie samochodów skrzyniowych ani wywrotek.</w:t>
      </w:r>
    </w:p>
    <w:p w14:paraId="142CB35F"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Czas trwania transportu i jego organizacja powinny zapewniać dostarczenie do miejsca, układania masy betonowej o takim stopniu ciekłości, jaki został ustalony dla danego sposobu zagęszczenia i rodzaju konstrukcji.</w:t>
      </w:r>
    </w:p>
    <w:p w14:paraId="11EA047A"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Czas transportu i wbudowania mieszanki nie powinien być dłuższy niż:</w:t>
      </w:r>
    </w:p>
    <w:p w14:paraId="59BA824D"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90 minut przy temperaturze otoczenia +15°C,</w:t>
      </w:r>
    </w:p>
    <w:p w14:paraId="6325B6D6"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70 minut przy temperaturze otoczenia +20°C,</w:t>
      </w:r>
    </w:p>
    <w:p w14:paraId="38E41B0A"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30 minut przy temperaturze otoczenia +30°C.</w:t>
      </w:r>
    </w:p>
    <w:p w14:paraId="21EE2CAC"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p>
    <w:p w14:paraId="49347463"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4.5.</w:t>
      </w:r>
      <w:r>
        <w:rPr>
          <w:rFonts w:ascii="Arial" w:hAnsi="Arial" w:cs="Arial"/>
          <w:b/>
          <w:bCs/>
          <w:color w:val="000000"/>
          <w:sz w:val="18"/>
          <w:szCs w:val="18"/>
          <w:lang w:val="x-none"/>
        </w:rPr>
        <w:tab/>
        <w:t>Transport masy betonowej przenośnikami taśmowymi</w:t>
      </w:r>
    </w:p>
    <w:p w14:paraId="7C61D2C0"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Dopuszcza się transportowanie przenośnikami taśmowymi przy zachowaniu następujących warunków:</w:t>
      </w:r>
    </w:p>
    <w:p w14:paraId="4FDF1951"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masa betonowa powinna być co najmniej konsystencji plastycznej,</w:t>
      </w:r>
    </w:p>
    <w:p w14:paraId="3CDB2526"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szybkość posuwu taśmy nie powinna być większa niż 1 m/s,</w:t>
      </w:r>
    </w:p>
    <w:p w14:paraId="3E2CEBC9"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kąt pochylenia przenośnika nie powinien być większy niż 18° przy transporcie do góry i 12° przy transporcie w dół,</w:t>
      </w:r>
    </w:p>
    <w:p w14:paraId="5C5E54B6"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przenośnik powinien być wyposażony w urządzenie do równomiernego wysypywania masy oraz do zgarniania zaprawy i zaczynu z taśmy przy jej ruchu powrotnym przy czym zgarnięty materiał powinien być stopniowo wprowadzony do dostarczanej masy betonowej.</w:t>
      </w:r>
    </w:p>
    <w:p w14:paraId="29E4AA07"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p>
    <w:p w14:paraId="445B9533" w14:textId="77777777" w:rsidR="000A3B2B" w:rsidRDefault="000A3B2B" w:rsidP="009E5295">
      <w:pPr>
        <w:autoSpaceDE w:val="0"/>
        <w:autoSpaceDN w:val="0"/>
        <w:adjustRightInd w:val="0"/>
        <w:spacing w:before="225" w:after="12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5.</w:t>
      </w:r>
      <w:r>
        <w:rPr>
          <w:rFonts w:ascii="Arial" w:hAnsi="Arial" w:cs="Arial"/>
          <w:b/>
          <w:bCs/>
          <w:color w:val="000000"/>
          <w:sz w:val="18"/>
          <w:szCs w:val="18"/>
          <w:lang w:val="x-none"/>
        </w:rPr>
        <w:tab/>
        <w:t>WYMAGANIA DOTYCZĄCE WYKONANIA ROBÓT</w:t>
      </w:r>
    </w:p>
    <w:p w14:paraId="0877AA62"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5.1.</w:t>
      </w:r>
      <w:r>
        <w:rPr>
          <w:rFonts w:ascii="Arial" w:hAnsi="Arial" w:cs="Arial"/>
          <w:b/>
          <w:bCs/>
          <w:color w:val="000000"/>
          <w:sz w:val="18"/>
          <w:szCs w:val="18"/>
          <w:lang w:val="x-none"/>
        </w:rPr>
        <w:tab/>
        <w:t xml:space="preserve">Ogólne zasady wykonania robót </w:t>
      </w:r>
    </w:p>
    <w:p w14:paraId="71D037CF"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Ogólne zasady wykonywania robót podano w ST „Wymagania ogólne” Kod CPV 45000000-7, pkt 5. Wykonawca przedstawi Inspektorowi nadzoru do akceptacji projekt organizacji i harmonogram robót uwzględniające wszystkie warunki, w jakich będą wykonywane roboty betonowe oraz projekty </w:t>
      </w:r>
      <w:proofErr w:type="spellStart"/>
      <w:r>
        <w:rPr>
          <w:rFonts w:ascii="Arial" w:hAnsi="Arial" w:cs="Arial"/>
          <w:color w:val="000000"/>
          <w:sz w:val="18"/>
          <w:szCs w:val="18"/>
          <w:lang w:val="x-none"/>
        </w:rPr>
        <w:t>deskowań</w:t>
      </w:r>
      <w:proofErr w:type="spellEnd"/>
      <w:r>
        <w:rPr>
          <w:rFonts w:ascii="Arial" w:hAnsi="Arial" w:cs="Arial"/>
          <w:color w:val="000000"/>
          <w:sz w:val="18"/>
          <w:szCs w:val="18"/>
          <w:lang w:val="x-none"/>
        </w:rPr>
        <w:t xml:space="preserve"> i rusztowań.</w:t>
      </w:r>
    </w:p>
    <w:p w14:paraId="5BF9E19B"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5.2.</w:t>
      </w:r>
      <w:r>
        <w:rPr>
          <w:rFonts w:ascii="Arial" w:hAnsi="Arial" w:cs="Arial"/>
          <w:b/>
          <w:bCs/>
          <w:color w:val="000000"/>
          <w:sz w:val="18"/>
          <w:szCs w:val="18"/>
          <w:lang w:val="x-none"/>
        </w:rPr>
        <w:tab/>
        <w:t>Warunki przystąpienia do robót betonowych</w:t>
      </w:r>
    </w:p>
    <w:p w14:paraId="1C50D63F"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Rozpoczęcie robót betoniarskich może nastąpić na podstawie dostarczonego przez Wykonawcę szczegółowego programu i dokumentacji technologicznej (zaakceptowanej przez Inspektora nadzoru) obejmującej:</w:t>
      </w:r>
    </w:p>
    <w:p w14:paraId="6437E7AE"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wybór składników betonu,</w:t>
      </w:r>
    </w:p>
    <w:p w14:paraId="4FBFF246"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opracowanie receptur laboratoryjnych i roboczych,</w:t>
      </w:r>
    </w:p>
    <w:p w14:paraId="11BE4F22"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sposób wytwarzania mieszanki betonowej,</w:t>
      </w:r>
    </w:p>
    <w:p w14:paraId="4CEE8DD0"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sposób transportu mieszanki betonowej,</w:t>
      </w:r>
    </w:p>
    <w:p w14:paraId="76C342D2"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kolejność i sposób betonowania,</w:t>
      </w:r>
    </w:p>
    <w:p w14:paraId="3BE75F76"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wskazanie przerw roboczych i sposobu łączenia betonu w tych przerwach,</w:t>
      </w:r>
    </w:p>
    <w:p w14:paraId="3645FE5F"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sposób pielęgnacji betonu,</w:t>
      </w:r>
    </w:p>
    <w:p w14:paraId="363C4772"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warunki rozformowania konstrukcji (deskowania),</w:t>
      </w:r>
    </w:p>
    <w:p w14:paraId="418DBE73"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zestawienie koniecznych badań.</w:t>
      </w:r>
    </w:p>
    <w:p w14:paraId="75D01A0A" w14:textId="77777777" w:rsidR="000A3B2B" w:rsidRDefault="000A3B2B" w:rsidP="009E5295">
      <w:pPr>
        <w:autoSpaceDE w:val="0"/>
        <w:autoSpaceDN w:val="0"/>
        <w:adjustRightInd w:val="0"/>
        <w:spacing w:after="30" w:line="240" w:lineRule="auto"/>
        <w:ind w:firstLine="285"/>
        <w:jc w:val="both"/>
        <w:rPr>
          <w:rFonts w:ascii="Arial" w:hAnsi="Arial" w:cs="Arial"/>
          <w:b/>
          <w:bCs/>
          <w:color w:val="000000"/>
          <w:sz w:val="18"/>
          <w:szCs w:val="18"/>
          <w:lang w:val="x-none"/>
        </w:rPr>
      </w:pPr>
      <w:r>
        <w:rPr>
          <w:rFonts w:ascii="Arial" w:hAnsi="Arial" w:cs="Arial"/>
          <w:b/>
          <w:bCs/>
          <w:color w:val="000000"/>
          <w:sz w:val="18"/>
          <w:szCs w:val="18"/>
          <w:lang w:val="x-none"/>
        </w:rPr>
        <w:t>Przed przystąpieniem do betonowania powinna być stwierdzona przez Inspektora nadzoru prawidłowość wykonania wszystkich robót poprzedzających betonowanie, a w szczególności:</w:t>
      </w:r>
    </w:p>
    <w:p w14:paraId="4B83F0C9"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prawidłowość wykonania </w:t>
      </w:r>
      <w:proofErr w:type="spellStart"/>
      <w:r>
        <w:rPr>
          <w:rFonts w:ascii="Arial" w:hAnsi="Arial" w:cs="Arial"/>
          <w:color w:val="000000"/>
          <w:sz w:val="18"/>
          <w:szCs w:val="18"/>
          <w:lang w:val="x-none"/>
        </w:rPr>
        <w:t>deskowań</w:t>
      </w:r>
      <w:proofErr w:type="spellEnd"/>
      <w:r>
        <w:rPr>
          <w:rFonts w:ascii="Arial" w:hAnsi="Arial" w:cs="Arial"/>
          <w:color w:val="000000"/>
          <w:sz w:val="18"/>
          <w:szCs w:val="18"/>
          <w:lang w:val="x-none"/>
        </w:rPr>
        <w:t>, rusztowań, usztywnień pomostów itp.,</w:t>
      </w:r>
    </w:p>
    <w:p w14:paraId="1FB9324D"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prawidłowość wykonania zbrojenia,</w:t>
      </w:r>
    </w:p>
    <w:p w14:paraId="1ECB814D"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zgodność rzędnych z projektem,</w:t>
      </w:r>
    </w:p>
    <w:p w14:paraId="002C2BD6"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czystość deskowania oraz obecność wkładek dystansowych zapewniających wymaganą wielkość otuliny,</w:t>
      </w:r>
    </w:p>
    <w:p w14:paraId="399A6172"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przygotowanie powierzchni betonu uprzednio ułożonego w miejscu przerwy roboczej,</w:t>
      </w:r>
    </w:p>
    <w:p w14:paraId="72992ECD"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prawidłowość wykonania wszystkich robót zanikających, między innymi wykonania przerw dylatacyjnych, warstw izolacyjnych, itp.,</w:t>
      </w:r>
    </w:p>
    <w:p w14:paraId="79A55545"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prawidłowość rozmieszczenia i niezmienność kształtu elementów wbudowanych w betonową konstrukcję (kanałów, wpustów, sączków, kotw, rur itp.),</w:t>
      </w:r>
    </w:p>
    <w:p w14:paraId="56C5405C"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gotowość sprzętu i urządzeń do prowadzenia betonowania.</w:t>
      </w:r>
    </w:p>
    <w:p w14:paraId="6842F2D8"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Roboty betoniarskie powinny być wykonane zgodnie z wymaganiami normy:</w:t>
      </w:r>
    </w:p>
    <w:p w14:paraId="6B6B381C"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PN-EN 206+A1:2016-12.</w:t>
      </w:r>
    </w:p>
    <w:p w14:paraId="0B547CBE"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Betonowanie można rozpocząć po uzyskaniu zezwolenia Inspektora nadzoru potwierdzonego wpisem do dziennika budowy.</w:t>
      </w:r>
    </w:p>
    <w:p w14:paraId="43422E29"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p>
    <w:p w14:paraId="5CF1AA04"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5.3.</w:t>
      </w:r>
      <w:r>
        <w:rPr>
          <w:rFonts w:ascii="Arial" w:hAnsi="Arial" w:cs="Arial"/>
          <w:b/>
          <w:bCs/>
          <w:color w:val="000000"/>
          <w:sz w:val="18"/>
          <w:szCs w:val="18"/>
          <w:lang w:val="x-none"/>
        </w:rPr>
        <w:tab/>
        <w:t>Wytwarzanie, podawanie i układanie mieszanki betonowej</w:t>
      </w:r>
    </w:p>
    <w:p w14:paraId="3E145476"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Wytwarzanie mieszanki betonowej powinno odbywać się wyłącznie w wyspecjalizowanym zakładzie produkcji betonu, który może zapewnić żądane w ST wymagania.</w:t>
      </w:r>
    </w:p>
    <w:p w14:paraId="2CF91A1F"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Dozowanie składników do mieszanki betonowej powinno być dokonywane wyłącznie wagowo z dokładnością:</w:t>
      </w:r>
    </w:p>
    <w:p w14:paraId="6B6BD646"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±2% – przy dozowaniu cementu i wody,</w:t>
      </w:r>
    </w:p>
    <w:p w14:paraId="2308326B"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±3% – przy dozowaniu kruszywa.</w:t>
      </w:r>
    </w:p>
    <w:p w14:paraId="0C82F76F"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Dozatory muszą mieć aktualne świadectwo legalizacji.</w:t>
      </w:r>
    </w:p>
    <w:p w14:paraId="175B1885"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Wagi powinny być kontrolowane co najmniej raz w roku.</w:t>
      </w:r>
    </w:p>
    <w:p w14:paraId="1CC86CD4"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Urządzenia dozujące wodę i płynne domieszki powinny być sprawdzane co najmniej raz w miesiącu. Przy dozowaniu składników powinno się uwzględniać korektę związaną ze zmiennym zawilgoceniem kruszywa.</w:t>
      </w:r>
    </w:p>
    <w:p w14:paraId="5003B192"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Czas mieszania należy ustalić doświadczalnie, jednak nie powinien on być krótszy niż 2 minuty.</w:t>
      </w:r>
    </w:p>
    <w:p w14:paraId="38BFFC7D"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Do podawania mieszanek betonowych należy stosować pojemniki o konstrukcji umożliwiającej łatwe ich opróżnianie lub pompy przystosowanej do podawania mieszanek plastycznych. Przy stosowaniu pomp wymaga się sprawdzenia ustalonej konsystencji mieszanki betonowej przy wylocie.</w:t>
      </w:r>
    </w:p>
    <w:p w14:paraId="38462812"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Mieszanki betonowej nie należy zrzucać z wysokości większej niż 0,75 m od powierzchni, na którą spada. W przypadku, gdy wysokość ta jest większa, należy mieszankę podawać za pomocą rynny zsypowej (do wysokości 3,0 m) lub leja zsypowego teleskopowego (do wysokości 8,0 m).</w:t>
      </w:r>
    </w:p>
    <w:p w14:paraId="767BFA26"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Przy wykonywaniu elementów konstrukcji monolitycznych należy przestrzegać wymogów dokumentacji technologicznej, która powinna uwzględniać następujące zalecenia:</w:t>
      </w:r>
    </w:p>
    <w:p w14:paraId="0D388C2D"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 fundamentach, ścianach i ramach mieszankę betonową należy układać bezpośrednio z pojemnika lub rurociągu pompy bądź też za pośrednictwem rynny warstwami o grubości do 40 cm, zagęszczając wibratorami wgłębnymi,</w:t>
      </w:r>
    </w:p>
    <w:p w14:paraId="4D66644D"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przy wykonywaniu płyt mieszankę betonową należy układać bezpośrednio z pojemnika lub rurociągu pompy,</w:t>
      </w:r>
    </w:p>
    <w:p w14:paraId="6C22C286"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przy betonowaniu oczepów, gzymsów, wsporników, zamków i stref </w:t>
      </w:r>
      <w:proofErr w:type="spellStart"/>
      <w:r>
        <w:rPr>
          <w:rFonts w:ascii="Arial" w:hAnsi="Arial" w:cs="Arial"/>
          <w:color w:val="000000"/>
          <w:sz w:val="18"/>
          <w:szCs w:val="18"/>
          <w:lang w:val="x-none"/>
        </w:rPr>
        <w:t>przydylatacyjnych</w:t>
      </w:r>
      <w:proofErr w:type="spellEnd"/>
      <w:r>
        <w:rPr>
          <w:rFonts w:ascii="Arial" w:hAnsi="Arial" w:cs="Arial"/>
          <w:color w:val="000000"/>
          <w:sz w:val="18"/>
          <w:szCs w:val="18"/>
          <w:lang w:val="x-none"/>
        </w:rPr>
        <w:t xml:space="preserve"> stosować wibratory wgłębne.</w:t>
      </w:r>
    </w:p>
    <w:p w14:paraId="0C8D85BF"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Przy zagęszczeniu mieszanki betonowej należy spełniać następujące warunki:</w:t>
      </w:r>
    </w:p>
    <w:p w14:paraId="2C5095A1"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wibratory wgłębne stosować o częstotliwości min. 6000 drgań na minutę, z buławami o średnicy nie większej niż 0,65 odległości między prętami zbrojenia leżącymi w płaszczyźnie poziomej,</w:t>
      </w:r>
    </w:p>
    <w:p w14:paraId="2A88FF88"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podczas zagęszczania wibratorami wgłębnymi nie wolno dotykać zbrojenia buławą wibratora,</w:t>
      </w:r>
    </w:p>
    <w:p w14:paraId="64BFC72A"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podczas zagęszczania wibratorami wgłębnymi należy zagłębiać buławę na głębokość 5÷8 cm w warstwę poprzednią i przytrzymywać buławę w jednym miejscu w czasie 20÷30 s., po czym wyjmować powoli w stanie wibrującym,</w:t>
      </w:r>
    </w:p>
    <w:p w14:paraId="2C489064"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kolejne miejsca zagłębienia buławy powinny być od siebie oddalone o 1,4 R, gdzie R jest promieniem skutecznego działania wibratora; odległość ta zwykle wynosi 0,3÷0,5 m,</w:t>
      </w:r>
    </w:p>
    <w:p w14:paraId="76D82903"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belki (ławy) wibracyjne powinny być stosowane do wyrównania powierzchni betonu płyt pomostów i charakteryzować się jednakowymi drganiami na całej długości,</w:t>
      </w:r>
    </w:p>
    <w:p w14:paraId="5DAA4C61"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czas zagęszczania wibratorem powierzchniowym lub belką (łatą) wibracyjną w jednym miejscu powinien wynosić od 30 do 60 s.,</w:t>
      </w:r>
    </w:p>
    <w:p w14:paraId="6940FB7B"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zasięg działania wibratorów przyczepnych wynosi zwykle od 20 do 50 cm w kierunku głębokości i od 1,0 do 1,5 m w kierunku długości elementu; rozstaw wibratorów należy ustalić doświadczalnie tak, aby nie powstawały martwe pola.</w:t>
      </w:r>
    </w:p>
    <w:p w14:paraId="7CFC7A24" w14:textId="77777777" w:rsidR="000A3B2B" w:rsidRDefault="000A3B2B" w:rsidP="009E5295">
      <w:pPr>
        <w:autoSpaceDE w:val="0"/>
        <w:autoSpaceDN w:val="0"/>
        <w:adjustRightInd w:val="0"/>
        <w:spacing w:after="30" w:line="240" w:lineRule="auto"/>
        <w:ind w:firstLine="285"/>
        <w:jc w:val="both"/>
        <w:rPr>
          <w:rFonts w:ascii="Arial" w:hAnsi="Arial" w:cs="Arial"/>
          <w:b/>
          <w:bCs/>
          <w:color w:val="000000"/>
          <w:sz w:val="18"/>
          <w:szCs w:val="18"/>
          <w:lang w:val="x-none"/>
        </w:rPr>
      </w:pPr>
      <w:r>
        <w:rPr>
          <w:rFonts w:ascii="Arial" w:hAnsi="Arial" w:cs="Arial"/>
          <w:b/>
          <w:bCs/>
          <w:color w:val="000000"/>
          <w:sz w:val="18"/>
          <w:szCs w:val="18"/>
          <w:lang w:val="x-none"/>
        </w:rPr>
        <w:t>Przerwy w betonowaniu należy sytuować w miejscach uprzednio przewidzianych i uzgodnionych z Projektantem.</w:t>
      </w:r>
    </w:p>
    <w:p w14:paraId="7CE6BCD2" w14:textId="77777777" w:rsidR="000A3B2B" w:rsidRDefault="000A3B2B" w:rsidP="009E5295">
      <w:pPr>
        <w:autoSpaceDE w:val="0"/>
        <w:autoSpaceDN w:val="0"/>
        <w:adjustRightInd w:val="0"/>
        <w:spacing w:after="30" w:line="240" w:lineRule="auto"/>
        <w:ind w:firstLine="285"/>
        <w:jc w:val="both"/>
        <w:rPr>
          <w:rFonts w:ascii="Arial" w:hAnsi="Arial" w:cs="Arial"/>
          <w:b/>
          <w:bCs/>
          <w:color w:val="000000"/>
          <w:sz w:val="18"/>
          <w:szCs w:val="18"/>
          <w:lang w:val="x-none"/>
        </w:rPr>
      </w:pPr>
      <w:r>
        <w:rPr>
          <w:rFonts w:ascii="Arial" w:hAnsi="Arial" w:cs="Arial"/>
          <w:b/>
          <w:bCs/>
          <w:color w:val="000000"/>
          <w:sz w:val="18"/>
          <w:szCs w:val="18"/>
          <w:lang w:val="x-none"/>
        </w:rPr>
        <w:t>Ukształtowanie powierzchni betonu w przerwie roboczej powinno być uzgodnione w Projektantem, a w prostszych przypadkach można się kierować zasadą, że powinna ona być prostopadła do powierzchni elementu.</w:t>
      </w:r>
    </w:p>
    <w:p w14:paraId="3AE6CD55" w14:textId="77777777" w:rsidR="000A3B2B" w:rsidRDefault="000A3B2B" w:rsidP="009E5295">
      <w:pPr>
        <w:autoSpaceDE w:val="0"/>
        <w:autoSpaceDN w:val="0"/>
        <w:adjustRightInd w:val="0"/>
        <w:spacing w:after="30" w:line="240" w:lineRule="auto"/>
        <w:ind w:firstLine="285"/>
        <w:jc w:val="both"/>
        <w:rPr>
          <w:rFonts w:ascii="Arial" w:hAnsi="Arial" w:cs="Arial"/>
          <w:b/>
          <w:bCs/>
          <w:color w:val="000000"/>
          <w:sz w:val="18"/>
          <w:szCs w:val="18"/>
          <w:lang w:val="x-none"/>
        </w:rPr>
      </w:pPr>
      <w:r>
        <w:rPr>
          <w:rFonts w:ascii="Arial" w:hAnsi="Arial" w:cs="Arial"/>
          <w:b/>
          <w:bCs/>
          <w:color w:val="000000"/>
          <w:sz w:val="18"/>
          <w:szCs w:val="18"/>
          <w:lang w:val="x-none"/>
        </w:rPr>
        <w:t>Powierzchnia betonu w miejscu przerwania betonowania powinna być starannie przygotowana do połączenia betonu stwardniałego ze świeżym przez usunięcie z powierzchni betonu stwardniałego, luźnych okruchów betonu oraz warstwy szkliwa cementowego oraz zwilżenie wodą.</w:t>
      </w:r>
    </w:p>
    <w:p w14:paraId="43601843" w14:textId="77777777" w:rsidR="000A3B2B" w:rsidRDefault="000A3B2B" w:rsidP="009E5295">
      <w:pPr>
        <w:autoSpaceDE w:val="0"/>
        <w:autoSpaceDN w:val="0"/>
        <w:adjustRightInd w:val="0"/>
        <w:spacing w:after="30" w:line="240" w:lineRule="auto"/>
        <w:jc w:val="both"/>
        <w:rPr>
          <w:rFonts w:ascii="Arial" w:hAnsi="Arial" w:cs="Arial"/>
          <w:b/>
          <w:bCs/>
          <w:color w:val="000000"/>
          <w:sz w:val="18"/>
          <w:szCs w:val="18"/>
          <w:lang w:val="x-none"/>
        </w:rPr>
      </w:pPr>
      <w:r>
        <w:rPr>
          <w:rFonts w:ascii="Arial" w:hAnsi="Arial" w:cs="Arial"/>
          <w:b/>
          <w:bCs/>
          <w:color w:val="000000"/>
          <w:sz w:val="18"/>
          <w:szCs w:val="18"/>
          <w:lang w:val="x-none"/>
        </w:rPr>
        <w:t>Powyższe zabiegi należy wykonać bezpośrednio przed rozpoczęciem betonowania.</w:t>
      </w:r>
    </w:p>
    <w:p w14:paraId="588F88C5" w14:textId="77777777" w:rsidR="000A3B2B" w:rsidRDefault="000A3B2B" w:rsidP="009E5295">
      <w:pPr>
        <w:autoSpaceDE w:val="0"/>
        <w:autoSpaceDN w:val="0"/>
        <w:adjustRightInd w:val="0"/>
        <w:spacing w:after="30" w:line="240" w:lineRule="auto"/>
        <w:ind w:firstLine="285"/>
        <w:jc w:val="both"/>
        <w:rPr>
          <w:rFonts w:ascii="Arial" w:hAnsi="Arial" w:cs="Arial"/>
          <w:b/>
          <w:bCs/>
          <w:color w:val="000000"/>
          <w:sz w:val="18"/>
          <w:szCs w:val="18"/>
          <w:lang w:val="x-none"/>
        </w:rPr>
      </w:pPr>
      <w:r>
        <w:rPr>
          <w:rFonts w:ascii="Arial" w:hAnsi="Arial" w:cs="Arial"/>
          <w:b/>
          <w:bCs/>
          <w:color w:val="000000"/>
          <w:sz w:val="18"/>
          <w:szCs w:val="18"/>
          <w:lang w:val="x-none"/>
        </w:rPr>
        <w:t>W przypadku przerwy w układaniu betonu zagęszczanym przez wibrowanie wznowienie betonowania nie powinno się odbyć później niż w ciągu 3 godzin lub po całkowitym stwardnieniu betonu. Jeżeli temperatura powietrza jest wyższa niż 20°C, czas trwania przerwy nie powinien przekraczać 2 godzin.</w:t>
      </w:r>
    </w:p>
    <w:p w14:paraId="157EE3E2" w14:textId="77777777" w:rsidR="000A3B2B" w:rsidRDefault="000A3B2B" w:rsidP="009E5295">
      <w:pPr>
        <w:autoSpaceDE w:val="0"/>
        <w:autoSpaceDN w:val="0"/>
        <w:adjustRightInd w:val="0"/>
        <w:spacing w:after="30" w:line="240" w:lineRule="auto"/>
        <w:ind w:firstLine="285"/>
        <w:jc w:val="both"/>
        <w:rPr>
          <w:rFonts w:ascii="Arial" w:hAnsi="Arial" w:cs="Arial"/>
          <w:b/>
          <w:bCs/>
          <w:color w:val="000000"/>
          <w:sz w:val="18"/>
          <w:szCs w:val="18"/>
          <w:lang w:val="x-none"/>
        </w:rPr>
      </w:pPr>
      <w:r>
        <w:rPr>
          <w:rFonts w:ascii="Arial" w:hAnsi="Arial" w:cs="Arial"/>
          <w:b/>
          <w:bCs/>
          <w:color w:val="000000"/>
          <w:sz w:val="18"/>
          <w:szCs w:val="18"/>
          <w:lang w:val="x-none"/>
        </w:rPr>
        <w:t>Po wznowieniu betonowania należy unikać dotykania wibratorem deskowania, zbrojenia i poprzednio ułożonego betonu.</w:t>
      </w:r>
    </w:p>
    <w:p w14:paraId="3FF9014F"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 przypadku, gdy betonowanie konstrukcji wykonywane jest także w nocy, konieczne jest wcześniejsze przygotowanie odpowiedniego oświetlenia, zapewniającego prawidłowe wykonawstwo robót i dostateczne warunki bezpieczeństwa pracy.</w:t>
      </w:r>
    </w:p>
    <w:p w14:paraId="4EB413FB"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p>
    <w:p w14:paraId="6D6F6DAE"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5.4.</w:t>
      </w:r>
      <w:r>
        <w:rPr>
          <w:rFonts w:ascii="Arial" w:hAnsi="Arial" w:cs="Arial"/>
          <w:b/>
          <w:bCs/>
          <w:color w:val="000000"/>
          <w:sz w:val="18"/>
          <w:szCs w:val="18"/>
          <w:lang w:val="x-none"/>
        </w:rPr>
        <w:tab/>
        <w:t>Warunki atmosferyczne przy układaniu mieszanki betonowej i wiązaniu betonu</w:t>
      </w:r>
    </w:p>
    <w:p w14:paraId="66CFA2D2" w14:textId="77777777" w:rsidR="000A3B2B" w:rsidRDefault="000A3B2B" w:rsidP="009E5295">
      <w:pPr>
        <w:autoSpaceDE w:val="0"/>
        <w:autoSpaceDN w:val="0"/>
        <w:adjustRightInd w:val="0"/>
        <w:spacing w:after="30" w:line="240" w:lineRule="auto"/>
        <w:jc w:val="both"/>
        <w:rPr>
          <w:rFonts w:ascii="Arial" w:hAnsi="Arial" w:cs="Arial"/>
          <w:b/>
          <w:bCs/>
          <w:color w:val="000000"/>
          <w:sz w:val="18"/>
          <w:szCs w:val="18"/>
          <w:lang w:val="x-none"/>
        </w:rPr>
      </w:pPr>
      <w:r>
        <w:rPr>
          <w:rFonts w:ascii="Arial" w:hAnsi="Arial" w:cs="Arial"/>
          <w:b/>
          <w:bCs/>
          <w:color w:val="000000"/>
          <w:sz w:val="18"/>
          <w:szCs w:val="18"/>
          <w:lang w:val="x-none"/>
        </w:rPr>
        <w:t xml:space="preserve">Betonowanie konstrukcji należy wykonywać wyłącznie w temperaturach nie niższych niż plus 5°C, zachowując warunki umożliwiające uzyskanie przez beton wytrzymałości co najmniej 15 </w:t>
      </w:r>
      <w:proofErr w:type="spellStart"/>
      <w:r>
        <w:rPr>
          <w:rFonts w:ascii="Arial" w:hAnsi="Arial" w:cs="Arial"/>
          <w:b/>
          <w:bCs/>
          <w:color w:val="000000"/>
          <w:sz w:val="18"/>
          <w:szCs w:val="18"/>
          <w:lang w:val="x-none"/>
        </w:rPr>
        <w:t>MPa</w:t>
      </w:r>
      <w:proofErr w:type="spellEnd"/>
      <w:r>
        <w:rPr>
          <w:rFonts w:ascii="Arial" w:hAnsi="Arial" w:cs="Arial"/>
          <w:b/>
          <w:bCs/>
          <w:color w:val="000000"/>
          <w:sz w:val="18"/>
          <w:szCs w:val="18"/>
          <w:lang w:val="x-none"/>
        </w:rPr>
        <w:t xml:space="preserve"> przed pierwszym zamarznięciem. Uzyskanie wytrzymałości 15 </w:t>
      </w:r>
      <w:proofErr w:type="spellStart"/>
      <w:r>
        <w:rPr>
          <w:rFonts w:ascii="Arial" w:hAnsi="Arial" w:cs="Arial"/>
          <w:b/>
          <w:bCs/>
          <w:color w:val="000000"/>
          <w:sz w:val="18"/>
          <w:szCs w:val="18"/>
          <w:lang w:val="x-none"/>
        </w:rPr>
        <w:t>MPa</w:t>
      </w:r>
      <w:proofErr w:type="spellEnd"/>
      <w:r>
        <w:rPr>
          <w:rFonts w:ascii="Arial" w:hAnsi="Arial" w:cs="Arial"/>
          <w:b/>
          <w:bCs/>
          <w:color w:val="000000"/>
          <w:sz w:val="18"/>
          <w:szCs w:val="18"/>
          <w:lang w:val="x-none"/>
        </w:rPr>
        <w:t xml:space="preserve"> powinno być zbadane na próbkach przechowywanych w takich samych warunkach, jak zabetonowana konstrukcja.</w:t>
      </w:r>
    </w:p>
    <w:tbl>
      <w:tblPr>
        <w:tblW w:w="0" w:type="auto"/>
        <w:tblCellSpacing w:w="0" w:type="dxa"/>
        <w:tblInd w:w="-8" w:type="dxa"/>
        <w:tblLayout w:type="fixed"/>
        <w:tblCellMar>
          <w:left w:w="0" w:type="dxa"/>
          <w:right w:w="0" w:type="dxa"/>
        </w:tblCellMar>
        <w:tblLook w:val="0000" w:firstRow="0" w:lastRow="0" w:firstColumn="0" w:lastColumn="0" w:noHBand="0" w:noVBand="0"/>
      </w:tblPr>
      <w:tblGrid>
        <w:gridCol w:w="9352"/>
      </w:tblGrid>
      <w:tr w:rsidR="000A3B2B" w14:paraId="73111BF7" w14:textId="77777777">
        <w:trPr>
          <w:trHeight w:val="60"/>
          <w:tblCellSpacing w:w="0" w:type="dxa"/>
        </w:trPr>
        <w:tc>
          <w:tcPr>
            <w:tcW w:w="9352" w:type="dxa"/>
            <w:tcBorders>
              <w:top w:val="single" w:sz="6" w:space="0" w:color="000000"/>
              <w:left w:val="single" w:sz="6" w:space="0" w:color="000000"/>
              <w:bottom w:val="single" w:sz="6" w:space="0" w:color="000000"/>
              <w:right w:val="single" w:sz="6" w:space="0" w:color="000000"/>
            </w:tcBorders>
            <w:shd w:val="clear" w:color="auto" w:fill="CCCCCC"/>
          </w:tcPr>
          <w:p w14:paraId="46A640CF" w14:textId="77777777" w:rsidR="000A3B2B" w:rsidRDefault="000A3B2B">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 wyjątkowych przypadkach dopuszcza się betonowanie w temperaturze do –5°C, jednak wymaga to zgody Inspektora nadzoru oraz zapewnienia temperatury mieszanki betonowej +20°C w chwili układania i zabezpieczenia uformowanego elementu przed utratą ciepła w czasie co najmniej 7 dni. Temperatura mieszanki betonowej w chwili opróżniania betoniarki nie powinna być wyższa niż 35°C.</w:t>
            </w:r>
          </w:p>
        </w:tc>
      </w:tr>
    </w:tbl>
    <w:p w14:paraId="726AB99B" w14:textId="77777777" w:rsidR="000A3B2B" w:rsidRDefault="000A3B2B" w:rsidP="009E5295">
      <w:pPr>
        <w:autoSpaceDE w:val="0"/>
        <w:autoSpaceDN w:val="0"/>
        <w:adjustRightInd w:val="0"/>
        <w:spacing w:before="60"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Niedopuszczalne jest kontynuowanie betonowania w czasie ulewnego deszczu, należy wówczas zabezpieczyć miejsce robót za pomocą mat lub folii.</w:t>
      </w:r>
    </w:p>
    <w:p w14:paraId="035F584A" w14:textId="77777777" w:rsidR="000A3B2B" w:rsidRDefault="000A3B2B" w:rsidP="009E5295">
      <w:pPr>
        <w:autoSpaceDE w:val="0"/>
        <w:autoSpaceDN w:val="0"/>
        <w:adjustRightInd w:val="0"/>
        <w:spacing w:before="60" w:after="30" w:line="240" w:lineRule="auto"/>
        <w:ind w:firstLine="285"/>
        <w:jc w:val="both"/>
        <w:rPr>
          <w:rFonts w:ascii="Arial" w:hAnsi="Arial" w:cs="Arial"/>
          <w:b/>
          <w:bCs/>
          <w:color w:val="000000"/>
          <w:sz w:val="18"/>
          <w:szCs w:val="18"/>
          <w:lang w:val="x-none"/>
        </w:rPr>
      </w:pPr>
    </w:p>
    <w:p w14:paraId="7BCAAE6D"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5.5.</w:t>
      </w:r>
      <w:r>
        <w:rPr>
          <w:rFonts w:ascii="Arial" w:hAnsi="Arial" w:cs="Arial"/>
          <w:b/>
          <w:bCs/>
          <w:color w:val="000000"/>
          <w:sz w:val="18"/>
          <w:szCs w:val="18"/>
          <w:lang w:val="x-none"/>
        </w:rPr>
        <w:tab/>
        <w:t>Pielęgnacja betonu</w:t>
      </w:r>
    </w:p>
    <w:p w14:paraId="2992777F"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Bezpośrednio po zakończeniu betonowania zaleca się przykrycie powierzchni betonu lekkimi wodoszczelnymi osłonami zapobiegającymi odparowaniu wody z betonu i chroniącymi beton przed deszczem i nasłonecznieniem.</w:t>
      </w:r>
    </w:p>
    <w:p w14:paraId="72FF0C30"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Przy temperaturze otoczenia wyższej niż +5°C należy nie później niż po 12 godz. od zakończenia betonowania rozpocząć pielęgnację wilgotnościową betonu i prowadzić ją co najmniej przez 7 dni (przez polewanie co najmniej 3 razy na dobę).</w:t>
      </w:r>
    </w:p>
    <w:p w14:paraId="3D839176"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Przy temperaturze otoczenia +15°C i wyższej beton należy polewać w ciągu pierwszych 3 dni co 3 godziny w dzień i co najmniej 1 raz w nocy, a w następne dni co najmniej 3 razy na dobę.</w:t>
      </w:r>
    </w:p>
    <w:p w14:paraId="7B7037CD"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Woda stosowana do polewania betonu powinna spełniać wymagania normy PN-EN 1008:2004.</w:t>
      </w:r>
    </w:p>
    <w:p w14:paraId="1B19AECF"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 xml:space="preserve">W czasie dojrzewania betonu elementy powinny być chronione przed uderzeniami i drganiami przynajmniej do chwili uzyskania przez niego wytrzymałości na ściskanie co najmniej 15 </w:t>
      </w:r>
      <w:proofErr w:type="spellStart"/>
      <w:r>
        <w:rPr>
          <w:rFonts w:ascii="Arial" w:hAnsi="Arial" w:cs="Arial"/>
          <w:color w:val="000000"/>
          <w:sz w:val="18"/>
          <w:szCs w:val="18"/>
          <w:lang w:val="x-none"/>
        </w:rPr>
        <w:t>MPa</w:t>
      </w:r>
      <w:proofErr w:type="spellEnd"/>
      <w:r>
        <w:rPr>
          <w:rFonts w:ascii="Arial" w:hAnsi="Arial" w:cs="Arial"/>
          <w:color w:val="000000"/>
          <w:sz w:val="18"/>
          <w:szCs w:val="18"/>
          <w:lang w:val="x-none"/>
        </w:rPr>
        <w:t>.</w:t>
      </w:r>
    </w:p>
    <w:p w14:paraId="4353EE13"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p>
    <w:p w14:paraId="05E1358F"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5.6.</w:t>
      </w:r>
      <w:r>
        <w:rPr>
          <w:rFonts w:ascii="Arial" w:hAnsi="Arial" w:cs="Arial"/>
          <w:b/>
          <w:bCs/>
          <w:color w:val="000000"/>
          <w:sz w:val="18"/>
          <w:szCs w:val="18"/>
          <w:lang w:val="x-none"/>
        </w:rPr>
        <w:tab/>
        <w:t>Wykańczanie powierzchni betonu</w:t>
      </w:r>
    </w:p>
    <w:p w14:paraId="2BD05C95"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Dla powierzchni betonu obowiązują następujące wymagania:</w:t>
      </w:r>
    </w:p>
    <w:p w14:paraId="737C8B5B"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wszystkie betonowe powierzchnie muszą być gładkie i równe, bez zagłębień między ziarnami kruszywa, przełomami i wybrzuszeniami ponad powierzchnię,</w:t>
      </w:r>
    </w:p>
    <w:p w14:paraId="0BFB09FD"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pęknięcia i rysy są niedopuszczalne,</w:t>
      </w:r>
    </w:p>
    <w:p w14:paraId="38BADFFD"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wypukłości i wgłębienia nie powinny być większe niż 2 mm.</w:t>
      </w:r>
    </w:p>
    <w:p w14:paraId="742FC5C6"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 xml:space="preserve">Ostre krawędzie betonu po </w:t>
      </w:r>
      <w:proofErr w:type="spellStart"/>
      <w:r>
        <w:rPr>
          <w:rFonts w:ascii="Arial" w:hAnsi="Arial" w:cs="Arial"/>
          <w:color w:val="000000"/>
          <w:sz w:val="18"/>
          <w:szCs w:val="18"/>
          <w:lang w:val="x-none"/>
        </w:rPr>
        <w:t>rozdeskowaniu</w:t>
      </w:r>
      <w:proofErr w:type="spellEnd"/>
      <w:r>
        <w:rPr>
          <w:rFonts w:ascii="Arial" w:hAnsi="Arial" w:cs="Arial"/>
          <w:color w:val="000000"/>
          <w:sz w:val="18"/>
          <w:szCs w:val="18"/>
          <w:lang w:val="x-none"/>
        </w:rPr>
        <w:t xml:space="preserve"> powinny być oszlifowane. Jeżeli dokumentacja projektowa nie przewiduje specjalnego wykończenia powierzchni betonowych konstrukcji, to bezpośrednio po rozebraniu </w:t>
      </w:r>
      <w:proofErr w:type="spellStart"/>
      <w:r>
        <w:rPr>
          <w:rFonts w:ascii="Arial" w:hAnsi="Arial" w:cs="Arial"/>
          <w:color w:val="000000"/>
          <w:sz w:val="18"/>
          <w:szCs w:val="18"/>
          <w:lang w:val="x-none"/>
        </w:rPr>
        <w:t>deskowań</w:t>
      </w:r>
      <w:proofErr w:type="spellEnd"/>
      <w:r>
        <w:rPr>
          <w:rFonts w:ascii="Arial" w:hAnsi="Arial" w:cs="Arial"/>
          <w:color w:val="000000"/>
          <w:sz w:val="18"/>
          <w:szCs w:val="18"/>
          <w:lang w:val="x-none"/>
        </w:rPr>
        <w:t xml:space="preserve"> należy wszystkie wystające nierówności wyrównać za pomocą tarcz karborundowych i czystej wody.</w:t>
      </w:r>
    </w:p>
    <w:p w14:paraId="67C3271A"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Wyklucza się szpachlowanie konstrukcji po </w:t>
      </w:r>
      <w:proofErr w:type="spellStart"/>
      <w:r>
        <w:rPr>
          <w:rFonts w:ascii="Arial" w:hAnsi="Arial" w:cs="Arial"/>
          <w:color w:val="000000"/>
          <w:sz w:val="18"/>
          <w:szCs w:val="18"/>
          <w:lang w:val="x-none"/>
        </w:rPr>
        <w:t>rozdeskowaniu</w:t>
      </w:r>
      <w:proofErr w:type="spellEnd"/>
      <w:r>
        <w:rPr>
          <w:rFonts w:ascii="Arial" w:hAnsi="Arial" w:cs="Arial"/>
          <w:color w:val="000000"/>
          <w:sz w:val="18"/>
          <w:szCs w:val="18"/>
          <w:lang w:val="x-none"/>
        </w:rPr>
        <w:t>.</w:t>
      </w:r>
    </w:p>
    <w:p w14:paraId="44BFF91F"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p>
    <w:p w14:paraId="13C4EA96"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5.7.</w:t>
      </w:r>
      <w:r>
        <w:rPr>
          <w:rFonts w:ascii="Arial" w:hAnsi="Arial" w:cs="Arial"/>
          <w:b/>
          <w:bCs/>
          <w:color w:val="000000"/>
          <w:sz w:val="18"/>
          <w:szCs w:val="18"/>
          <w:lang w:val="x-none"/>
        </w:rPr>
        <w:tab/>
        <w:t>Rusztowania</w:t>
      </w:r>
    </w:p>
    <w:p w14:paraId="04684B8C"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Rusztowania należy wykonać na podstawie projektu technologicznego opracowanego przez Wykonawcę w ramach ceny kontraktowej i uzgodnionej z Inspektorem nadzoru. Rusztowania mogą być wykonane z elementów drewnianych lub stalowych.</w:t>
      </w:r>
    </w:p>
    <w:p w14:paraId="3026DF2D"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Rusztowania powinny w czasie ich eksploatacji zapewnić sztywność i niezmienność układu geometrycznego i bezpieczeństwo konstrukcji.</w:t>
      </w:r>
    </w:p>
    <w:p w14:paraId="5E4C865B"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Wykonanie rusztowań powinno uwzględniać „podniesienie wykonawcze” związane za strzałką konstrukcji oraz ugięciem i osiadaniem rusztowań pod wpływem ciężaru układanego betonu.</w:t>
      </w:r>
    </w:p>
    <w:p w14:paraId="38CB3610"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Wykonawca powinien przedłożyć Inspektorowi nadzoru do akceptacji szczegółowe rysunki robocze rusztowań.</w:t>
      </w:r>
    </w:p>
    <w:p w14:paraId="66E5D7F4"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Rusztowanie należy rozbierać stopniowo, pod ścisłym nadzorem, unikając jednoczesnego usunięcia większej liczby podpór.</w:t>
      </w:r>
    </w:p>
    <w:p w14:paraId="1A9AAB2C"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p>
    <w:p w14:paraId="3AA5704E"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5.8.</w:t>
      </w:r>
      <w:r>
        <w:rPr>
          <w:rFonts w:ascii="Arial" w:hAnsi="Arial" w:cs="Arial"/>
          <w:b/>
          <w:bCs/>
          <w:color w:val="000000"/>
          <w:sz w:val="18"/>
          <w:szCs w:val="18"/>
          <w:lang w:val="x-none"/>
        </w:rPr>
        <w:tab/>
        <w:t>Deskowania</w:t>
      </w:r>
    </w:p>
    <w:p w14:paraId="77D23873" w14:textId="77777777" w:rsidR="000A3B2B" w:rsidRDefault="000A3B2B" w:rsidP="009E5295">
      <w:pPr>
        <w:autoSpaceDE w:val="0"/>
        <w:autoSpaceDN w:val="0"/>
        <w:adjustRightInd w:val="0"/>
        <w:spacing w:after="30" w:line="240" w:lineRule="auto"/>
        <w:jc w:val="both"/>
        <w:rPr>
          <w:rFonts w:ascii="Arial" w:hAnsi="Arial" w:cs="Arial"/>
          <w:b/>
          <w:bCs/>
          <w:color w:val="000000"/>
          <w:sz w:val="18"/>
          <w:szCs w:val="18"/>
          <w:lang w:val="x-none"/>
        </w:rPr>
      </w:pPr>
      <w:r>
        <w:rPr>
          <w:rFonts w:ascii="Arial" w:hAnsi="Arial" w:cs="Arial"/>
          <w:b/>
          <w:bCs/>
          <w:color w:val="000000"/>
          <w:sz w:val="18"/>
          <w:szCs w:val="18"/>
          <w:lang w:val="x-none"/>
        </w:rPr>
        <w:t>Deskowania dla podstawowych elementów konstrukcji obiektu (ustroju nośnego, podpór) należy wykonać według projektu technologicznego deskowania, opracowanego na podstawie obliczeń statyczno-wytrzymałościowych.</w:t>
      </w:r>
    </w:p>
    <w:p w14:paraId="56CC84FE" w14:textId="77777777" w:rsidR="000A3B2B" w:rsidRDefault="000A3B2B" w:rsidP="009E5295">
      <w:pPr>
        <w:autoSpaceDE w:val="0"/>
        <w:autoSpaceDN w:val="0"/>
        <w:adjustRightInd w:val="0"/>
        <w:spacing w:after="30" w:line="240" w:lineRule="auto"/>
        <w:jc w:val="both"/>
        <w:rPr>
          <w:rFonts w:ascii="Arial" w:hAnsi="Arial" w:cs="Arial"/>
          <w:b/>
          <w:bCs/>
          <w:color w:val="000000"/>
          <w:sz w:val="18"/>
          <w:szCs w:val="18"/>
          <w:lang w:val="x-none"/>
        </w:rPr>
      </w:pPr>
      <w:r>
        <w:rPr>
          <w:rFonts w:ascii="Arial" w:hAnsi="Arial" w:cs="Arial"/>
          <w:b/>
          <w:bCs/>
          <w:color w:val="000000"/>
          <w:sz w:val="18"/>
          <w:szCs w:val="18"/>
          <w:lang w:val="x-none"/>
        </w:rPr>
        <w:t>Projekt opracuje Wykonawca w ramach ceny kontraktowej i uzgadnia z Projektantem.</w:t>
      </w:r>
    </w:p>
    <w:p w14:paraId="7F16EFCB"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 xml:space="preserve">Konstrukcja </w:t>
      </w:r>
      <w:proofErr w:type="spellStart"/>
      <w:r>
        <w:rPr>
          <w:rFonts w:ascii="Arial" w:hAnsi="Arial" w:cs="Arial"/>
          <w:color w:val="000000"/>
          <w:sz w:val="18"/>
          <w:szCs w:val="18"/>
          <w:lang w:val="x-none"/>
        </w:rPr>
        <w:t>deskowań</w:t>
      </w:r>
      <w:proofErr w:type="spellEnd"/>
      <w:r>
        <w:rPr>
          <w:rFonts w:ascii="Arial" w:hAnsi="Arial" w:cs="Arial"/>
          <w:color w:val="000000"/>
          <w:sz w:val="18"/>
          <w:szCs w:val="18"/>
          <w:lang w:val="x-none"/>
        </w:rPr>
        <w:t xml:space="preserve"> powinna być sprawdzana na siły wywołane parciem świeżej masy betonowej i uderzeniami przy jej wylewaniu z pojemników oraz powinna uwzględniać:</w:t>
      </w:r>
    </w:p>
    <w:p w14:paraId="2DFA31B0"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szybkość betonowania,</w:t>
      </w:r>
    </w:p>
    <w:p w14:paraId="7250F8FD"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sposób zagęszczania,</w:t>
      </w:r>
    </w:p>
    <w:p w14:paraId="276CE9C3"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obciążenia pomostami roboczymi.</w:t>
      </w:r>
    </w:p>
    <w:p w14:paraId="1850AE64"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Konstrukcja deskowania powinna spełniać następujące warunki:</w:t>
      </w:r>
    </w:p>
    <w:p w14:paraId="6A3EEFEB"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zapewniać odpowiednią sztywność i niezmienność kształtu konstrukcji,</w:t>
      </w:r>
    </w:p>
    <w:p w14:paraId="0B86F00D"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zapewniać jednorodną powierzchnię betonu,</w:t>
      </w:r>
    </w:p>
    <w:p w14:paraId="52B3E8DB"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zapewniać odpowiednią szczelność,</w:t>
      </w:r>
    </w:p>
    <w:p w14:paraId="5AF8F3FF"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zapewniać łatwy ich montaż i demontaż oraz wielokrotność użycia,</w:t>
      </w:r>
    </w:p>
    <w:p w14:paraId="1BB560B2"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wykazywać odporność na deformację pod wpływem warunków atmosferycznych.</w:t>
      </w:r>
    </w:p>
    <w:p w14:paraId="184B4516"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 xml:space="preserve">Deskowania zaleca się wykonywać ze sklejki. W uzasadnionych przypadkach na część </w:t>
      </w:r>
      <w:proofErr w:type="spellStart"/>
      <w:r>
        <w:rPr>
          <w:rFonts w:ascii="Arial" w:hAnsi="Arial" w:cs="Arial"/>
          <w:color w:val="000000"/>
          <w:sz w:val="18"/>
          <w:szCs w:val="18"/>
          <w:lang w:val="x-none"/>
        </w:rPr>
        <w:t>deskowań</w:t>
      </w:r>
      <w:proofErr w:type="spellEnd"/>
      <w:r>
        <w:rPr>
          <w:rFonts w:ascii="Arial" w:hAnsi="Arial" w:cs="Arial"/>
          <w:color w:val="000000"/>
          <w:sz w:val="18"/>
          <w:szCs w:val="18"/>
          <w:lang w:val="x-none"/>
        </w:rPr>
        <w:t xml:space="preserve"> można użyć desek z drzew iglastych III lub IV klasy. Minimalna grubość desek wynosi 32 mm.</w:t>
      </w:r>
    </w:p>
    <w:p w14:paraId="1AA62E38"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 xml:space="preserve">Deski powinny być jednostronnie strugane i przygotowane do łączenia na wpust i pióro. Styki, gdzie nie można zastosować połączenia na pióro i wpust, należy uszczelnić taśmami z tworzyw sztucznych albo pianką. Należy zwrócić szczególną uwagę na uszczelnienie styków ścian z dnem deskowania oraz styków </w:t>
      </w:r>
      <w:proofErr w:type="spellStart"/>
      <w:r>
        <w:rPr>
          <w:rFonts w:ascii="Arial" w:hAnsi="Arial" w:cs="Arial"/>
          <w:color w:val="000000"/>
          <w:sz w:val="18"/>
          <w:szCs w:val="18"/>
          <w:lang w:val="x-none"/>
        </w:rPr>
        <w:t>deskowań</w:t>
      </w:r>
      <w:proofErr w:type="spellEnd"/>
      <w:r>
        <w:rPr>
          <w:rFonts w:ascii="Arial" w:hAnsi="Arial" w:cs="Arial"/>
          <w:color w:val="000000"/>
          <w:sz w:val="18"/>
          <w:szCs w:val="18"/>
          <w:lang w:val="x-none"/>
        </w:rPr>
        <w:t xml:space="preserve"> belek i poprzecznic.</w:t>
      </w:r>
    </w:p>
    <w:p w14:paraId="7447C9EC"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roofErr w:type="spellStart"/>
      <w:r>
        <w:rPr>
          <w:rFonts w:ascii="Arial" w:hAnsi="Arial" w:cs="Arial"/>
          <w:color w:val="000000"/>
          <w:sz w:val="18"/>
          <w:szCs w:val="18"/>
          <w:lang w:val="x-none"/>
        </w:rPr>
        <w:t>Sfazowania</w:t>
      </w:r>
      <w:proofErr w:type="spellEnd"/>
      <w:r>
        <w:rPr>
          <w:rFonts w:ascii="Arial" w:hAnsi="Arial" w:cs="Arial"/>
          <w:color w:val="000000"/>
          <w:sz w:val="18"/>
          <w:szCs w:val="18"/>
          <w:lang w:val="x-none"/>
        </w:rPr>
        <w:t xml:space="preserve"> należy wykonywać zgodnie z dokumentacją projektową.</w:t>
      </w:r>
    </w:p>
    <w:p w14:paraId="011A49B1"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Belki gzymsowe oraz gzymsy wykonywane razem z pokrywami okapowymi muszą być wykonywane w deskowaniu z zastosowaniem wykładzin.</w:t>
      </w:r>
    </w:p>
    <w:p w14:paraId="6889AE97"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Otwory w konstrukcji i osadzanie elementów typu odcinki rur, łączniki należy wykonać wg wymagań dokumentacji projektowej.</w:t>
      </w:r>
    </w:p>
    <w:p w14:paraId="04FBC5E7"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p>
    <w:p w14:paraId="49E3F533" w14:textId="77777777" w:rsidR="000A3B2B" w:rsidRDefault="000A3B2B" w:rsidP="009E5295">
      <w:pPr>
        <w:autoSpaceDE w:val="0"/>
        <w:autoSpaceDN w:val="0"/>
        <w:adjustRightInd w:val="0"/>
        <w:spacing w:before="225" w:after="12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6.</w:t>
      </w:r>
      <w:r>
        <w:rPr>
          <w:rFonts w:ascii="Arial" w:hAnsi="Arial" w:cs="Arial"/>
          <w:b/>
          <w:bCs/>
          <w:color w:val="000000"/>
          <w:sz w:val="18"/>
          <w:szCs w:val="18"/>
          <w:lang w:val="x-none"/>
        </w:rPr>
        <w:tab/>
        <w:t>KONTROLA JAKOŚCI ROBÓT</w:t>
      </w:r>
    </w:p>
    <w:p w14:paraId="49428DE7"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6.1.</w:t>
      </w:r>
      <w:r>
        <w:rPr>
          <w:rFonts w:ascii="Arial" w:hAnsi="Arial" w:cs="Arial"/>
          <w:b/>
          <w:bCs/>
          <w:color w:val="000000"/>
          <w:sz w:val="18"/>
          <w:szCs w:val="18"/>
          <w:lang w:val="x-none"/>
        </w:rPr>
        <w:tab/>
        <w:t>Ogólne zasady kontroli jakości robót podano w ST „Wymagania ogólne” Kod CPV 45000000-7, pkt 6</w:t>
      </w:r>
    </w:p>
    <w:p w14:paraId="194AB1BC"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p>
    <w:p w14:paraId="61913277"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6.2.</w:t>
      </w:r>
      <w:r>
        <w:rPr>
          <w:rFonts w:ascii="Arial" w:hAnsi="Arial" w:cs="Arial"/>
          <w:b/>
          <w:bCs/>
          <w:color w:val="000000"/>
          <w:sz w:val="18"/>
          <w:szCs w:val="18"/>
          <w:lang w:val="x-none"/>
        </w:rPr>
        <w:tab/>
        <w:t>Badania kontrolne betonu</w:t>
      </w:r>
    </w:p>
    <w:p w14:paraId="1A49EFC6"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lang w:val="x-none"/>
        </w:rPr>
        <w:t>•</w:t>
      </w:r>
      <w:r>
        <w:rPr>
          <w:rFonts w:ascii="Arial" w:hAnsi="Arial" w:cs="Arial"/>
          <w:color w:val="000000"/>
          <w:sz w:val="18"/>
          <w:szCs w:val="18"/>
          <w:lang w:val="x-none"/>
        </w:rPr>
        <w:tab/>
        <w:t>Dla określenia wytrzymałości betonu wbudowanego w konstrukcję należy w trakcie betonowania pobierać próbki kontrolne w postaci kostek sześciennych o boku 15 cm w liczbie nie mniejszej niż:</w:t>
      </w:r>
    </w:p>
    <w:p w14:paraId="21805207" w14:textId="77777777" w:rsidR="000A3B2B" w:rsidRDefault="000A3B2B" w:rsidP="009E5295">
      <w:pPr>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1 próbka na 100 </w:t>
      </w:r>
      <w:proofErr w:type="spellStart"/>
      <w:r>
        <w:rPr>
          <w:rFonts w:ascii="Arial" w:hAnsi="Arial" w:cs="Arial"/>
          <w:color w:val="000000"/>
          <w:sz w:val="18"/>
          <w:szCs w:val="18"/>
          <w:lang w:val="x-none"/>
        </w:rPr>
        <w:t>zarobów</w:t>
      </w:r>
      <w:proofErr w:type="spellEnd"/>
      <w:r>
        <w:rPr>
          <w:rFonts w:ascii="Arial" w:hAnsi="Arial" w:cs="Arial"/>
          <w:color w:val="000000"/>
          <w:sz w:val="18"/>
          <w:szCs w:val="18"/>
          <w:lang w:val="x-none"/>
        </w:rPr>
        <w:t>,</w:t>
      </w:r>
    </w:p>
    <w:p w14:paraId="52D79AE0" w14:textId="77777777" w:rsidR="000A3B2B" w:rsidRDefault="000A3B2B" w:rsidP="009E5295">
      <w:pPr>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1 próbka na 50 m</w:t>
      </w:r>
      <w:r>
        <w:rPr>
          <w:rFonts w:ascii="Arial" w:hAnsi="Arial" w:cs="Arial"/>
          <w:color w:val="000000"/>
          <w:position w:val="4"/>
          <w:sz w:val="8"/>
          <w:szCs w:val="8"/>
          <w:lang w:val="x-none"/>
        </w:rPr>
        <w:t>3</w:t>
      </w:r>
      <w:r>
        <w:rPr>
          <w:rFonts w:ascii="Arial" w:hAnsi="Arial" w:cs="Arial"/>
          <w:color w:val="000000"/>
          <w:sz w:val="18"/>
          <w:szCs w:val="18"/>
          <w:lang w:val="x-none"/>
        </w:rPr>
        <w:t xml:space="preserve"> betonu,</w:t>
      </w:r>
    </w:p>
    <w:p w14:paraId="345D7664" w14:textId="77777777" w:rsidR="000A3B2B" w:rsidRDefault="000A3B2B" w:rsidP="009E5295">
      <w:pPr>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1 próbka na zmianę roboczą,</w:t>
      </w:r>
    </w:p>
    <w:p w14:paraId="0093AD34" w14:textId="77777777" w:rsidR="000A3B2B" w:rsidRDefault="000A3B2B" w:rsidP="009E5295">
      <w:pPr>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3 próbki na partię betonu.</w:t>
      </w:r>
    </w:p>
    <w:p w14:paraId="3C685352" w14:textId="77777777" w:rsidR="000A3B2B" w:rsidRDefault="000A3B2B" w:rsidP="009E5295">
      <w:pPr>
        <w:autoSpaceDE w:val="0"/>
        <w:autoSpaceDN w:val="0"/>
        <w:adjustRightInd w:val="0"/>
        <w:spacing w:after="30" w:line="240" w:lineRule="auto"/>
        <w:ind w:left="285" w:firstLine="285"/>
        <w:jc w:val="both"/>
        <w:rPr>
          <w:rFonts w:ascii="Arial" w:hAnsi="Arial" w:cs="Arial"/>
          <w:color w:val="000000"/>
          <w:sz w:val="18"/>
          <w:szCs w:val="18"/>
          <w:lang w:val="x-none"/>
        </w:rPr>
      </w:pPr>
      <w:r>
        <w:rPr>
          <w:rFonts w:ascii="Arial" w:hAnsi="Arial" w:cs="Arial"/>
          <w:color w:val="000000"/>
          <w:sz w:val="18"/>
          <w:szCs w:val="18"/>
          <w:lang w:val="x-none"/>
        </w:rPr>
        <w:t>Próbki pobiera się losowo po jednej, równomiernie w okresie betonowania, a następnie przechowuje się, przygotowuje i bada w okresie 28 dni zgodnie z normą PN-EN 206+A1:2016-12</w:t>
      </w:r>
    </w:p>
    <w:p w14:paraId="095149CF" w14:textId="77777777" w:rsidR="000A3B2B" w:rsidRDefault="000A3B2B" w:rsidP="009E5295">
      <w:pPr>
        <w:autoSpaceDE w:val="0"/>
        <w:autoSpaceDN w:val="0"/>
        <w:adjustRightInd w:val="0"/>
        <w:spacing w:after="30" w:line="240" w:lineRule="auto"/>
        <w:ind w:left="285" w:firstLine="285"/>
        <w:jc w:val="both"/>
        <w:rPr>
          <w:rFonts w:ascii="Arial" w:hAnsi="Arial" w:cs="Arial"/>
          <w:color w:val="000000"/>
          <w:sz w:val="18"/>
          <w:szCs w:val="18"/>
          <w:lang w:val="x-none"/>
        </w:rPr>
      </w:pPr>
      <w:r>
        <w:rPr>
          <w:rFonts w:ascii="Arial" w:hAnsi="Arial" w:cs="Arial"/>
          <w:color w:val="000000"/>
          <w:sz w:val="18"/>
          <w:szCs w:val="18"/>
          <w:lang w:val="x-none"/>
        </w:rPr>
        <w:t>Jeżeli próbki pobrane i badane jak wyżej wykażą wytrzymałość niższą od przewidzianej dla danej klasy betonu, należy przeprowadzić badania próbek wyciętych z konstrukcji.</w:t>
      </w:r>
    </w:p>
    <w:p w14:paraId="0E89410D" w14:textId="77777777" w:rsidR="000A3B2B" w:rsidRDefault="000A3B2B" w:rsidP="009E5295">
      <w:pPr>
        <w:autoSpaceDE w:val="0"/>
        <w:autoSpaceDN w:val="0"/>
        <w:adjustRightInd w:val="0"/>
        <w:spacing w:after="30" w:line="240" w:lineRule="auto"/>
        <w:ind w:left="285" w:firstLine="285"/>
        <w:jc w:val="both"/>
        <w:rPr>
          <w:rFonts w:ascii="Arial" w:hAnsi="Arial" w:cs="Arial"/>
          <w:color w:val="000000"/>
          <w:sz w:val="18"/>
          <w:szCs w:val="18"/>
          <w:lang w:val="x-none"/>
        </w:rPr>
      </w:pPr>
      <w:r>
        <w:rPr>
          <w:rFonts w:ascii="Arial" w:hAnsi="Arial" w:cs="Arial"/>
          <w:color w:val="000000"/>
          <w:sz w:val="18"/>
          <w:szCs w:val="18"/>
          <w:lang w:val="x-none"/>
        </w:rPr>
        <w:t>Jeżeli wyniki tych badań będą pozytywne, to beton należy uznać za odpowiadający wymaganej klasie betonu.</w:t>
      </w:r>
    </w:p>
    <w:p w14:paraId="429141B3"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Klasyfikacja betonu ze względu na gęstość.</w:t>
      </w:r>
    </w:p>
    <w:p w14:paraId="59924FC9" w14:textId="77777777" w:rsidR="000A3B2B" w:rsidRDefault="000A3B2B" w:rsidP="009E5295">
      <w:pPr>
        <w:autoSpaceDE w:val="0"/>
        <w:autoSpaceDN w:val="0"/>
        <w:adjustRightInd w:val="0"/>
        <w:spacing w:after="30" w:line="240" w:lineRule="auto"/>
        <w:ind w:left="285" w:firstLine="285"/>
        <w:jc w:val="both"/>
        <w:rPr>
          <w:rFonts w:ascii="Arial" w:hAnsi="Arial" w:cs="Arial"/>
          <w:color w:val="000000"/>
          <w:sz w:val="18"/>
          <w:szCs w:val="18"/>
          <w:lang w:val="x-none"/>
        </w:rPr>
      </w:pPr>
      <w:r>
        <w:rPr>
          <w:rFonts w:ascii="Arial" w:hAnsi="Arial" w:cs="Arial"/>
          <w:color w:val="000000"/>
          <w:sz w:val="18"/>
          <w:szCs w:val="18"/>
          <w:lang w:val="x-none"/>
        </w:rPr>
        <w:t xml:space="preserve">Za względu na gęstość, możemy sklasyfikować beton na następujące rodzaje, które opisują </w:t>
      </w:r>
      <w:r>
        <w:rPr>
          <w:rFonts w:ascii="Arial" w:hAnsi="Arial" w:cs="Arial"/>
          <w:b/>
          <w:bCs/>
          <w:color w:val="000000"/>
          <w:sz w:val="18"/>
          <w:szCs w:val="18"/>
          <w:lang w:val="x-none"/>
        </w:rPr>
        <w:t>klasy betonu</w:t>
      </w:r>
      <w:r>
        <w:rPr>
          <w:rFonts w:ascii="Arial" w:hAnsi="Arial" w:cs="Arial"/>
          <w:color w:val="000000"/>
          <w:sz w:val="18"/>
          <w:szCs w:val="18"/>
          <w:lang w:val="x-none"/>
        </w:rPr>
        <w:t>:</w:t>
      </w:r>
    </w:p>
    <w:p w14:paraId="5D0BB11A" w14:textId="77777777" w:rsidR="000A3B2B" w:rsidRDefault="000A3B2B" w:rsidP="009E5295">
      <w:pPr>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r>
      <w:r>
        <w:rPr>
          <w:rFonts w:ascii="Arial" w:hAnsi="Arial" w:cs="Arial"/>
          <w:b/>
          <w:bCs/>
          <w:color w:val="000000"/>
          <w:sz w:val="18"/>
          <w:szCs w:val="18"/>
          <w:lang w:val="x-none"/>
        </w:rPr>
        <w:t xml:space="preserve">betony zwykłe </w:t>
      </w:r>
      <w:r>
        <w:rPr>
          <w:rFonts w:ascii="Arial" w:hAnsi="Arial" w:cs="Arial"/>
          <w:color w:val="000000"/>
          <w:sz w:val="18"/>
          <w:szCs w:val="18"/>
          <w:lang w:val="x-none"/>
        </w:rPr>
        <w:t>– są to betony, które w stanie suchym mają gęstość od 2000 kg/m</w:t>
      </w:r>
      <w:r>
        <w:rPr>
          <w:rFonts w:ascii="Arial" w:hAnsi="Arial" w:cs="Arial"/>
          <w:color w:val="000000"/>
          <w:position w:val="4"/>
          <w:sz w:val="8"/>
          <w:szCs w:val="8"/>
          <w:lang w:val="x-none"/>
        </w:rPr>
        <w:t>3</w:t>
      </w:r>
      <w:r>
        <w:rPr>
          <w:rFonts w:ascii="Arial" w:hAnsi="Arial" w:cs="Arial"/>
          <w:color w:val="000000"/>
          <w:sz w:val="18"/>
          <w:szCs w:val="18"/>
          <w:lang w:val="x-none"/>
        </w:rPr>
        <w:t xml:space="preserve"> do 2600 kg/m</w:t>
      </w:r>
      <w:r>
        <w:rPr>
          <w:rFonts w:ascii="Arial" w:hAnsi="Arial" w:cs="Arial"/>
          <w:color w:val="000000"/>
          <w:position w:val="4"/>
          <w:sz w:val="8"/>
          <w:szCs w:val="8"/>
          <w:lang w:val="x-none"/>
        </w:rPr>
        <w:t>3</w:t>
      </w:r>
      <w:r>
        <w:rPr>
          <w:rFonts w:ascii="Arial" w:hAnsi="Arial" w:cs="Arial"/>
          <w:color w:val="000000"/>
          <w:sz w:val="18"/>
          <w:szCs w:val="18"/>
          <w:lang w:val="x-none"/>
        </w:rPr>
        <w:t>, są zrobione z całkowicie naturalnych kruszyw, takich jak żwir, albo łamanych, np. granit. Używane są w strukturach betonowych i żelbetonowych,</w:t>
      </w:r>
    </w:p>
    <w:p w14:paraId="24961F8B" w14:textId="77777777" w:rsidR="000A3B2B" w:rsidRDefault="000A3B2B" w:rsidP="009E5295">
      <w:pPr>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r>
      <w:r>
        <w:rPr>
          <w:rFonts w:ascii="Arial" w:hAnsi="Arial" w:cs="Arial"/>
          <w:b/>
          <w:bCs/>
          <w:color w:val="000000"/>
          <w:sz w:val="18"/>
          <w:szCs w:val="18"/>
          <w:lang w:val="x-none"/>
        </w:rPr>
        <w:t>betony lekkie</w:t>
      </w:r>
      <w:r>
        <w:rPr>
          <w:rFonts w:ascii="Arial" w:hAnsi="Arial" w:cs="Arial"/>
          <w:color w:val="000000"/>
          <w:sz w:val="18"/>
          <w:szCs w:val="18"/>
          <w:lang w:val="x-none"/>
        </w:rPr>
        <w:t xml:space="preserve"> (np. beton komórkowy, czyli gazobeton) – są to betony, które w stanie suchym mają gęstość od 800 kg/m</w:t>
      </w:r>
      <w:r>
        <w:rPr>
          <w:rFonts w:ascii="Arial" w:hAnsi="Arial" w:cs="Arial"/>
          <w:color w:val="000000"/>
          <w:position w:val="4"/>
          <w:sz w:val="8"/>
          <w:szCs w:val="8"/>
          <w:lang w:val="x-none"/>
        </w:rPr>
        <w:t>3</w:t>
      </w:r>
      <w:r>
        <w:rPr>
          <w:rFonts w:ascii="Arial" w:hAnsi="Arial" w:cs="Arial"/>
          <w:color w:val="000000"/>
          <w:sz w:val="18"/>
          <w:szCs w:val="18"/>
          <w:lang w:val="x-none"/>
        </w:rPr>
        <w:t xml:space="preserve"> do 2000 kg/m</w:t>
      </w:r>
      <w:r>
        <w:rPr>
          <w:rFonts w:ascii="Arial" w:hAnsi="Arial" w:cs="Arial"/>
          <w:color w:val="000000"/>
          <w:position w:val="4"/>
          <w:sz w:val="8"/>
          <w:szCs w:val="8"/>
          <w:lang w:val="x-none"/>
        </w:rPr>
        <w:t>3</w:t>
      </w:r>
      <w:r>
        <w:rPr>
          <w:rFonts w:ascii="Arial" w:hAnsi="Arial" w:cs="Arial"/>
          <w:color w:val="000000"/>
          <w:sz w:val="18"/>
          <w:szCs w:val="18"/>
          <w:lang w:val="x-none"/>
        </w:rPr>
        <w:t>. Tworzone są głównie z kruszyw lekkich (np. pumeks, tuf wulkaniczny, wapienie, żużel wielkopiecowy spieniony, agloporyt) i są przeznaczone do wykonywania elementów drobnowymiarowych (bloczki, nadproża) i średniowymiarowych (płyty stropowe),</w:t>
      </w:r>
    </w:p>
    <w:p w14:paraId="2E44DCF5" w14:textId="77777777" w:rsidR="000A3B2B" w:rsidRDefault="000A3B2B" w:rsidP="009E5295">
      <w:pPr>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r>
      <w:r>
        <w:rPr>
          <w:rFonts w:ascii="Arial" w:hAnsi="Arial" w:cs="Arial"/>
          <w:b/>
          <w:bCs/>
          <w:color w:val="000000"/>
          <w:sz w:val="18"/>
          <w:szCs w:val="18"/>
          <w:lang w:val="x-none"/>
        </w:rPr>
        <w:t>betony ciężkie</w:t>
      </w:r>
      <w:r>
        <w:rPr>
          <w:rFonts w:ascii="Arial" w:hAnsi="Arial" w:cs="Arial"/>
          <w:color w:val="000000"/>
          <w:sz w:val="18"/>
          <w:szCs w:val="18"/>
          <w:lang w:val="x-none"/>
        </w:rPr>
        <w:t xml:space="preserve"> – są to betony, które w stanie suchym mają gęstość większą niż 2600 kg/m</w:t>
      </w:r>
      <w:r>
        <w:rPr>
          <w:rFonts w:ascii="Arial" w:hAnsi="Arial" w:cs="Arial"/>
          <w:color w:val="000000"/>
          <w:position w:val="4"/>
          <w:sz w:val="8"/>
          <w:szCs w:val="8"/>
          <w:lang w:val="x-none"/>
        </w:rPr>
        <w:t>3</w:t>
      </w:r>
      <w:r>
        <w:rPr>
          <w:rFonts w:ascii="Arial" w:hAnsi="Arial" w:cs="Arial"/>
          <w:color w:val="000000"/>
          <w:sz w:val="18"/>
          <w:szCs w:val="18"/>
          <w:lang w:val="x-none"/>
        </w:rPr>
        <w:t>. Są wykonywane z bardzo ciężkich kruszyw specjalnych (np. manganowe, czy barytowe). Zatrzymują część promieniowania jonizującego, dzięki czemu znalazły zastosowanie w szpitalach, elektrowniach atomowych, czy zbiornikach na odpady radioaktywne.</w:t>
      </w:r>
    </w:p>
    <w:p w14:paraId="22DD6518" w14:textId="77777777" w:rsidR="000A3B2B" w:rsidRDefault="000A3B2B" w:rsidP="009E5295">
      <w:pPr>
        <w:autoSpaceDE w:val="0"/>
        <w:autoSpaceDN w:val="0"/>
        <w:adjustRightInd w:val="0"/>
        <w:spacing w:after="30" w:line="240" w:lineRule="auto"/>
        <w:ind w:left="285" w:firstLine="285"/>
        <w:jc w:val="both"/>
        <w:rPr>
          <w:rFonts w:ascii="Arial" w:hAnsi="Arial" w:cs="Arial"/>
          <w:color w:val="000000"/>
          <w:sz w:val="18"/>
          <w:szCs w:val="18"/>
          <w:lang w:val="x-none"/>
        </w:rPr>
      </w:pPr>
      <w:r>
        <w:rPr>
          <w:rFonts w:ascii="Arial" w:hAnsi="Arial" w:cs="Arial"/>
          <w:color w:val="000000"/>
          <w:sz w:val="18"/>
          <w:szCs w:val="18"/>
          <w:lang w:val="x-none"/>
        </w:rPr>
        <w:t>Wyróżniamy następujące klasy betonu zwykłego i ciężkiego:</w:t>
      </w:r>
    </w:p>
    <w:p w14:paraId="227C0524" w14:textId="77777777" w:rsidR="000A3B2B" w:rsidRDefault="000A3B2B" w:rsidP="009E5295">
      <w:pPr>
        <w:autoSpaceDE w:val="0"/>
        <w:autoSpaceDN w:val="0"/>
        <w:adjustRightInd w:val="0"/>
        <w:spacing w:after="30" w:line="240" w:lineRule="auto"/>
        <w:ind w:left="285" w:firstLine="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C8/10, zbliżona do dawnej klasy B10</w:t>
      </w:r>
    </w:p>
    <w:p w14:paraId="0ADDEB22" w14:textId="77777777" w:rsidR="000A3B2B" w:rsidRDefault="000A3B2B" w:rsidP="009E5295">
      <w:pPr>
        <w:autoSpaceDE w:val="0"/>
        <w:autoSpaceDN w:val="0"/>
        <w:adjustRightInd w:val="0"/>
        <w:spacing w:after="30" w:line="240" w:lineRule="auto"/>
        <w:ind w:left="285" w:firstLine="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C12/15, zbliżona do dawnej klasy B15</w:t>
      </w:r>
    </w:p>
    <w:p w14:paraId="7E921B8A" w14:textId="77777777" w:rsidR="000A3B2B" w:rsidRDefault="000A3B2B" w:rsidP="009E5295">
      <w:pPr>
        <w:autoSpaceDE w:val="0"/>
        <w:autoSpaceDN w:val="0"/>
        <w:adjustRightInd w:val="0"/>
        <w:spacing w:after="30" w:line="240" w:lineRule="auto"/>
        <w:ind w:left="285" w:firstLine="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C16/20, zbliżona do dawnej klasy B20</w:t>
      </w:r>
    </w:p>
    <w:p w14:paraId="46377312" w14:textId="77777777" w:rsidR="000A3B2B" w:rsidRDefault="000A3B2B" w:rsidP="009E5295">
      <w:pPr>
        <w:autoSpaceDE w:val="0"/>
        <w:autoSpaceDN w:val="0"/>
        <w:adjustRightInd w:val="0"/>
        <w:spacing w:after="30" w:line="240" w:lineRule="auto"/>
        <w:ind w:left="285" w:firstLine="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C20/25, zbliżona do dawnej klasy B25</w:t>
      </w:r>
    </w:p>
    <w:p w14:paraId="58464FC8" w14:textId="77777777" w:rsidR="000A3B2B" w:rsidRDefault="000A3B2B" w:rsidP="009E5295">
      <w:pPr>
        <w:autoSpaceDE w:val="0"/>
        <w:autoSpaceDN w:val="0"/>
        <w:adjustRightInd w:val="0"/>
        <w:spacing w:after="30" w:line="240" w:lineRule="auto"/>
        <w:ind w:left="285" w:firstLine="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C25/30, zbliżona do dawnej klasy B30</w:t>
      </w:r>
    </w:p>
    <w:p w14:paraId="1C6F881F" w14:textId="77777777" w:rsidR="000A3B2B" w:rsidRDefault="000A3B2B" w:rsidP="009E5295">
      <w:pPr>
        <w:autoSpaceDE w:val="0"/>
        <w:autoSpaceDN w:val="0"/>
        <w:adjustRightInd w:val="0"/>
        <w:spacing w:after="30" w:line="240" w:lineRule="auto"/>
        <w:ind w:left="285" w:firstLine="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C30/37, zbliżona do dawnej klasy B37 </w:t>
      </w:r>
    </w:p>
    <w:p w14:paraId="7DC5C647" w14:textId="77777777" w:rsidR="000A3B2B" w:rsidRDefault="000A3B2B" w:rsidP="009E5295">
      <w:pPr>
        <w:autoSpaceDE w:val="0"/>
        <w:autoSpaceDN w:val="0"/>
        <w:adjustRightInd w:val="0"/>
        <w:spacing w:after="30" w:line="240" w:lineRule="auto"/>
        <w:ind w:left="285" w:firstLine="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C35/45, zbliżona do dawnej klasy B45</w:t>
      </w:r>
    </w:p>
    <w:p w14:paraId="27549AC4" w14:textId="77777777" w:rsidR="000A3B2B" w:rsidRDefault="000A3B2B" w:rsidP="009E5295">
      <w:pPr>
        <w:autoSpaceDE w:val="0"/>
        <w:autoSpaceDN w:val="0"/>
        <w:adjustRightInd w:val="0"/>
        <w:spacing w:after="30" w:line="240" w:lineRule="auto"/>
        <w:ind w:left="285" w:firstLine="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C40/50, zbliżona do dawnej klasy B50</w:t>
      </w:r>
    </w:p>
    <w:p w14:paraId="73C2062D" w14:textId="77777777" w:rsidR="000A3B2B" w:rsidRDefault="000A3B2B" w:rsidP="009E5295">
      <w:pPr>
        <w:autoSpaceDE w:val="0"/>
        <w:autoSpaceDN w:val="0"/>
        <w:adjustRightInd w:val="0"/>
        <w:spacing w:after="30" w:line="240" w:lineRule="auto"/>
        <w:ind w:left="285" w:firstLine="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C45/55, zbliżona do dawnej klasy B55</w:t>
      </w:r>
    </w:p>
    <w:p w14:paraId="7573D64B" w14:textId="77777777" w:rsidR="000A3B2B" w:rsidRDefault="000A3B2B" w:rsidP="009E5295">
      <w:pPr>
        <w:autoSpaceDE w:val="0"/>
        <w:autoSpaceDN w:val="0"/>
        <w:adjustRightInd w:val="0"/>
        <w:spacing w:after="30" w:line="240" w:lineRule="auto"/>
        <w:ind w:left="285" w:firstLine="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C50/60, zbliżona do dawnej klasy B60</w:t>
      </w:r>
    </w:p>
    <w:p w14:paraId="77F0F573" w14:textId="77777777" w:rsidR="000A3B2B" w:rsidRDefault="000A3B2B" w:rsidP="009E5295">
      <w:pPr>
        <w:autoSpaceDE w:val="0"/>
        <w:autoSpaceDN w:val="0"/>
        <w:adjustRightInd w:val="0"/>
        <w:spacing w:after="30" w:line="240" w:lineRule="auto"/>
        <w:ind w:left="285" w:firstLine="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C55/67</w:t>
      </w:r>
    </w:p>
    <w:p w14:paraId="720546DE" w14:textId="77777777" w:rsidR="000A3B2B" w:rsidRDefault="000A3B2B" w:rsidP="009E5295">
      <w:pPr>
        <w:autoSpaceDE w:val="0"/>
        <w:autoSpaceDN w:val="0"/>
        <w:adjustRightInd w:val="0"/>
        <w:spacing w:after="30" w:line="240" w:lineRule="auto"/>
        <w:ind w:left="285" w:firstLine="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C60/75</w:t>
      </w:r>
    </w:p>
    <w:p w14:paraId="4F7CA9DC" w14:textId="77777777" w:rsidR="000A3B2B" w:rsidRDefault="000A3B2B" w:rsidP="009E5295">
      <w:pPr>
        <w:autoSpaceDE w:val="0"/>
        <w:autoSpaceDN w:val="0"/>
        <w:adjustRightInd w:val="0"/>
        <w:spacing w:after="30" w:line="240" w:lineRule="auto"/>
        <w:ind w:left="285" w:firstLine="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C70/85</w:t>
      </w:r>
    </w:p>
    <w:p w14:paraId="7C8D3675" w14:textId="77777777" w:rsidR="000A3B2B" w:rsidRDefault="000A3B2B" w:rsidP="009E5295">
      <w:pPr>
        <w:autoSpaceDE w:val="0"/>
        <w:autoSpaceDN w:val="0"/>
        <w:adjustRightInd w:val="0"/>
        <w:spacing w:after="30" w:line="240" w:lineRule="auto"/>
        <w:ind w:left="285" w:firstLine="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C80/95</w:t>
      </w:r>
    </w:p>
    <w:p w14:paraId="506F2907" w14:textId="77777777" w:rsidR="000A3B2B" w:rsidRDefault="000A3B2B" w:rsidP="009E5295">
      <w:pPr>
        <w:autoSpaceDE w:val="0"/>
        <w:autoSpaceDN w:val="0"/>
        <w:adjustRightInd w:val="0"/>
        <w:spacing w:after="30" w:line="240" w:lineRule="auto"/>
        <w:ind w:left="285" w:firstLine="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C90/105</w:t>
      </w:r>
    </w:p>
    <w:p w14:paraId="5385DB91" w14:textId="77777777" w:rsidR="000A3B2B" w:rsidRDefault="000A3B2B" w:rsidP="009E5295">
      <w:pPr>
        <w:autoSpaceDE w:val="0"/>
        <w:autoSpaceDN w:val="0"/>
        <w:adjustRightInd w:val="0"/>
        <w:spacing w:after="30" w:line="240" w:lineRule="auto"/>
        <w:ind w:left="285" w:firstLine="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C100/115</w:t>
      </w:r>
    </w:p>
    <w:p w14:paraId="51452457" w14:textId="77777777" w:rsidR="000A3B2B" w:rsidRDefault="000A3B2B" w:rsidP="009E5295">
      <w:pPr>
        <w:autoSpaceDE w:val="0"/>
        <w:autoSpaceDN w:val="0"/>
        <w:adjustRightInd w:val="0"/>
        <w:spacing w:after="30" w:line="240" w:lineRule="auto"/>
        <w:ind w:left="285" w:firstLine="285"/>
        <w:jc w:val="both"/>
        <w:rPr>
          <w:rFonts w:ascii="Arial" w:hAnsi="Arial" w:cs="Arial"/>
          <w:b/>
          <w:bCs/>
          <w:color w:val="000000"/>
          <w:sz w:val="18"/>
          <w:szCs w:val="18"/>
          <w:lang w:val="x-none"/>
        </w:rPr>
      </w:pPr>
      <w:r>
        <w:rPr>
          <w:rFonts w:ascii="Arial" w:hAnsi="Arial" w:cs="Arial"/>
          <w:b/>
          <w:bCs/>
          <w:color w:val="000000"/>
          <w:sz w:val="18"/>
          <w:szCs w:val="18"/>
          <w:lang w:val="x-none"/>
        </w:rPr>
        <w:t>W przypadku niespełnienia warunków wytrzymałości betonu na ściskanie po 28 dniach dojrzewania, dopuszcza się w uzasadnionych przypadkach, za zgodą Inspektora nadzoru, spełnienie tego warunku w okresie późniejszym, lecz nie dłuższym niż 90 dni.</w:t>
      </w:r>
    </w:p>
    <w:p w14:paraId="648FEF33" w14:textId="77777777" w:rsidR="000A3B2B" w:rsidRDefault="000A3B2B" w:rsidP="009E5295">
      <w:pPr>
        <w:autoSpaceDE w:val="0"/>
        <w:autoSpaceDN w:val="0"/>
        <w:adjustRightInd w:val="0"/>
        <w:spacing w:after="30" w:line="240" w:lineRule="auto"/>
        <w:ind w:left="285" w:firstLine="285"/>
        <w:jc w:val="both"/>
        <w:rPr>
          <w:rFonts w:ascii="Arial" w:hAnsi="Arial" w:cs="Arial"/>
          <w:color w:val="000000"/>
          <w:sz w:val="18"/>
          <w:szCs w:val="18"/>
          <w:lang w:val="x-none"/>
        </w:rPr>
      </w:pPr>
      <w:r>
        <w:rPr>
          <w:rFonts w:ascii="Arial" w:hAnsi="Arial" w:cs="Arial"/>
          <w:color w:val="000000"/>
          <w:sz w:val="18"/>
          <w:szCs w:val="18"/>
          <w:lang w:val="x-none"/>
        </w:rPr>
        <w:t>Dopuszcza się pobieranie dodatkowych próbek i badanie wytrzymałości betonu na ściskanie w okresie krótszym niż od 28 dni.</w:t>
      </w:r>
    </w:p>
    <w:p w14:paraId="00D87051"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lang w:val="x-none"/>
        </w:rPr>
        <w:t>•</w:t>
      </w:r>
      <w:r>
        <w:rPr>
          <w:rFonts w:ascii="Arial" w:hAnsi="Arial" w:cs="Arial"/>
          <w:color w:val="000000"/>
          <w:sz w:val="18"/>
          <w:szCs w:val="18"/>
          <w:lang w:val="x-none"/>
        </w:rPr>
        <w:tab/>
        <w:t>Dla określenia nasiąkliwości betonu należy pobrać przy stanowisku betonowania co najmniej jeden raz w okresie betonowania obiektu oraz każdorazowo przy zmianie składników betonu, sposobu układania i zagęszczania po 4 próbki każdego rodzaju mieszanki, zgodnie z normą PN-EN 12390-2:2011.</w:t>
      </w:r>
    </w:p>
    <w:p w14:paraId="0A597F6A" w14:textId="77777777" w:rsidR="000A3B2B" w:rsidRDefault="000A3B2B" w:rsidP="009E5295">
      <w:pPr>
        <w:autoSpaceDE w:val="0"/>
        <w:autoSpaceDN w:val="0"/>
        <w:adjustRightInd w:val="0"/>
        <w:spacing w:after="30" w:line="240" w:lineRule="auto"/>
        <w:ind w:left="285" w:firstLine="285"/>
        <w:jc w:val="both"/>
        <w:rPr>
          <w:rFonts w:ascii="Arial" w:hAnsi="Arial" w:cs="Arial"/>
          <w:color w:val="000000"/>
          <w:sz w:val="18"/>
          <w:szCs w:val="18"/>
          <w:lang w:val="x-none"/>
        </w:rPr>
      </w:pPr>
      <w:r>
        <w:rPr>
          <w:rFonts w:ascii="Arial" w:hAnsi="Arial" w:cs="Arial"/>
          <w:color w:val="000000"/>
          <w:sz w:val="18"/>
          <w:szCs w:val="18"/>
          <w:lang w:val="x-none"/>
        </w:rPr>
        <w:t>Próbki trzeba przechowywać w warunkach laboratoryjnych i badać w okresie 28 dni zgodnie z normą PN-EN 12390-2:2011.</w:t>
      </w:r>
    </w:p>
    <w:p w14:paraId="2679AA87"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Nasiąkliwość zaleca się również badać na próbkach wyciętych z konstrukcji.</w:t>
      </w:r>
    </w:p>
    <w:p w14:paraId="248FB1AF"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lang w:val="x-none"/>
        </w:rPr>
        <w:t>•</w:t>
      </w:r>
      <w:r>
        <w:rPr>
          <w:rFonts w:ascii="Arial" w:hAnsi="Arial" w:cs="Arial"/>
          <w:color w:val="000000"/>
          <w:sz w:val="18"/>
          <w:szCs w:val="18"/>
          <w:lang w:val="x-none"/>
        </w:rPr>
        <w:tab/>
        <w:t>Dla określenia mrozoodporności betonu należy pobrać przy stanowisku betonowania co najmniej jeden raz w okresie betonowania obiektu oraz każdorazowo przy zmianie składników i sposobu wykonywania betonu po 12 próbek regularnych o minimalnym wymiarze boku lub średnicy próbki 100 mm. Próbki należy przechowywać w warunkach laboratoryjnych i badać w okresie 90 dni zgodnie z normą PN-B-06265:2004.</w:t>
      </w:r>
    </w:p>
    <w:p w14:paraId="37A03DFC"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Zaleca się badać mrozoodporność na próbkach wyciętych z konstrukcji.</w:t>
      </w:r>
    </w:p>
    <w:p w14:paraId="1976BF9C" w14:textId="77777777" w:rsidR="000A3B2B" w:rsidRDefault="000A3B2B" w:rsidP="009E5295">
      <w:pPr>
        <w:autoSpaceDE w:val="0"/>
        <w:autoSpaceDN w:val="0"/>
        <w:adjustRightInd w:val="0"/>
        <w:spacing w:after="30" w:line="240" w:lineRule="auto"/>
        <w:ind w:left="285" w:firstLine="285"/>
        <w:jc w:val="both"/>
        <w:rPr>
          <w:rFonts w:ascii="Arial" w:hAnsi="Arial" w:cs="Arial"/>
          <w:color w:val="000000"/>
          <w:sz w:val="18"/>
          <w:szCs w:val="18"/>
          <w:lang w:val="x-none"/>
        </w:rPr>
      </w:pPr>
      <w:r>
        <w:rPr>
          <w:rFonts w:ascii="Arial" w:hAnsi="Arial" w:cs="Arial"/>
          <w:color w:val="000000"/>
          <w:sz w:val="18"/>
          <w:szCs w:val="18"/>
          <w:lang w:val="x-none"/>
        </w:rPr>
        <w:t>Przy stosowaniu metody przyśpieszonej wg normy PN-EN 206+A1:2016-12 liczba próbek reprezentujących daną partię betonu może być zmniejszona do 6, a badanie należy przeprowadzić w okresie 28 dni.</w:t>
      </w:r>
    </w:p>
    <w:p w14:paraId="7BA17160"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lang w:val="x-none"/>
        </w:rPr>
        <w:t>•</w:t>
      </w:r>
      <w:r>
        <w:rPr>
          <w:rFonts w:ascii="Arial" w:hAnsi="Arial" w:cs="Arial"/>
          <w:color w:val="000000"/>
          <w:sz w:val="18"/>
          <w:szCs w:val="18"/>
          <w:lang w:val="x-none"/>
        </w:rPr>
        <w:tab/>
        <w:t xml:space="preserve">Wymagany stopień wodoszczelności sprawdza się na próbkach regularnych sześciennych  o wymiarach 150x150x150 mm.   </w:t>
      </w:r>
    </w:p>
    <w:p w14:paraId="7B87686E" w14:textId="77777777" w:rsidR="000A3B2B" w:rsidRDefault="000A3B2B" w:rsidP="009E5295">
      <w:pPr>
        <w:autoSpaceDE w:val="0"/>
        <w:autoSpaceDN w:val="0"/>
        <w:adjustRightInd w:val="0"/>
        <w:spacing w:after="30" w:line="240" w:lineRule="auto"/>
        <w:ind w:left="285" w:firstLine="285"/>
        <w:jc w:val="both"/>
        <w:rPr>
          <w:rFonts w:ascii="Arial" w:hAnsi="Arial" w:cs="Arial"/>
          <w:color w:val="000000"/>
          <w:sz w:val="18"/>
          <w:szCs w:val="18"/>
          <w:lang w:val="x-none"/>
        </w:rPr>
      </w:pPr>
      <w:r>
        <w:rPr>
          <w:rFonts w:ascii="Arial" w:hAnsi="Arial" w:cs="Arial"/>
          <w:color w:val="000000"/>
          <w:sz w:val="18"/>
          <w:szCs w:val="18"/>
          <w:lang w:val="x-none"/>
        </w:rPr>
        <w:t>Próbki przechowywać należy w warunkach laboratoryjnych i badać w okresie 28 dni wg normy PN-EN 12390-8:2011.</w:t>
      </w:r>
    </w:p>
    <w:p w14:paraId="14BE4E35"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Dopuszcza się badanie wodoszczelności na próbkach wyciętych z konstrukcji.</w:t>
      </w:r>
    </w:p>
    <w:p w14:paraId="63CAFFAC"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Odpowiedzialność za badania wstępne betonu projektowanego ponosi producent, betonu recepturowego specyfikujący, a normowego betonu  jednostka normalizująca wg PN-EN 206+A1:2016-12.</w:t>
      </w:r>
    </w:p>
    <w:p w14:paraId="7DBF6111"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Jeżeli beton poddany jest specjalnym zabiegom technologicznym, należy opracować plan kontroli jakości betonu dostosowany do wymagań technologii produkcji. W planie kontroli powinny być uwzględnione badania przewidziane aktualną normą i niniejszą ST oraz ewentualnie inne, konieczne do potwierdzenia prawidłowości zastosowanych zabiegów technologicznych.</w:t>
      </w:r>
    </w:p>
    <w:p w14:paraId="31FBC57C"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Badania powinny obejmować:</w:t>
      </w:r>
    </w:p>
    <w:p w14:paraId="22D3E6B6" w14:textId="77777777" w:rsidR="000A3B2B" w:rsidRDefault="000A3B2B" w:rsidP="009E5295">
      <w:pPr>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badanie składników betonu,</w:t>
      </w:r>
    </w:p>
    <w:p w14:paraId="3646A497" w14:textId="77777777" w:rsidR="000A3B2B" w:rsidRDefault="000A3B2B" w:rsidP="009E5295">
      <w:pPr>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badanie mieszanki betonowej,</w:t>
      </w:r>
    </w:p>
    <w:p w14:paraId="4F2511D7" w14:textId="77777777" w:rsidR="000A3B2B" w:rsidRDefault="000A3B2B" w:rsidP="009E5295">
      <w:pPr>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badanie betonu.</w:t>
      </w:r>
    </w:p>
    <w:p w14:paraId="5C2A4EE7" w14:textId="77777777" w:rsidR="000A3B2B" w:rsidRDefault="000A3B2B" w:rsidP="009E5295">
      <w:pPr>
        <w:autoSpaceDE w:val="0"/>
        <w:autoSpaceDN w:val="0"/>
        <w:adjustRightInd w:val="0"/>
        <w:spacing w:after="30" w:line="240" w:lineRule="auto"/>
        <w:jc w:val="both"/>
        <w:rPr>
          <w:rFonts w:ascii="Arial" w:hAnsi="Arial" w:cs="Arial"/>
          <w:b/>
          <w:bCs/>
          <w:color w:val="000000"/>
          <w:sz w:val="18"/>
          <w:szCs w:val="18"/>
          <w:lang w:val="x-none"/>
        </w:rPr>
      </w:pPr>
      <w:r>
        <w:rPr>
          <w:rFonts w:ascii="Arial" w:hAnsi="Arial" w:cs="Arial"/>
          <w:b/>
          <w:bCs/>
          <w:color w:val="000000"/>
          <w:sz w:val="18"/>
          <w:szCs w:val="18"/>
          <w:lang w:val="x-none"/>
        </w:rPr>
        <w:t>Zestawienie wymaganych badań</w:t>
      </w:r>
    </w:p>
    <w:tbl>
      <w:tblPr>
        <w:tblW w:w="0" w:type="auto"/>
        <w:tblCellSpacing w:w="0" w:type="dxa"/>
        <w:tblInd w:w="-8" w:type="dxa"/>
        <w:tblLayout w:type="fixed"/>
        <w:tblCellMar>
          <w:left w:w="0" w:type="dxa"/>
          <w:right w:w="0" w:type="dxa"/>
        </w:tblCellMar>
        <w:tblLook w:val="0000" w:firstRow="0" w:lastRow="0" w:firstColumn="0" w:lastColumn="0" w:noHBand="0" w:noVBand="0"/>
      </w:tblPr>
      <w:tblGrid>
        <w:gridCol w:w="1432"/>
        <w:gridCol w:w="2670"/>
        <w:gridCol w:w="2896"/>
        <w:gridCol w:w="2400"/>
      </w:tblGrid>
      <w:tr w:rsidR="000A3B2B" w14:paraId="2E439E1E" w14:textId="77777777">
        <w:trPr>
          <w:trHeight w:val="60"/>
          <w:tblHeader/>
          <w:tblCellSpacing w:w="0" w:type="dxa"/>
        </w:trPr>
        <w:tc>
          <w:tcPr>
            <w:tcW w:w="1432"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5E21E00A"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2670"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549CBD98" w14:textId="77777777" w:rsidR="000A3B2B" w:rsidRDefault="000A3B2B">
            <w:pPr>
              <w:autoSpaceDE w:val="0"/>
              <w:autoSpaceDN w:val="0"/>
              <w:adjustRightInd w:val="0"/>
              <w:spacing w:after="30" w:line="240" w:lineRule="auto"/>
              <w:jc w:val="center"/>
              <w:rPr>
                <w:rFonts w:ascii="Arial" w:hAnsi="Arial" w:cs="Arial"/>
                <w:b/>
                <w:bCs/>
                <w:color w:val="000000"/>
                <w:sz w:val="18"/>
                <w:szCs w:val="18"/>
                <w:lang w:val="x-none"/>
              </w:rPr>
            </w:pPr>
            <w:r>
              <w:rPr>
                <w:rFonts w:ascii="Arial" w:hAnsi="Arial" w:cs="Arial"/>
                <w:b/>
                <w:bCs/>
                <w:color w:val="000000"/>
                <w:sz w:val="18"/>
                <w:szCs w:val="18"/>
                <w:lang w:val="x-none"/>
              </w:rPr>
              <w:t>Rodzaj badania</w:t>
            </w:r>
          </w:p>
        </w:tc>
        <w:tc>
          <w:tcPr>
            <w:tcW w:w="2896"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1C224185" w14:textId="77777777" w:rsidR="000A3B2B" w:rsidRDefault="000A3B2B">
            <w:pPr>
              <w:autoSpaceDE w:val="0"/>
              <w:autoSpaceDN w:val="0"/>
              <w:adjustRightInd w:val="0"/>
              <w:spacing w:after="30" w:line="240" w:lineRule="auto"/>
              <w:jc w:val="center"/>
              <w:rPr>
                <w:rFonts w:ascii="Arial" w:hAnsi="Arial" w:cs="Arial"/>
                <w:b/>
                <w:bCs/>
                <w:color w:val="000000"/>
                <w:sz w:val="18"/>
                <w:szCs w:val="18"/>
                <w:lang w:val="x-none"/>
              </w:rPr>
            </w:pPr>
            <w:r>
              <w:rPr>
                <w:rFonts w:ascii="Arial" w:hAnsi="Arial" w:cs="Arial"/>
                <w:b/>
                <w:bCs/>
                <w:color w:val="000000"/>
                <w:sz w:val="18"/>
                <w:szCs w:val="18"/>
                <w:lang w:val="x-none"/>
              </w:rPr>
              <w:t>Metoda badania według</w:t>
            </w:r>
          </w:p>
        </w:tc>
        <w:tc>
          <w:tcPr>
            <w:tcW w:w="2400"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693841DD" w14:textId="77777777" w:rsidR="000A3B2B" w:rsidRDefault="000A3B2B">
            <w:pPr>
              <w:autoSpaceDE w:val="0"/>
              <w:autoSpaceDN w:val="0"/>
              <w:adjustRightInd w:val="0"/>
              <w:spacing w:after="30" w:line="240" w:lineRule="auto"/>
              <w:jc w:val="center"/>
              <w:rPr>
                <w:rFonts w:ascii="Arial" w:hAnsi="Arial" w:cs="Arial"/>
                <w:b/>
                <w:bCs/>
                <w:color w:val="000000"/>
                <w:sz w:val="18"/>
                <w:szCs w:val="18"/>
                <w:lang w:val="x-none"/>
              </w:rPr>
            </w:pPr>
            <w:r>
              <w:rPr>
                <w:rFonts w:ascii="Arial" w:hAnsi="Arial" w:cs="Arial"/>
                <w:b/>
                <w:bCs/>
                <w:color w:val="000000"/>
                <w:sz w:val="18"/>
                <w:szCs w:val="18"/>
                <w:lang w:val="x-none"/>
              </w:rPr>
              <w:t>Termin lub częstość badania</w:t>
            </w:r>
          </w:p>
        </w:tc>
      </w:tr>
      <w:tr w:rsidR="000A3B2B" w14:paraId="29A10F2C" w14:textId="77777777">
        <w:trPr>
          <w:trHeight w:val="60"/>
          <w:tblCellSpacing w:w="0" w:type="dxa"/>
        </w:trPr>
        <w:tc>
          <w:tcPr>
            <w:tcW w:w="1432" w:type="dxa"/>
            <w:vMerge w:val="restart"/>
            <w:tcBorders>
              <w:top w:val="single" w:sz="6" w:space="0" w:color="000000"/>
              <w:left w:val="single" w:sz="6" w:space="0" w:color="000000"/>
              <w:bottom w:val="single" w:sz="6" w:space="0" w:color="000000"/>
              <w:right w:val="single" w:sz="6" w:space="0" w:color="000000"/>
            </w:tcBorders>
            <w:shd w:val="clear" w:color="auto" w:fill="CCCCCC"/>
          </w:tcPr>
          <w:p w14:paraId="7315AEC6" w14:textId="77777777" w:rsidR="000A3B2B" w:rsidRDefault="000A3B2B">
            <w:pPr>
              <w:autoSpaceDE w:val="0"/>
              <w:autoSpaceDN w:val="0"/>
              <w:adjustRightInd w:val="0"/>
              <w:spacing w:after="30" w:line="240" w:lineRule="auto"/>
              <w:rPr>
                <w:rFonts w:ascii="Arial" w:hAnsi="Arial" w:cs="Arial"/>
                <w:b/>
                <w:bCs/>
                <w:color w:val="000000"/>
                <w:sz w:val="18"/>
                <w:szCs w:val="18"/>
                <w:lang w:val="x-none"/>
              </w:rPr>
            </w:pPr>
            <w:r>
              <w:rPr>
                <w:rFonts w:ascii="Arial" w:hAnsi="Arial" w:cs="Arial"/>
                <w:b/>
                <w:bCs/>
                <w:color w:val="000000"/>
                <w:sz w:val="18"/>
                <w:szCs w:val="18"/>
                <w:lang w:val="x-none"/>
              </w:rPr>
              <w:t>SKŁADNIKI BETONU</w:t>
            </w:r>
          </w:p>
        </w:tc>
        <w:tc>
          <w:tcPr>
            <w:tcW w:w="2670" w:type="dxa"/>
            <w:tcBorders>
              <w:top w:val="single" w:sz="6" w:space="0" w:color="000000"/>
              <w:left w:val="single" w:sz="6" w:space="0" w:color="000000"/>
              <w:bottom w:val="single" w:sz="6" w:space="0" w:color="000000"/>
              <w:right w:val="single" w:sz="6" w:space="0" w:color="000000"/>
            </w:tcBorders>
          </w:tcPr>
          <w:p w14:paraId="21DEE5E1"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1) Badanie cementu</w:t>
            </w:r>
          </w:p>
          <w:p w14:paraId="7F25BDA1" w14:textId="77777777" w:rsidR="000A3B2B" w:rsidRDefault="000A3B2B">
            <w:pPr>
              <w:autoSpaceDE w:val="0"/>
              <w:autoSpaceDN w:val="0"/>
              <w:adjustRightInd w:val="0"/>
              <w:spacing w:after="30" w:line="240" w:lineRule="auto"/>
              <w:ind w:left="165"/>
              <w:rPr>
                <w:rFonts w:ascii="Arial" w:hAnsi="Arial" w:cs="Arial"/>
                <w:color w:val="000000"/>
                <w:sz w:val="18"/>
                <w:szCs w:val="18"/>
                <w:lang w:val="x-none"/>
              </w:rPr>
            </w:pPr>
            <w:r>
              <w:rPr>
                <w:rFonts w:ascii="Arial" w:hAnsi="Arial" w:cs="Arial"/>
                <w:color w:val="000000"/>
                <w:sz w:val="18"/>
                <w:szCs w:val="18"/>
                <w:lang w:val="x-none"/>
              </w:rPr>
              <w:t>– czasu wiązania</w:t>
            </w:r>
          </w:p>
          <w:p w14:paraId="65E8C1F9" w14:textId="77777777" w:rsidR="000A3B2B" w:rsidRDefault="000A3B2B">
            <w:pPr>
              <w:autoSpaceDE w:val="0"/>
              <w:autoSpaceDN w:val="0"/>
              <w:adjustRightInd w:val="0"/>
              <w:spacing w:after="30" w:line="240" w:lineRule="auto"/>
              <w:ind w:left="165"/>
              <w:rPr>
                <w:rFonts w:ascii="Arial" w:hAnsi="Arial" w:cs="Arial"/>
                <w:color w:val="000000"/>
                <w:sz w:val="18"/>
                <w:szCs w:val="18"/>
                <w:lang w:val="x-none"/>
              </w:rPr>
            </w:pPr>
            <w:r>
              <w:rPr>
                <w:rFonts w:ascii="Arial" w:hAnsi="Arial" w:cs="Arial"/>
                <w:color w:val="000000"/>
                <w:sz w:val="18"/>
                <w:szCs w:val="18"/>
                <w:lang w:val="x-none"/>
              </w:rPr>
              <w:t>– stałość objętości</w:t>
            </w:r>
          </w:p>
          <w:p w14:paraId="2D664A4B" w14:textId="77777777" w:rsidR="000A3B2B" w:rsidRDefault="000A3B2B">
            <w:pPr>
              <w:autoSpaceDE w:val="0"/>
              <w:autoSpaceDN w:val="0"/>
              <w:adjustRightInd w:val="0"/>
              <w:spacing w:after="30" w:line="240" w:lineRule="auto"/>
              <w:ind w:left="165"/>
              <w:rPr>
                <w:rFonts w:ascii="Arial" w:hAnsi="Arial" w:cs="Arial"/>
                <w:color w:val="000000"/>
                <w:sz w:val="18"/>
                <w:szCs w:val="18"/>
                <w:lang w:val="x-none"/>
              </w:rPr>
            </w:pPr>
            <w:r>
              <w:rPr>
                <w:rFonts w:ascii="Arial" w:hAnsi="Arial" w:cs="Arial"/>
                <w:color w:val="000000"/>
                <w:sz w:val="18"/>
                <w:szCs w:val="18"/>
                <w:lang w:val="x-none"/>
              </w:rPr>
              <w:t>– obecności grudek</w:t>
            </w:r>
          </w:p>
          <w:p w14:paraId="483CFB1C" w14:textId="77777777" w:rsidR="000A3B2B" w:rsidRDefault="000A3B2B">
            <w:pPr>
              <w:autoSpaceDE w:val="0"/>
              <w:autoSpaceDN w:val="0"/>
              <w:adjustRightInd w:val="0"/>
              <w:spacing w:after="30" w:line="240" w:lineRule="auto"/>
              <w:ind w:left="165"/>
              <w:rPr>
                <w:rFonts w:ascii="Arial" w:hAnsi="Arial" w:cs="Arial"/>
                <w:color w:val="000000"/>
                <w:sz w:val="18"/>
                <w:szCs w:val="18"/>
                <w:lang w:val="x-none"/>
              </w:rPr>
            </w:pPr>
            <w:r>
              <w:rPr>
                <w:rFonts w:ascii="Arial" w:hAnsi="Arial" w:cs="Arial"/>
                <w:color w:val="000000"/>
                <w:sz w:val="18"/>
                <w:szCs w:val="18"/>
                <w:lang w:val="x-none"/>
              </w:rPr>
              <w:t>– wytrzymałości</w:t>
            </w:r>
          </w:p>
        </w:tc>
        <w:tc>
          <w:tcPr>
            <w:tcW w:w="2896" w:type="dxa"/>
            <w:tcBorders>
              <w:top w:val="single" w:sz="6" w:space="0" w:color="000000"/>
              <w:left w:val="single" w:sz="6" w:space="0" w:color="000000"/>
              <w:bottom w:val="single" w:sz="6" w:space="0" w:color="000000"/>
              <w:right w:val="single" w:sz="6" w:space="0" w:color="000000"/>
            </w:tcBorders>
          </w:tcPr>
          <w:p w14:paraId="667A2F2C" w14:textId="77777777" w:rsidR="000A3B2B" w:rsidRDefault="000A3B2B">
            <w:pPr>
              <w:autoSpaceDE w:val="0"/>
              <w:autoSpaceDN w:val="0"/>
              <w:adjustRightInd w:val="0"/>
              <w:spacing w:after="30" w:line="240" w:lineRule="auto"/>
              <w:rPr>
                <w:rFonts w:ascii="Arial" w:hAnsi="Arial" w:cs="Arial"/>
                <w:color w:val="000000"/>
                <w:sz w:val="18"/>
                <w:szCs w:val="18"/>
                <w:lang w:val="x-none"/>
              </w:rPr>
            </w:pPr>
          </w:p>
          <w:p w14:paraId="78708831"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196-3:2016-12</w:t>
            </w:r>
          </w:p>
          <w:p w14:paraId="1025BE82"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jw.</w:t>
            </w:r>
          </w:p>
          <w:p w14:paraId="130A3AB3"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196-3:2016-12</w:t>
            </w:r>
          </w:p>
          <w:p w14:paraId="0A7AA4B8"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196-6:2011</w:t>
            </w:r>
          </w:p>
          <w:p w14:paraId="1E0DE975"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196-1:2016-07</w:t>
            </w:r>
          </w:p>
        </w:tc>
        <w:tc>
          <w:tcPr>
            <w:tcW w:w="2400" w:type="dxa"/>
            <w:tcBorders>
              <w:top w:val="single" w:sz="6" w:space="0" w:color="000000"/>
              <w:left w:val="single" w:sz="6" w:space="0" w:color="000000"/>
              <w:bottom w:val="single" w:sz="6" w:space="0" w:color="000000"/>
              <w:right w:val="single" w:sz="6" w:space="0" w:color="000000"/>
            </w:tcBorders>
          </w:tcPr>
          <w:p w14:paraId="16C1F357"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Bezpośrednio przed użyciem każdej dostarczonej partii</w:t>
            </w:r>
          </w:p>
        </w:tc>
      </w:tr>
      <w:tr w:rsidR="000A3B2B" w14:paraId="62BA5652" w14:textId="77777777">
        <w:trPr>
          <w:trHeight w:val="60"/>
          <w:tblCellSpacing w:w="0" w:type="dxa"/>
        </w:trPr>
        <w:tc>
          <w:tcPr>
            <w:tcW w:w="1432" w:type="dxa"/>
            <w:vMerge/>
            <w:tcBorders>
              <w:top w:val="single" w:sz="6" w:space="0" w:color="000000"/>
              <w:left w:val="single" w:sz="6" w:space="0" w:color="000000"/>
              <w:bottom w:val="single" w:sz="6" w:space="0" w:color="000000"/>
              <w:right w:val="single" w:sz="6" w:space="0" w:color="000000"/>
            </w:tcBorders>
            <w:shd w:val="clear" w:color="auto" w:fill="CCCCCC"/>
          </w:tcPr>
          <w:p w14:paraId="22CFD82A" w14:textId="77777777" w:rsidR="000A3B2B" w:rsidRDefault="000A3B2B">
            <w:pPr>
              <w:autoSpaceDE w:val="0"/>
              <w:autoSpaceDN w:val="0"/>
              <w:adjustRightInd w:val="0"/>
              <w:spacing w:after="0" w:line="240" w:lineRule="auto"/>
              <w:rPr>
                <w:rFonts w:ascii="Arial" w:hAnsi="Arial" w:cs="Arial"/>
                <w:b/>
                <w:bCs/>
                <w:color w:val="000000"/>
                <w:sz w:val="18"/>
                <w:szCs w:val="18"/>
                <w:lang w:val="x-none"/>
              </w:rPr>
            </w:pPr>
          </w:p>
        </w:tc>
        <w:tc>
          <w:tcPr>
            <w:tcW w:w="2670" w:type="dxa"/>
            <w:tcBorders>
              <w:top w:val="single" w:sz="6" w:space="0" w:color="000000"/>
              <w:left w:val="single" w:sz="6" w:space="0" w:color="000000"/>
              <w:bottom w:val="single" w:sz="6" w:space="0" w:color="000000"/>
              <w:right w:val="single" w:sz="6" w:space="0" w:color="000000"/>
            </w:tcBorders>
          </w:tcPr>
          <w:p w14:paraId="1AA47A2F"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2) Badanie kruszywa</w:t>
            </w:r>
          </w:p>
          <w:p w14:paraId="32F01605" w14:textId="77777777" w:rsidR="000A3B2B" w:rsidRDefault="000A3B2B">
            <w:pPr>
              <w:autoSpaceDE w:val="0"/>
              <w:autoSpaceDN w:val="0"/>
              <w:adjustRightInd w:val="0"/>
              <w:spacing w:after="30" w:line="240" w:lineRule="auto"/>
              <w:ind w:left="345" w:hanging="165"/>
              <w:rPr>
                <w:rFonts w:ascii="Arial" w:hAnsi="Arial" w:cs="Arial"/>
                <w:color w:val="000000"/>
                <w:sz w:val="18"/>
                <w:szCs w:val="18"/>
                <w:lang w:val="x-none"/>
              </w:rPr>
            </w:pPr>
            <w:r>
              <w:rPr>
                <w:rFonts w:ascii="Arial" w:hAnsi="Arial" w:cs="Arial"/>
                <w:color w:val="000000"/>
                <w:sz w:val="18"/>
                <w:szCs w:val="18"/>
                <w:lang w:val="x-none"/>
              </w:rPr>
              <w:t>– składu ziarnowego</w:t>
            </w:r>
          </w:p>
          <w:p w14:paraId="3F899974" w14:textId="77777777" w:rsidR="000A3B2B" w:rsidRDefault="000A3B2B">
            <w:pPr>
              <w:autoSpaceDE w:val="0"/>
              <w:autoSpaceDN w:val="0"/>
              <w:adjustRightInd w:val="0"/>
              <w:spacing w:after="30" w:line="240" w:lineRule="auto"/>
              <w:ind w:left="345" w:hanging="165"/>
              <w:rPr>
                <w:rFonts w:ascii="Arial" w:hAnsi="Arial" w:cs="Arial"/>
                <w:color w:val="000000"/>
                <w:sz w:val="18"/>
                <w:szCs w:val="18"/>
                <w:lang w:val="x-none"/>
              </w:rPr>
            </w:pPr>
            <w:r>
              <w:rPr>
                <w:rFonts w:ascii="Arial" w:hAnsi="Arial" w:cs="Arial"/>
                <w:color w:val="000000"/>
                <w:sz w:val="18"/>
                <w:szCs w:val="18"/>
                <w:lang w:val="x-none"/>
              </w:rPr>
              <w:t>– kształtu ziaren</w:t>
            </w:r>
          </w:p>
          <w:p w14:paraId="1CD0D69A" w14:textId="77777777" w:rsidR="000A3B2B" w:rsidRDefault="000A3B2B">
            <w:pPr>
              <w:autoSpaceDE w:val="0"/>
              <w:autoSpaceDN w:val="0"/>
              <w:adjustRightInd w:val="0"/>
              <w:spacing w:after="30" w:line="240" w:lineRule="auto"/>
              <w:ind w:left="345" w:hanging="165"/>
              <w:rPr>
                <w:rFonts w:ascii="Arial" w:hAnsi="Arial" w:cs="Arial"/>
                <w:color w:val="000000"/>
                <w:sz w:val="18"/>
                <w:szCs w:val="18"/>
                <w:lang w:val="x-none"/>
              </w:rPr>
            </w:pPr>
            <w:r>
              <w:rPr>
                <w:rFonts w:ascii="Arial" w:hAnsi="Arial" w:cs="Arial"/>
                <w:color w:val="000000"/>
                <w:sz w:val="18"/>
                <w:szCs w:val="18"/>
                <w:lang w:val="x-none"/>
              </w:rPr>
              <w:t>– zawartości pyłów</w:t>
            </w:r>
          </w:p>
          <w:p w14:paraId="12C59529" w14:textId="77777777" w:rsidR="000A3B2B" w:rsidRDefault="000A3B2B">
            <w:pPr>
              <w:autoSpaceDE w:val="0"/>
              <w:autoSpaceDN w:val="0"/>
              <w:adjustRightInd w:val="0"/>
              <w:spacing w:after="30" w:line="240" w:lineRule="auto"/>
              <w:ind w:left="345" w:hanging="165"/>
              <w:rPr>
                <w:rFonts w:ascii="Arial" w:hAnsi="Arial" w:cs="Arial"/>
                <w:color w:val="000000"/>
                <w:sz w:val="18"/>
                <w:szCs w:val="18"/>
                <w:lang w:val="x-none"/>
              </w:rPr>
            </w:pPr>
            <w:r>
              <w:rPr>
                <w:rFonts w:ascii="Arial" w:hAnsi="Arial" w:cs="Arial"/>
                <w:color w:val="000000"/>
                <w:sz w:val="18"/>
                <w:szCs w:val="18"/>
                <w:lang w:val="x-none"/>
              </w:rPr>
              <w:t>– zawartości zanieczyszczeń</w:t>
            </w:r>
          </w:p>
          <w:p w14:paraId="40F7F6C0" w14:textId="77777777" w:rsidR="000A3B2B" w:rsidRDefault="000A3B2B">
            <w:pPr>
              <w:autoSpaceDE w:val="0"/>
              <w:autoSpaceDN w:val="0"/>
              <w:adjustRightInd w:val="0"/>
              <w:spacing w:after="30" w:line="240" w:lineRule="auto"/>
              <w:ind w:left="345" w:hanging="165"/>
              <w:rPr>
                <w:rFonts w:ascii="Arial" w:hAnsi="Arial" w:cs="Arial"/>
                <w:color w:val="000000"/>
                <w:sz w:val="18"/>
                <w:szCs w:val="18"/>
                <w:lang w:val="x-none"/>
              </w:rPr>
            </w:pPr>
            <w:r>
              <w:rPr>
                <w:rFonts w:ascii="Arial" w:hAnsi="Arial" w:cs="Arial"/>
                <w:color w:val="000000"/>
                <w:sz w:val="18"/>
                <w:szCs w:val="18"/>
                <w:lang w:val="x-none"/>
              </w:rPr>
              <w:t>– wilgotności</w:t>
            </w:r>
          </w:p>
        </w:tc>
        <w:tc>
          <w:tcPr>
            <w:tcW w:w="2896" w:type="dxa"/>
            <w:tcBorders>
              <w:top w:val="single" w:sz="6" w:space="0" w:color="000000"/>
              <w:left w:val="single" w:sz="6" w:space="0" w:color="000000"/>
              <w:bottom w:val="single" w:sz="6" w:space="0" w:color="000000"/>
              <w:right w:val="single" w:sz="6" w:space="0" w:color="000000"/>
            </w:tcBorders>
          </w:tcPr>
          <w:p w14:paraId="03C1E7B7" w14:textId="77777777" w:rsidR="000A3B2B" w:rsidRDefault="000A3B2B">
            <w:pPr>
              <w:autoSpaceDE w:val="0"/>
              <w:autoSpaceDN w:val="0"/>
              <w:adjustRightInd w:val="0"/>
              <w:spacing w:after="30" w:line="240" w:lineRule="auto"/>
              <w:rPr>
                <w:rFonts w:ascii="Arial" w:hAnsi="Arial" w:cs="Arial"/>
                <w:color w:val="000000"/>
                <w:sz w:val="18"/>
                <w:szCs w:val="18"/>
                <w:lang w:val="x-none"/>
              </w:rPr>
            </w:pPr>
          </w:p>
          <w:p w14:paraId="40E3014A"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933-1:2012</w:t>
            </w:r>
          </w:p>
          <w:p w14:paraId="5FB55B5B"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933-3:2012</w:t>
            </w:r>
          </w:p>
          <w:p w14:paraId="4B7EAC57"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933-9+A1:2013:07</w:t>
            </w:r>
          </w:p>
          <w:p w14:paraId="55A6703A"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933-7:2000</w:t>
            </w:r>
          </w:p>
          <w:p w14:paraId="6D2C4D1D"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1097-6:2013-11</w:t>
            </w:r>
          </w:p>
        </w:tc>
        <w:tc>
          <w:tcPr>
            <w:tcW w:w="2400" w:type="dxa"/>
            <w:tcBorders>
              <w:top w:val="single" w:sz="6" w:space="0" w:color="000000"/>
              <w:left w:val="single" w:sz="6" w:space="0" w:color="000000"/>
              <w:bottom w:val="single" w:sz="6" w:space="0" w:color="000000"/>
              <w:right w:val="single" w:sz="6" w:space="0" w:color="000000"/>
            </w:tcBorders>
          </w:tcPr>
          <w:p w14:paraId="57974EE4"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jw.</w:t>
            </w:r>
          </w:p>
        </w:tc>
      </w:tr>
      <w:tr w:rsidR="000A3B2B" w14:paraId="428C107B" w14:textId="77777777">
        <w:trPr>
          <w:trHeight w:val="60"/>
          <w:tblCellSpacing w:w="0" w:type="dxa"/>
        </w:trPr>
        <w:tc>
          <w:tcPr>
            <w:tcW w:w="1432" w:type="dxa"/>
            <w:vMerge/>
            <w:tcBorders>
              <w:top w:val="single" w:sz="6" w:space="0" w:color="000000"/>
              <w:left w:val="single" w:sz="6" w:space="0" w:color="000000"/>
              <w:bottom w:val="single" w:sz="6" w:space="0" w:color="000000"/>
              <w:right w:val="single" w:sz="6" w:space="0" w:color="000000"/>
            </w:tcBorders>
            <w:shd w:val="clear" w:color="auto" w:fill="CCCCCC"/>
          </w:tcPr>
          <w:p w14:paraId="218E6B4C" w14:textId="77777777" w:rsidR="000A3B2B" w:rsidRDefault="000A3B2B">
            <w:pPr>
              <w:autoSpaceDE w:val="0"/>
              <w:autoSpaceDN w:val="0"/>
              <w:adjustRightInd w:val="0"/>
              <w:spacing w:after="0" w:line="240" w:lineRule="auto"/>
              <w:rPr>
                <w:rFonts w:ascii="Arial" w:hAnsi="Arial" w:cs="Arial"/>
                <w:b/>
                <w:bCs/>
                <w:color w:val="000000"/>
                <w:sz w:val="18"/>
                <w:szCs w:val="18"/>
                <w:lang w:val="x-none"/>
              </w:rPr>
            </w:pPr>
          </w:p>
        </w:tc>
        <w:tc>
          <w:tcPr>
            <w:tcW w:w="2670" w:type="dxa"/>
            <w:tcBorders>
              <w:top w:val="single" w:sz="6" w:space="0" w:color="000000"/>
              <w:left w:val="single" w:sz="6" w:space="0" w:color="000000"/>
              <w:bottom w:val="single" w:sz="6" w:space="0" w:color="000000"/>
              <w:right w:val="single" w:sz="6" w:space="0" w:color="000000"/>
            </w:tcBorders>
          </w:tcPr>
          <w:p w14:paraId="6FB6FE79"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3) Badanie wody</w:t>
            </w:r>
          </w:p>
        </w:tc>
        <w:tc>
          <w:tcPr>
            <w:tcW w:w="2896" w:type="dxa"/>
            <w:tcBorders>
              <w:top w:val="single" w:sz="6" w:space="0" w:color="000000"/>
              <w:left w:val="single" w:sz="6" w:space="0" w:color="000000"/>
              <w:bottom w:val="single" w:sz="6" w:space="0" w:color="000000"/>
              <w:right w:val="single" w:sz="6" w:space="0" w:color="000000"/>
            </w:tcBorders>
          </w:tcPr>
          <w:p w14:paraId="5A4D6D2E"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1008:2004</w:t>
            </w:r>
          </w:p>
        </w:tc>
        <w:tc>
          <w:tcPr>
            <w:tcW w:w="2400" w:type="dxa"/>
            <w:tcBorders>
              <w:top w:val="single" w:sz="6" w:space="0" w:color="000000"/>
              <w:left w:val="single" w:sz="6" w:space="0" w:color="000000"/>
              <w:bottom w:val="single" w:sz="6" w:space="0" w:color="000000"/>
              <w:right w:val="single" w:sz="6" w:space="0" w:color="000000"/>
            </w:tcBorders>
          </w:tcPr>
          <w:p w14:paraId="6762560D"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Przy rozpoczęciu robót i w przypadku stwierdzenia zanieczyszczenia</w:t>
            </w:r>
          </w:p>
        </w:tc>
      </w:tr>
      <w:tr w:rsidR="000A3B2B" w14:paraId="663221ED" w14:textId="77777777">
        <w:trPr>
          <w:trHeight w:val="60"/>
          <w:tblCellSpacing w:w="0" w:type="dxa"/>
        </w:trPr>
        <w:tc>
          <w:tcPr>
            <w:tcW w:w="1432" w:type="dxa"/>
            <w:vMerge/>
            <w:tcBorders>
              <w:top w:val="single" w:sz="6" w:space="0" w:color="000000"/>
              <w:left w:val="single" w:sz="6" w:space="0" w:color="000000"/>
              <w:bottom w:val="single" w:sz="6" w:space="0" w:color="000000"/>
              <w:right w:val="single" w:sz="6" w:space="0" w:color="000000"/>
            </w:tcBorders>
            <w:shd w:val="clear" w:color="auto" w:fill="CCCCCC"/>
          </w:tcPr>
          <w:p w14:paraId="12611DC5" w14:textId="77777777" w:rsidR="000A3B2B" w:rsidRDefault="000A3B2B">
            <w:pPr>
              <w:autoSpaceDE w:val="0"/>
              <w:autoSpaceDN w:val="0"/>
              <w:adjustRightInd w:val="0"/>
              <w:spacing w:after="0" w:line="240" w:lineRule="auto"/>
              <w:rPr>
                <w:rFonts w:ascii="Arial" w:hAnsi="Arial" w:cs="Arial"/>
                <w:b/>
                <w:bCs/>
                <w:color w:val="000000"/>
                <w:sz w:val="18"/>
                <w:szCs w:val="18"/>
                <w:lang w:val="x-none"/>
              </w:rPr>
            </w:pPr>
          </w:p>
        </w:tc>
        <w:tc>
          <w:tcPr>
            <w:tcW w:w="2670" w:type="dxa"/>
            <w:tcBorders>
              <w:top w:val="single" w:sz="6" w:space="0" w:color="000000"/>
              <w:left w:val="single" w:sz="6" w:space="0" w:color="000000"/>
              <w:bottom w:val="single" w:sz="6" w:space="0" w:color="000000"/>
              <w:right w:val="single" w:sz="6" w:space="0" w:color="000000"/>
            </w:tcBorders>
          </w:tcPr>
          <w:p w14:paraId="32BFD54D" w14:textId="77777777" w:rsidR="000A3B2B" w:rsidRDefault="000A3B2B">
            <w:pPr>
              <w:autoSpaceDE w:val="0"/>
              <w:autoSpaceDN w:val="0"/>
              <w:adjustRightInd w:val="0"/>
              <w:spacing w:after="30" w:line="240" w:lineRule="auto"/>
              <w:ind w:left="225" w:hanging="225"/>
              <w:rPr>
                <w:rFonts w:ascii="Arial" w:hAnsi="Arial" w:cs="Arial"/>
                <w:color w:val="000000"/>
                <w:sz w:val="18"/>
                <w:szCs w:val="18"/>
                <w:lang w:val="x-none"/>
              </w:rPr>
            </w:pPr>
            <w:r>
              <w:rPr>
                <w:rFonts w:ascii="Arial" w:hAnsi="Arial" w:cs="Arial"/>
                <w:color w:val="000000"/>
                <w:sz w:val="18"/>
                <w:szCs w:val="18"/>
                <w:lang w:val="x-none"/>
              </w:rPr>
              <w:t>4) Badanie dodatków i domieszek</w:t>
            </w:r>
          </w:p>
        </w:tc>
        <w:tc>
          <w:tcPr>
            <w:tcW w:w="2896" w:type="dxa"/>
            <w:tcBorders>
              <w:top w:val="single" w:sz="6" w:space="0" w:color="000000"/>
              <w:left w:val="single" w:sz="6" w:space="0" w:color="000000"/>
              <w:bottom w:val="single" w:sz="6" w:space="0" w:color="000000"/>
              <w:right w:val="single" w:sz="6" w:space="0" w:color="000000"/>
            </w:tcBorders>
          </w:tcPr>
          <w:p w14:paraId="0466B06F" w14:textId="77777777" w:rsidR="000A3B2B" w:rsidRDefault="000A3B2B">
            <w:pPr>
              <w:autoSpaceDE w:val="0"/>
              <w:autoSpaceDN w:val="0"/>
              <w:adjustRightInd w:val="0"/>
              <w:spacing w:after="30" w:line="240" w:lineRule="auto"/>
              <w:rPr>
                <w:rFonts w:ascii="Arial" w:hAnsi="Arial" w:cs="Arial"/>
                <w:i/>
                <w:iCs/>
                <w:color w:val="000000"/>
                <w:sz w:val="18"/>
                <w:szCs w:val="18"/>
                <w:lang w:val="x-none"/>
              </w:rPr>
            </w:pPr>
            <w:r>
              <w:rPr>
                <w:rFonts w:ascii="Arial" w:hAnsi="Arial" w:cs="Arial"/>
                <w:color w:val="000000"/>
                <w:sz w:val="18"/>
                <w:szCs w:val="18"/>
                <w:lang w:val="x-none"/>
              </w:rPr>
              <w:t xml:space="preserve">PN-EN 480 i Aprobata Techniczna </w:t>
            </w:r>
            <w:r>
              <w:rPr>
                <w:rFonts w:ascii="Arial" w:hAnsi="Arial" w:cs="Arial"/>
                <w:i/>
                <w:iCs/>
                <w:color w:val="000000"/>
                <w:sz w:val="18"/>
                <w:szCs w:val="18"/>
                <w:lang w:val="x-none"/>
              </w:rPr>
              <w:t>(wydana do 31 grudnia 2016 r., a po zakończeniu okresu jej ważności krajowa ocena techniczna)</w:t>
            </w:r>
          </w:p>
        </w:tc>
        <w:tc>
          <w:tcPr>
            <w:tcW w:w="2400" w:type="dxa"/>
            <w:tcBorders>
              <w:top w:val="single" w:sz="6" w:space="0" w:color="000000"/>
              <w:left w:val="single" w:sz="6" w:space="0" w:color="000000"/>
              <w:bottom w:val="single" w:sz="6" w:space="0" w:color="000000"/>
              <w:right w:val="single" w:sz="6" w:space="0" w:color="000000"/>
            </w:tcBorders>
          </w:tcPr>
          <w:p w14:paraId="728B5469" w14:textId="77777777" w:rsidR="000A3B2B" w:rsidRDefault="000A3B2B">
            <w:pPr>
              <w:autoSpaceDE w:val="0"/>
              <w:autoSpaceDN w:val="0"/>
              <w:adjustRightInd w:val="0"/>
              <w:spacing w:after="0" w:line="240" w:lineRule="auto"/>
              <w:rPr>
                <w:rFonts w:ascii="Arial" w:hAnsi="Arial" w:cs="Arial"/>
                <w:sz w:val="24"/>
                <w:szCs w:val="24"/>
                <w:lang w:val="x-none"/>
              </w:rPr>
            </w:pPr>
          </w:p>
        </w:tc>
      </w:tr>
      <w:tr w:rsidR="000A3B2B" w14:paraId="6B139EC1" w14:textId="77777777">
        <w:trPr>
          <w:trHeight w:val="60"/>
          <w:tblCellSpacing w:w="0" w:type="dxa"/>
        </w:trPr>
        <w:tc>
          <w:tcPr>
            <w:tcW w:w="1432" w:type="dxa"/>
            <w:vMerge w:val="restart"/>
            <w:tcBorders>
              <w:top w:val="single" w:sz="6" w:space="0" w:color="000000"/>
              <w:left w:val="single" w:sz="6" w:space="0" w:color="000000"/>
              <w:bottom w:val="single" w:sz="6" w:space="0" w:color="000000"/>
              <w:right w:val="single" w:sz="6" w:space="0" w:color="000000"/>
            </w:tcBorders>
            <w:shd w:val="clear" w:color="auto" w:fill="CCCCCC"/>
          </w:tcPr>
          <w:p w14:paraId="2C4C5C96" w14:textId="77777777" w:rsidR="000A3B2B" w:rsidRDefault="000A3B2B">
            <w:pPr>
              <w:autoSpaceDE w:val="0"/>
              <w:autoSpaceDN w:val="0"/>
              <w:adjustRightInd w:val="0"/>
              <w:spacing w:after="30" w:line="240" w:lineRule="auto"/>
              <w:rPr>
                <w:rFonts w:ascii="Arial" w:hAnsi="Arial" w:cs="Arial"/>
                <w:b/>
                <w:bCs/>
                <w:color w:val="000000"/>
                <w:sz w:val="18"/>
                <w:szCs w:val="18"/>
                <w:lang w:val="x-none"/>
              </w:rPr>
            </w:pPr>
            <w:r>
              <w:rPr>
                <w:rFonts w:ascii="Arial" w:hAnsi="Arial" w:cs="Arial"/>
                <w:b/>
                <w:bCs/>
                <w:color w:val="000000"/>
                <w:sz w:val="18"/>
                <w:szCs w:val="18"/>
                <w:lang w:val="x-none"/>
              </w:rPr>
              <w:t>MIESZANKA BETONOWA</w:t>
            </w:r>
          </w:p>
        </w:tc>
        <w:tc>
          <w:tcPr>
            <w:tcW w:w="2670" w:type="dxa"/>
            <w:tcBorders>
              <w:top w:val="single" w:sz="6" w:space="0" w:color="000000"/>
              <w:left w:val="single" w:sz="6" w:space="0" w:color="000000"/>
              <w:bottom w:val="single" w:sz="6" w:space="0" w:color="000000"/>
              <w:right w:val="single" w:sz="6" w:space="0" w:color="000000"/>
            </w:tcBorders>
          </w:tcPr>
          <w:p w14:paraId="0888B805"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Urabialność</w:t>
            </w:r>
          </w:p>
        </w:tc>
        <w:tc>
          <w:tcPr>
            <w:tcW w:w="2896" w:type="dxa"/>
            <w:tcBorders>
              <w:top w:val="single" w:sz="6" w:space="0" w:color="000000"/>
              <w:left w:val="single" w:sz="6" w:space="0" w:color="000000"/>
              <w:bottom w:val="single" w:sz="6" w:space="0" w:color="000000"/>
              <w:right w:val="single" w:sz="6" w:space="0" w:color="000000"/>
            </w:tcBorders>
          </w:tcPr>
          <w:p w14:paraId="00083CE9"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206+A1:2016-12</w:t>
            </w:r>
          </w:p>
        </w:tc>
        <w:tc>
          <w:tcPr>
            <w:tcW w:w="2400" w:type="dxa"/>
            <w:tcBorders>
              <w:top w:val="single" w:sz="6" w:space="0" w:color="000000"/>
              <w:left w:val="single" w:sz="6" w:space="0" w:color="000000"/>
              <w:bottom w:val="single" w:sz="6" w:space="0" w:color="000000"/>
              <w:right w:val="single" w:sz="6" w:space="0" w:color="000000"/>
            </w:tcBorders>
          </w:tcPr>
          <w:p w14:paraId="571566BF"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Przy rozpoczęciu robót</w:t>
            </w:r>
          </w:p>
        </w:tc>
      </w:tr>
      <w:tr w:rsidR="000A3B2B" w14:paraId="038A8BE4" w14:textId="77777777">
        <w:trPr>
          <w:trHeight w:val="60"/>
          <w:tblCellSpacing w:w="0" w:type="dxa"/>
        </w:trPr>
        <w:tc>
          <w:tcPr>
            <w:tcW w:w="1432" w:type="dxa"/>
            <w:vMerge/>
            <w:tcBorders>
              <w:top w:val="single" w:sz="6" w:space="0" w:color="000000"/>
              <w:left w:val="single" w:sz="6" w:space="0" w:color="000000"/>
              <w:bottom w:val="single" w:sz="6" w:space="0" w:color="000000"/>
              <w:right w:val="single" w:sz="6" w:space="0" w:color="000000"/>
            </w:tcBorders>
            <w:shd w:val="clear" w:color="auto" w:fill="CCCCCC"/>
          </w:tcPr>
          <w:p w14:paraId="6ABE32C5" w14:textId="77777777" w:rsidR="000A3B2B" w:rsidRDefault="000A3B2B">
            <w:pPr>
              <w:autoSpaceDE w:val="0"/>
              <w:autoSpaceDN w:val="0"/>
              <w:adjustRightInd w:val="0"/>
              <w:spacing w:after="0" w:line="240" w:lineRule="auto"/>
              <w:rPr>
                <w:rFonts w:ascii="Arial" w:hAnsi="Arial" w:cs="Arial"/>
                <w:b/>
                <w:bCs/>
                <w:color w:val="000000"/>
                <w:sz w:val="18"/>
                <w:szCs w:val="18"/>
                <w:lang w:val="x-none"/>
              </w:rPr>
            </w:pPr>
          </w:p>
        </w:tc>
        <w:tc>
          <w:tcPr>
            <w:tcW w:w="2670" w:type="dxa"/>
            <w:tcBorders>
              <w:top w:val="single" w:sz="6" w:space="0" w:color="000000"/>
              <w:left w:val="single" w:sz="6" w:space="0" w:color="000000"/>
              <w:bottom w:val="single" w:sz="6" w:space="0" w:color="000000"/>
              <w:right w:val="single" w:sz="6" w:space="0" w:color="000000"/>
            </w:tcBorders>
          </w:tcPr>
          <w:p w14:paraId="1DAE95B2"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Konsystencja</w:t>
            </w:r>
          </w:p>
        </w:tc>
        <w:tc>
          <w:tcPr>
            <w:tcW w:w="2896" w:type="dxa"/>
            <w:tcBorders>
              <w:top w:val="single" w:sz="6" w:space="0" w:color="000000"/>
              <w:left w:val="single" w:sz="6" w:space="0" w:color="000000"/>
              <w:bottom w:val="single" w:sz="6" w:space="0" w:color="000000"/>
              <w:right w:val="single" w:sz="6" w:space="0" w:color="000000"/>
            </w:tcBorders>
          </w:tcPr>
          <w:p w14:paraId="4DB1973E"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jw.</w:t>
            </w:r>
          </w:p>
        </w:tc>
        <w:tc>
          <w:tcPr>
            <w:tcW w:w="2400" w:type="dxa"/>
            <w:tcBorders>
              <w:top w:val="single" w:sz="6" w:space="0" w:color="000000"/>
              <w:left w:val="single" w:sz="6" w:space="0" w:color="000000"/>
              <w:bottom w:val="single" w:sz="6" w:space="0" w:color="000000"/>
              <w:right w:val="single" w:sz="6" w:space="0" w:color="000000"/>
            </w:tcBorders>
          </w:tcPr>
          <w:p w14:paraId="31040D9A"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Przy projektowaniu recepty i 2 razy na zmianę roboczą</w:t>
            </w:r>
          </w:p>
        </w:tc>
      </w:tr>
      <w:tr w:rsidR="000A3B2B" w14:paraId="31F6F99B" w14:textId="77777777">
        <w:trPr>
          <w:trHeight w:val="60"/>
          <w:tblCellSpacing w:w="0" w:type="dxa"/>
        </w:trPr>
        <w:tc>
          <w:tcPr>
            <w:tcW w:w="1432" w:type="dxa"/>
            <w:vMerge/>
            <w:tcBorders>
              <w:top w:val="single" w:sz="6" w:space="0" w:color="000000"/>
              <w:left w:val="single" w:sz="6" w:space="0" w:color="000000"/>
              <w:bottom w:val="single" w:sz="6" w:space="0" w:color="000000"/>
              <w:right w:val="single" w:sz="6" w:space="0" w:color="000000"/>
            </w:tcBorders>
            <w:shd w:val="clear" w:color="auto" w:fill="CCCCCC"/>
          </w:tcPr>
          <w:p w14:paraId="75254D1E" w14:textId="77777777" w:rsidR="000A3B2B" w:rsidRDefault="000A3B2B">
            <w:pPr>
              <w:autoSpaceDE w:val="0"/>
              <w:autoSpaceDN w:val="0"/>
              <w:adjustRightInd w:val="0"/>
              <w:spacing w:after="0" w:line="240" w:lineRule="auto"/>
              <w:rPr>
                <w:rFonts w:ascii="Arial" w:hAnsi="Arial" w:cs="Arial"/>
                <w:b/>
                <w:bCs/>
                <w:color w:val="000000"/>
                <w:sz w:val="18"/>
                <w:szCs w:val="18"/>
                <w:lang w:val="x-none"/>
              </w:rPr>
            </w:pPr>
          </w:p>
        </w:tc>
        <w:tc>
          <w:tcPr>
            <w:tcW w:w="2670" w:type="dxa"/>
            <w:tcBorders>
              <w:top w:val="single" w:sz="6" w:space="0" w:color="000000"/>
              <w:left w:val="single" w:sz="6" w:space="0" w:color="000000"/>
              <w:bottom w:val="single" w:sz="6" w:space="0" w:color="000000"/>
              <w:right w:val="single" w:sz="6" w:space="0" w:color="000000"/>
            </w:tcBorders>
          </w:tcPr>
          <w:p w14:paraId="330C66F1"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Zawartość powietrza</w:t>
            </w:r>
          </w:p>
        </w:tc>
        <w:tc>
          <w:tcPr>
            <w:tcW w:w="2896" w:type="dxa"/>
            <w:tcBorders>
              <w:top w:val="single" w:sz="6" w:space="0" w:color="000000"/>
              <w:left w:val="single" w:sz="6" w:space="0" w:color="000000"/>
              <w:bottom w:val="single" w:sz="6" w:space="0" w:color="000000"/>
              <w:right w:val="single" w:sz="6" w:space="0" w:color="000000"/>
            </w:tcBorders>
          </w:tcPr>
          <w:p w14:paraId="7DD60CE1"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jw.</w:t>
            </w:r>
          </w:p>
        </w:tc>
        <w:tc>
          <w:tcPr>
            <w:tcW w:w="2400" w:type="dxa"/>
            <w:tcBorders>
              <w:top w:val="single" w:sz="6" w:space="0" w:color="000000"/>
              <w:left w:val="single" w:sz="6" w:space="0" w:color="000000"/>
              <w:bottom w:val="single" w:sz="6" w:space="0" w:color="000000"/>
              <w:right w:val="single" w:sz="6" w:space="0" w:color="000000"/>
            </w:tcBorders>
          </w:tcPr>
          <w:p w14:paraId="17B91212"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jw.</w:t>
            </w:r>
          </w:p>
        </w:tc>
      </w:tr>
      <w:tr w:rsidR="000A3B2B" w14:paraId="3F5AF6A0" w14:textId="77777777">
        <w:trPr>
          <w:trHeight w:val="60"/>
          <w:tblCellSpacing w:w="0" w:type="dxa"/>
        </w:trPr>
        <w:tc>
          <w:tcPr>
            <w:tcW w:w="1432" w:type="dxa"/>
            <w:vMerge w:val="restart"/>
            <w:tcBorders>
              <w:top w:val="single" w:sz="6" w:space="0" w:color="000000"/>
              <w:left w:val="single" w:sz="6" w:space="0" w:color="000000"/>
              <w:bottom w:val="single" w:sz="6" w:space="0" w:color="000000"/>
              <w:right w:val="single" w:sz="6" w:space="0" w:color="000000"/>
            </w:tcBorders>
            <w:shd w:val="clear" w:color="auto" w:fill="CCCCCC"/>
          </w:tcPr>
          <w:p w14:paraId="6AD28A92" w14:textId="77777777" w:rsidR="000A3B2B" w:rsidRDefault="000A3B2B">
            <w:pPr>
              <w:autoSpaceDE w:val="0"/>
              <w:autoSpaceDN w:val="0"/>
              <w:adjustRightInd w:val="0"/>
              <w:spacing w:after="30" w:line="240" w:lineRule="auto"/>
              <w:rPr>
                <w:rFonts w:ascii="Arial" w:hAnsi="Arial" w:cs="Arial"/>
                <w:b/>
                <w:bCs/>
                <w:color w:val="000000"/>
                <w:sz w:val="18"/>
                <w:szCs w:val="18"/>
                <w:lang w:val="x-none"/>
              </w:rPr>
            </w:pPr>
            <w:r>
              <w:rPr>
                <w:rFonts w:ascii="Arial" w:hAnsi="Arial" w:cs="Arial"/>
                <w:b/>
                <w:bCs/>
                <w:color w:val="000000"/>
                <w:sz w:val="18"/>
                <w:szCs w:val="18"/>
                <w:lang w:val="x-none"/>
              </w:rPr>
              <w:t>BETON</w:t>
            </w:r>
          </w:p>
        </w:tc>
        <w:tc>
          <w:tcPr>
            <w:tcW w:w="2670" w:type="dxa"/>
            <w:tcBorders>
              <w:top w:val="single" w:sz="6" w:space="0" w:color="000000"/>
              <w:left w:val="single" w:sz="6" w:space="0" w:color="000000"/>
              <w:bottom w:val="single" w:sz="6" w:space="0" w:color="000000"/>
              <w:right w:val="single" w:sz="6" w:space="0" w:color="000000"/>
            </w:tcBorders>
          </w:tcPr>
          <w:p w14:paraId="2A1AE605" w14:textId="77777777" w:rsidR="000A3B2B" w:rsidRDefault="000A3B2B">
            <w:pPr>
              <w:autoSpaceDE w:val="0"/>
              <w:autoSpaceDN w:val="0"/>
              <w:adjustRightInd w:val="0"/>
              <w:spacing w:after="30" w:line="240" w:lineRule="auto"/>
              <w:ind w:left="225" w:hanging="225"/>
              <w:rPr>
                <w:rFonts w:ascii="Arial" w:hAnsi="Arial" w:cs="Arial"/>
                <w:color w:val="000000"/>
                <w:sz w:val="18"/>
                <w:szCs w:val="18"/>
                <w:lang w:val="x-none"/>
              </w:rPr>
            </w:pPr>
            <w:r>
              <w:rPr>
                <w:rFonts w:ascii="Arial" w:hAnsi="Arial" w:cs="Arial"/>
                <w:color w:val="000000"/>
                <w:sz w:val="18"/>
                <w:szCs w:val="18"/>
                <w:lang w:val="x-none"/>
              </w:rPr>
              <w:t>1) Wytrzymałość na ściskanie na próbkach</w:t>
            </w:r>
          </w:p>
        </w:tc>
        <w:tc>
          <w:tcPr>
            <w:tcW w:w="2896" w:type="dxa"/>
            <w:tcBorders>
              <w:top w:val="single" w:sz="6" w:space="0" w:color="000000"/>
              <w:left w:val="single" w:sz="6" w:space="0" w:color="000000"/>
              <w:bottom w:val="single" w:sz="6" w:space="0" w:color="000000"/>
              <w:right w:val="single" w:sz="6" w:space="0" w:color="000000"/>
            </w:tcBorders>
          </w:tcPr>
          <w:p w14:paraId="64F725B5"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jw.</w:t>
            </w:r>
          </w:p>
        </w:tc>
        <w:tc>
          <w:tcPr>
            <w:tcW w:w="2400" w:type="dxa"/>
            <w:tcBorders>
              <w:top w:val="single" w:sz="6" w:space="0" w:color="000000"/>
              <w:left w:val="single" w:sz="6" w:space="0" w:color="000000"/>
              <w:bottom w:val="single" w:sz="6" w:space="0" w:color="000000"/>
              <w:right w:val="single" w:sz="6" w:space="0" w:color="000000"/>
            </w:tcBorders>
          </w:tcPr>
          <w:p w14:paraId="786E6D10"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Po ustaleniu recepty i po wykonaniu każdej partii betonu</w:t>
            </w:r>
          </w:p>
        </w:tc>
      </w:tr>
      <w:tr w:rsidR="000A3B2B" w14:paraId="0A7C8D8F" w14:textId="77777777">
        <w:trPr>
          <w:trHeight w:val="60"/>
          <w:tblCellSpacing w:w="0" w:type="dxa"/>
        </w:trPr>
        <w:tc>
          <w:tcPr>
            <w:tcW w:w="1432" w:type="dxa"/>
            <w:vMerge/>
            <w:tcBorders>
              <w:top w:val="single" w:sz="6" w:space="0" w:color="000000"/>
              <w:left w:val="single" w:sz="6" w:space="0" w:color="000000"/>
              <w:bottom w:val="single" w:sz="6" w:space="0" w:color="000000"/>
              <w:right w:val="single" w:sz="6" w:space="0" w:color="000000"/>
            </w:tcBorders>
            <w:shd w:val="clear" w:color="auto" w:fill="CCCCCC"/>
          </w:tcPr>
          <w:p w14:paraId="1FB41CB0" w14:textId="77777777" w:rsidR="000A3B2B" w:rsidRDefault="000A3B2B">
            <w:pPr>
              <w:autoSpaceDE w:val="0"/>
              <w:autoSpaceDN w:val="0"/>
              <w:adjustRightInd w:val="0"/>
              <w:spacing w:after="0" w:line="240" w:lineRule="auto"/>
              <w:rPr>
                <w:rFonts w:ascii="Arial" w:hAnsi="Arial" w:cs="Arial"/>
                <w:b/>
                <w:bCs/>
                <w:color w:val="000000"/>
                <w:sz w:val="18"/>
                <w:szCs w:val="18"/>
                <w:lang w:val="x-none"/>
              </w:rPr>
            </w:pPr>
          </w:p>
        </w:tc>
        <w:tc>
          <w:tcPr>
            <w:tcW w:w="2670" w:type="dxa"/>
            <w:tcBorders>
              <w:top w:val="single" w:sz="6" w:space="0" w:color="000000"/>
              <w:left w:val="single" w:sz="6" w:space="0" w:color="000000"/>
              <w:bottom w:val="single" w:sz="6" w:space="0" w:color="000000"/>
              <w:right w:val="single" w:sz="6" w:space="0" w:color="000000"/>
            </w:tcBorders>
          </w:tcPr>
          <w:p w14:paraId="5BBD4721" w14:textId="77777777" w:rsidR="000A3B2B" w:rsidRDefault="000A3B2B">
            <w:pPr>
              <w:autoSpaceDE w:val="0"/>
              <w:autoSpaceDN w:val="0"/>
              <w:adjustRightInd w:val="0"/>
              <w:spacing w:after="30" w:line="240" w:lineRule="auto"/>
              <w:ind w:left="225" w:hanging="225"/>
              <w:rPr>
                <w:rFonts w:ascii="Arial" w:hAnsi="Arial" w:cs="Arial"/>
                <w:color w:val="000000"/>
                <w:sz w:val="18"/>
                <w:szCs w:val="18"/>
                <w:lang w:val="x-none"/>
              </w:rPr>
            </w:pPr>
            <w:r>
              <w:rPr>
                <w:rFonts w:ascii="Arial" w:hAnsi="Arial" w:cs="Arial"/>
                <w:color w:val="000000"/>
                <w:sz w:val="18"/>
                <w:szCs w:val="18"/>
                <w:lang w:val="x-none"/>
              </w:rPr>
              <w:t>2) Wytrzymałość na ściskanie – badania nieniszczące</w:t>
            </w:r>
          </w:p>
        </w:tc>
        <w:tc>
          <w:tcPr>
            <w:tcW w:w="2896" w:type="dxa"/>
            <w:tcBorders>
              <w:top w:val="single" w:sz="6" w:space="0" w:color="000000"/>
              <w:left w:val="single" w:sz="6" w:space="0" w:color="000000"/>
              <w:bottom w:val="single" w:sz="6" w:space="0" w:color="000000"/>
              <w:right w:val="single" w:sz="6" w:space="0" w:color="000000"/>
            </w:tcBorders>
          </w:tcPr>
          <w:p w14:paraId="075EA9DD"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12504-4:2005</w:t>
            </w:r>
          </w:p>
        </w:tc>
        <w:tc>
          <w:tcPr>
            <w:tcW w:w="2400" w:type="dxa"/>
            <w:tcBorders>
              <w:top w:val="single" w:sz="6" w:space="0" w:color="000000"/>
              <w:left w:val="single" w:sz="6" w:space="0" w:color="000000"/>
              <w:bottom w:val="single" w:sz="6" w:space="0" w:color="000000"/>
              <w:right w:val="single" w:sz="6" w:space="0" w:color="000000"/>
            </w:tcBorders>
          </w:tcPr>
          <w:p w14:paraId="55A733D6"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W przypadkach technicznie uzasadnionych</w:t>
            </w:r>
          </w:p>
        </w:tc>
      </w:tr>
      <w:tr w:rsidR="000A3B2B" w14:paraId="7CCB8B43" w14:textId="77777777">
        <w:trPr>
          <w:trHeight w:val="60"/>
          <w:tblCellSpacing w:w="0" w:type="dxa"/>
        </w:trPr>
        <w:tc>
          <w:tcPr>
            <w:tcW w:w="1432" w:type="dxa"/>
            <w:vMerge/>
            <w:tcBorders>
              <w:top w:val="single" w:sz="6" w:space="0" w:color="000000"/>
              <w:left w:val="single" w:sz="6" w:space="0" w:color="000000"/>
              <w:bottom w:val="single" w:sz="6" w:space="0" w:color="000000"/>
              <w:right w:val="single" w:sz="6" w:space="0" w:color="000000"/>
            </w:tcBorders>
            <w:shd w:val="clear" w:color="auto" w:fill="CCCCCC"/>
          </w:tcPr>
          <w:p w14:paraId="674F613E" w14:textId="77777777" w:rsidR="000A3B2B" w:rsidRDefault="000A3B2B">
            <w:pPr>
              <w:autoSpaceDE w:val="0"/>
              <w:autoSpaceDN w:val="0"/>
              <w:adjustRightInd w:val="0"/>
              <w:spacing w:after="0" w:line="240" w:lineRule="auto"/>
              <w:rPr>
                <w:rFonts w:ascii="Arial" w:hAnsi="Arial" w:cs="Arial"/>
                <w:b/>
                <w:bCs/>
                <w:color w:val="000000"/>
                <w:sz w:val="18"/>
                <w:szCs w:val="18"/>
                <w:lang w:val="x-none"/>
              </w:rPr>
            </w:pPr>
          </w:p>
        </w:tc>
        <w:tc>
          <w:tcPr>
            <w:tcW w:w="2670" w:type="dxa"/>
            <w:tcBorders>
              <w:top w:val="single" w:sz="6" w:space="0" w:color="000000"/>
              <w:left w:val="single" w:sz="6" w:space="0" w:color="000000"/>
              <w:bottom w:val="single" w:sz="6" w:space="0" w:color="000000"/>
              <w:right w:val="single" w:sz="6" w:space="0" w:color="000000"/>
            </w:tcBorders>
          </w:tcPr>
          <w:p w14:paraId="6B526D80" w14:textId="77777777" w:rsidR="000A3B2B" w:rsidRDefault="000A3B2B">
            <w:pPr>
              <w:autoSpaceDE w:val="0"/>
              <w:autoSpaceDN w:val="0"/>
              <w:adjustRightInd w:val="0"/>
              <w:spacing w:after="30" w:line="240" w:lineRule="auto"/>
              <w:ind w:left="225" w:hanging="225"/>
              <w:rPr>
                <w:rFonts w:ascii="Arial" w:hAnsi="Arial" w:cs="Arial"/>
                <w:color w:val="000000"/>
                <w:sz w:val="18"/>
                <w:szCs w:val="18"/>
                <w:lang w:val="x-none"/>
              </w:rPr>
            </w:pPr>
            <w:r>
              <w:rPr>
                <w:rFonts w:ascii="Arial" w:hAnsi="Arial" w:cs="Arial"/>
                <w:color w:val="000000"/>
                <w:sz w:val="18"/>
                <w:szCs w:val="18"/>
                <w:lang w:val="x-none"/>
              </w:rPr>
              <w:t>3) Nasiąkliwość</w:t>
            </w:r>
          </w:p>
        </w:tc>
        <w:tc>
          <w:tcPr>
            <w:tcW w:w="2896" w:type="dxa"/>
            <w:tcBorders>
              <w:top w:val="single" w:sz="6" w:space="0" w:color="000000"/>
              <w:left w:val="single" w:sz="6" w:space="0" w:color="000000"/>
              <w:bottom w:val="single" w:sz="6" w:space="0" w:color="000000"/>
              <w:right w:val="single" w:sz="6" w:space="0" w:color="000000"/>
            </w:tcBorders>
          </w:tcPr>
          <w:p w14:paraId="543FA981"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12390-2:2011</w:t>
            </w:r>
          </w:p>
        </w:tc>
        <w:tc>
          <w:tcPr>
            <w:tcW w:w="2400" w:type="dxa"/>
            <w:tcBorders>
              <w:top w:val="single" w:sz="6" w:space="0" w:color="000000"/>
              <w:left w:val="single" w:sz="6" w:space="0" w:color="000000"/>
              <w:bottom w:val="single" w:sz="6" w:space="0" w:color="000000"/>
              <w:right w:val="single" w:sz="6" w:space="0" w:color="000000"/>
            </w:tcBorders>
          </w:tcPr>
          <w:p w14:paraId="2956AA2F"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Po ustaleniu recepty, 3 razy w okresie wykonywania konstrukcji i raz na 5000 m</w:t>
            </w:r>
            <w:r>
              <w:rPr>
                <w:rFonts w:ascii="Arial" w:hAnsi="Arial" w:cs="Arial"/>
                <w:color w:val="000000"/>
                <w:position w:val="4"/>
                <w:sz w:val="8"/>
                <w:szCs w:val="8"/>
                <w:lang w:val="x-none"/>
              </w:rPr>
              <w:t>3</w:t>
            </w:r>
            <w:r>
              <w:rPr>
                <w:rFonts w:ascii="Arial" w:hAnsi="Arial" w:cs="Arial"/>
                <w:color w:val="000000"/>
                <w:sz w:val="18"/>
                <w:szCs w:val="18"/>
                <w:lang w:val="x-none"/>
              </w:rPr>
              <w:t xml:space="preserve"> betonu</w:t>
            </w:r>
          </w:p>
        </w:tc>
      </w:tr>
      <w:tr w:rsidR="000A3B2B" w14:paraId="796B335C" w14:textId="77777777">
        <w:trPr>
          <w:trHeight w:val="60"/>
          <w:tblCellSpacing w:w="0" w:type="dxa"/>
        </w:trPr>
        <w:tc>
          <w:tcPr>
            <w:tcW w:w="1432" w:type="dxa"/>
            <w:vMerge/>
            <w:tcBorders>
              <w:top w:val="single" w:sz="6" w:space="0" w:color="000000"/>
              <w:left w:val="single" w:sz="6" w:space="0" w:color="000000"/>
              <w:bottom w:val="single" w:sz="6" w:space="0" w:color="000000"/>
              <w:right w:val="single" w:sz="6" w:space="0" w:color="000000"/>
            </w:tcBorders>
            <w:shd w:val="clear" w:color="auto" w:fill="CCCCCC"/>
          </w:tcPr>
          <w:p w14:paraId="27AA8067" w14:textId="77777777" w:rsidR="000A3B2B" w:rsidRDefault="000A3B2B">
            <w:pPr>
              <w:autoSpaceDE w:val="0"/>
              <w:autoSpaceDN w:val="0"/>
              <w:adjustRightInd w:val="0"/>
              <w:spacing w:after="0" w:line="240" w:lineRule="auto"/>
              <w:rPr>
                <w:rFonts w:ascii="Arial" w:hAnsi="Arial" w:cs="Arial"/>
                <w:b/>
                <w:bCs/>
                <w:color w:val="000000"/>
                <w:sz w:val="18"/>
                <w:szCs w:val="18"/>
                <w:lang w:val="x-none"/>
              </w:rPr>
            </w:pPr>
          </w:p>
        </w:tc>
        <w:tc>
          <w:tcPr>
            <w:tcW w:w="2670" w:type="dxa"/>
            <w:tcBorders>
              <w:top w:val="single" w:sz="6" w:space="0" w:color="000000"/>
              <w:left w:val="single" w:sz="6" w:space="0" w:color="000000"/>
              <w:bottom w:val="single" w:sz="6" w:space="0" w:color="000000"/>
              <w:right w:val="single" w:sz="6" w:space="0" w:color="000000"/>
            </w:tcBorders>
          </w:tcPr>
          <w:p w14:paraId="530CBB05" w14:textId="77777777" w:rsidR="000A3B2B" w:rsidRDefault="000A3B2B">
            <w:pPr>
              <w:autoSpaceDE w:val="0"/>
              <w:autoSpaceDN w:val="0"/>
              <w:adjustRightInd w:val="0"/>
              <w:spacing w:after="30" w:line="240" w:lineRule="auto"/>
              <w:ind w:left="225" w:hanging="225"/>
              <w:rPr>
                <w:rFonts w:ascii="Arial" w:hAnsi="Arial" w:cs="Arial"/>
                <w:color w:val="000000"/>
                <w:sz w:val="18"/>
                <w:szCs w:val="18"/>
                <w:lang w:val="x-none"/>
              </w:rPr>
            </w:pPr>
            <w:r>
              <w:rPr>
                <w:rFonts w:ascii="Arial" w:hAnsi="Arial" w:cs="Arial"/>
                <w:color w:val="000000"/>
                <w:sz w:val="18"/>
                <w:szCs w:val="18"/>
                <w:lang w:val="x-none"/>
              </w:rPr>
              <w:t>4) Mrozoodporność</w:t>
            </w:r>
          </w:p>
        </w:tc>
        <w:tc>
          <w:tcPr>
            <w:tcW w:w="2896" w:type="dxa"/>
            <w:tcBorders>
              <w:top w:val="single" w:sz="6" w:space="0" w:color="000000"/>
              <w:left w:val="single" w:sz="6" w:space="0" w:color="000000"/>
              <w:bottom w:val="single" w:sz="6" w:space="0" w:color="000000"/>
              <w:right w:val="single" w:sz="6" w:space="0" w:color="000000"/>
            </w:tcBorders>
          </w:tcPr>
          <w:p w14:paraId="2A6F9339"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PN-B-06265:2004</w:t>
            </w:r>
          </w:p>
        </w:tc>
        <w:tc>
          <w:tcPr>
            <w:tcW w:w="2400" w:type="dxa"/>
            <w:tcBorders>
              <w:top w:val="single" w:sz="6" w:space="0" w:color="000000"/>
              <w:left w:val="single" w:sz="6" w:space="0" w:color="000000"/>
              <w:bottom w:val="single" w:sz="6" w:space="0" w:color="000000"/>
              <w:right w:val="single" w:sz="6" w:space="0" w:color="000000"/>
            </w:tcBorders>
          </w:tcPr>
          <w:p w14:paraId="156FB479"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jw.</w:t>
            </w:r>
          </w:p>
        </w:tc>
      </w:tr>
      <w:tr w:rsidR="000A3B2B" w14:paraId="5730C99F" w14:textId="77777777">
        <w:trPr>
          <w:trHeight w:val="60"/>
          <w:tblCellSpacing w:w="0" w:type="dxa"/>
        </w:trPr>
        <w:tc>
          <w:tcPr>
            <w:tcW w:w="1432" w:type="dxa"/>
            <w:vMerge/>
            <w:tcBorders>
              <w:top w:val="single" w:sz="6" w:space="0" w:color="000000"/>
              <w:left w:val="single" w:sz="6" w:space="0" w:color="000000"/>
              <w:bottom w:val="single" w:sz="6" w:space="0" w:color="000000"/>
              <w:right w:val="single" w:sz="6" w:space="0" w:color="000000"/>
            </w:tcBorders>
            <w:shd w:val="clear" w:color="auto" w:fill="CCCCCC"/>
          </w:tcPr>
          <w:p w14:paraId="209E5379" w14:textId="77777777" w:rsidR="000A3B2B" w:rsidRDefault="000A3B2B">
            <w:pPr>
              <w:autoSpaceDE w:val="0"/>
              <w:autoSpaceDN w:val="0"/>
              <w:adjustRightInd w:val="0"/>
              <w:spacing w:after="0" w:line="240" w:lineRule="auto"/>
              <w:rPr>
                <w:rFonts w:ascii="Arial" w:hAnsi="Arial" w:cs="Arial"/>
                <w:b/>
                <w:bCs/>
                <w:color w:val="000000"/>
                <w:sz w:val="18"/>
                <w:szCs w:val="18"/>
                <w:lang w:val="x-none"/>
              </w:rPr>
            </w:pPr>
          </w:p>
        </w:tc>
        <w:tc>
          <w:tcPr>
            <w:tcW w:w="2670" w:type="dxa"/>
            <w:tcBorders>
              <w:top w:val="single" w:sz="6" w:space="0" w:color="000000"/>
              <w:left w:val="single" w:sz="6" w:space="0" w:color="000000"/>
              <w:bottom w:val="single" w:sz="6" w:space="0" w:color="000000"/>
              <w:right w:val="single" w:sz="6" w:space="0" w:color="000000"/>
            </w:tcBorders>
          </w:tcPr>
          <w:p w14:paraId="74F516F4" w14:textId="77777777" w:rsidR="000A3B2B" w:rsidRDefault="000A3B2B">
            <w:pPr>
              <w:autoSpaceDE w:val="0"/>
              <w:autoSpaceDN w:val="0"/>
              <w:adjustRightInd w:val="0"/>
              <w:spacing w:after="30" w:line="240" w:lineRule="auto"/>
              <w:ind w:left="225" w:hanging="225"/>
              <w:rPr>
                <w:rFonts w:ascii="Arial" w:hAnsi="Arial" w:cs="Arial"/>
                <w:color w:val="000000"/>
                <w:sz w:val="18"/>
                <w:szCs w:val="18"/>
                <w:lang w:val="x-none"/>
              </w:rPr>
            </w:pPr>
            <w:r>
              <w:rPr>
                <w:rFonts w:ascii="Arial" w:hAnsi="Arial" w:cs="Arial"/>
                <w:color w:val="000000"/>
                <w:sz w:val="18"/>
                <w:szCs w:val="18"/>
                <w:lang w:val="x-none"/>
              </w:rPr>
              <w:t>5) Przepuszczalność wody</w:t>
            </w:r>
          </w:p>
        </w:tc>
        <w:tc>
          <w:tcPr>
            <w:tcW w:w="2896" w:type="dxa"/>
            <w:tcBorders>
              <w:top w:val="single" w:sz="6" w:space="0" w:color="000000"/>
              <w:left w:val="single" w:sz="6" w:space="0" w:color="000000"/>
              <w:bottom w:val="single" w:sz="6" w:space="0" w:color="000000"/>
              <w:right w:val="single" w:sz="6" w:space="0" w:color="000000"/>
            </w:tcBorders>
          </w:tcPr>
          <w:p w14:paraId="797E9236"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12390-8:2011</w:t>
            </w:r>
          </w:p>
        </w:tc>
        <w:tc>
          <w:tcPr>
            <w:tcW w:w="2400" w:type="dxa"/>
            <w:tcBorders>
              <w:top w:val="single" w:sz="6" w:space="0" w:color="000000"/>
              <w:left w:val="single" w:sz="6" w:space="0" w:color="000000"/>
              <w:bottom w:val="single" w:sz="6" w:space="0" w:color="000000"/>
              <w:right w:val="single" w:sz="6" w:space="0" w:color="000000"/>
            </w:tcBorders>
          </w:tcPr>
          <w:p w14:paraId="07BC2053"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jw.</w:t>
            </w:r>
          </w:p>
        </w:tc>
      </w:tr>
    </w:tbl>
    <w:p w14:paraId="05B3BED1"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p>
    <w:p w14:paraId="5BAC1A89"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6.3.</w:t>
      </w:r>
      <w:r>
        <w:rPr>
          <w:rFonts w:ascii="Arial" w:hAnsi="Arial" w:cs="Arial"/>
          <w:b/>
          <w:bCs/>
          <w:color w:val="000000"/>
          <w:sz w:val="18"/>
          <w:szCs w:val="18"/>
          <w:lang w:val="x-none"/>
        </w:rPr>
        <w:tab/>
        <w:t xml:space="preserve">Kontrola </w:t>
      </w:r>
      <w:proofErr w:type="spellStart"/>
      <w:r>
        <w:rPr>
          <w:rFonts w:ascii="Arial" w:hAnsi="Arial" w:cs="Arial"/>
          <w:b/>
          <w:bCs/>
          <w:color w:val="000000"/>
          <w:sz w:val="18"/>
          <w:szCs w:val="18"/>
          <w:lang w:val="x-none"/>
        </w:rPr>
        <w:t>deskowań</w:t>
      </w:r>
      <w:proofErr w:type="spellEnd"/>
      <w:r>
        <w:rPr>
          <w:rFonts w:ascii="Arial" w:hAnsi="Arial" w:cs="Arial"/>
          <w:b/>
          <w:bCs/>
          <w:color w:val="000000"/>
          <w:sz w:val="18"/>
          <w:szCs w:val="18"/>
          <w:lang w:val="x-none"/>
        </w:rPr>
        <w:t xml:space="preserve"> i rusztowań</w:t>
      </w:r>
    </w:p>
    <w:p w14:paraId="7482E5F7"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Badania elementów rusztowań należy przeprowadzić w zależności od użytego materiału zgodnie z:</w:t>
      </w:r>
    </w:p>
    <w:p w14:paraId="5CBD19A8"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PN-M-47900-2:1996 w przypadku elementów stalowych,</w:t>
      </w:r>
    </w:p>
    <w:p w14:paraId="5D8E35A5"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PN-B-03163:1998 w przypadku konstrukcji drewnianych.</w:t>
      </w:r>
    </w:p>
    <w:tbl>
      <w:tblPr>
        <w:tblW w:w="0" w:type="auto"/>
        <w:tblCellSpacing w:w="0" w:type="dxa"/>
        <w:tblInd w:w="-8" w:type="dxa"/>
        <w:tblLayout w:type="fixed"/>
        <w:tblCellMar>
          <w:left w:w="0" w:type="dxa"/>
          <w:right w:w="0" w:type="dxa"/>
        </w:tblCellMar>
        <w:tblLook w:val="0000" w:firstRow="0" w:lastRow="0" w:firstColumn="0" w:lastColumn="0" w:noHBand="0" w:noVBand="0"/>
      </w:tblPr>
      <w:tblGrid>
        <w:gridCol w:w="9352"/>
      </w:tblGrid>
      <w:tr w:rsidR="000A3B2B" w14:paraId="305F6E45" w14:textId="77777777">
        <w:trPr>
          <w:trHeight w:val="60"/>
          <w:tblCellSpacing w:w="0" w:type="dxa"/>
        </w:trPr>
        <w:tc>
          <w:tcPr>
            <w:tcW w:w="9352" w:type="dxa"/>
            <w:tcBorders>
              <w:top w:val="single" w:sz="6" w:space="0" w:color="000000"/>
              <w:left w:val="single" w:sz="6" w:space="0" w:color="000000"/>
              <w:bottom w:val="single" w:sz="6" w:space="0" w:color="000000"/>
              <w:right w:val="single" w:sz="6" w:space="0" w:color="000000"/>
            </w:tcBorders>
            <w:shd w:val="clear" w:color="auto" w:fill="CCCCCC"/>
          </w:tcPr>
          <w:p w14:paraId="33ACDF32" w14:textId="77777777" w:rsidR="000A3B2B" w:rsidRDefault="000A3B2B">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Każde deskowanie powinno być odebrane. Przedmiotem sprawdzenia w czasie odbioru powinny być:</w:t>
            </w:r>
          </w:p>
          <w:p w14:paraId="09FB5C5B" w14:textId="77777777" w:rsidR="000A3B2B" w:rsidRDefault="000A3B2B">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klasy drewna i jego wady (sęki),</w:t>
            </w:r>
          </w:p>
          <w:p w14:paraId="0B12C4B6" w14:textId="77777777" w:rsidR="000A3B2B" w:rsidRDefault="000A3B2B">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szczelność </w:t>
            </w:r>
            <w:proofErr w:type="spellStart"/>
            <w:r>
              <w:rPr>
                <w:rFonts w:ascii="Arial" w:hAnsi="Arial" w:cs="Arial"/>
                <w:color w:val="000000"/>
                <w:sz w:val="18"/>
                <w:szCs w:val="18"/>
                <w:lang w:val="x-none"/>
              </w:rPr>
              <w:t>deskowań</w:t>
            </w:r>
            <w:proofErr w:type="spellEnd"/>
            <w:r>
              <w:rPr>
                <w:rFonts w:ascii="Arial" w:hAnsi="Arial" w:cs="Arial"/>
                <w:color w:val="000000"/>
                <w:sz w:val="18"/>
                <w:szCs w:val="18"/>
                <w:lang w:val="x-none"/>
              </w:rPr>
              <w:t xml:space="preserve"> w płaszczyznach i narożach wklęsłych,</w:t>
            </w:r>
          </w:p>
          <w:p w14:paraId="6A112FB0" w14:textId="77777777" w:rsidR="000A3B2B" w:rsidRDefault="000A3B2B">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poziom górnej krawędzi i powierzchni deskowania przed i po betonowaniu.</w:t>
            </w:r>
          </w:p>
        </w:tc>
      </w:tr>
    </w:tbl>
    <w:p w14:paraId="58162628"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64C2A53F" w14:textId="77777777" w:rsidR="000A3B2B" w:rsidRDefault="000A3B2B" w:rsidP="009E5295">
      <w:pPr>
        <w:autoSpaceDE w:val="0"/>
        <w:autoSpaceDN w:val="0"/>
        <w:adjustRightInd w:val="0"/>
        <w:spacing w:before="60"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 xml:space="preserve">Dopuszcza się następujące odchyłki </w:t>
      </w:r>
      <w:proofErr w:type="spellStart"/>
      <w:r>
        <w:rPr>
          <w:rFonts w:ascii="Arial" w:hAnsi="Arial" w:cs="Arial"/>
          <w:color w:val="000000"/>
          <w:sz w:val="18"/>
          <w:szCs w:val="18"/>
          <w:lang w:val="x-none"/>
        </w:rPr>
        <w:t>deskowań</w:t>
      </w:r>
      <w:proofErr w:type="spellEnd"/>
      <w:r>
        <w:rPr>
          <w:rFonts w:ascii="Arial" w:hAnsi="Arial" w:cs="Arial"/>
          <w:color w:val="000000"/>
          <w:sz w:val="18"/>
          <w:szCs w:val="18"/>
          <w:lang w:val="x-none"/>
        </w:rPr>
        <w:t xml:space="preserve"> w stosunku do wielkości założonych w projekcie technologicznym </w:t>
      </w:r>
      <w:proofErr w:type="spellStart"/>
      <w:r>
        <w:rPr>
          <w:rFonts w:ascii="Arial" w:hAnsi="Arial" w:cs="Arial"/>
          <w:color w:val="000000"/>
          <w:sz w:val="18"/>
          <w:szCs w:val="18"/>
          <w:lang w:val="x-none"/>
        </w:rPr>
        <w:t>deskowań</w:t>
      </w:r>
      <w:proofErr w:type="spellEnd"/>
      <w:r>
        <w:rPr>
          <w:rFonts w:ascii="Arial" w:hAnsi="Arial" w:cs="Arial"/>
          <w:color w:val="000000"/>
          <w:sz w:val="18"/>
          <w:szCs w:val="18"/>
          <w:lang w:val="x-none"/>
        </w:rPr>
        <w:t>:</w:t>
      </w:r>
    </w:p>
    <w:p w14:paraId="1A4A3E20"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a)</w:t>
      </w:r>
      <w:r>
        <w:rPr>
          <w:rFonts w:ascii="Arial" w:hAnsi="Arial" w:cs="Arial"/>
          <w:color w:val="000000"/>
          <w:sz w:val="18"/>
          <w:szCs w:val="18"/>
          <w:lang w:val="x-none"/>
        </w:rPr>
        <w:tab/>
        <w:t>rozstaw żeber ±0,5%, lecz nie więcej niż o 2 cm,</w:t>
      </w:r>
    </w:p>
    <w:p w14:paraId="2D3E1C1B"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b)</w:t>
      </w:r>
      <w:r>
        <w:rPr>
          <w:rFonts w:ascii="Arial" w:hAnsi="Arial" w:cs="Arial"/>
          <w:color w:val="000000"/>
          <w:sz w:val="18"/>
          <w:szCs w:val="18"/>
          <w:lang w:val="x-none"/>
        </w:rPr>
        <w:tab/>
        <w:t xml:space="preserve">odchylenie </w:t>
      </w:r>
      <w:proofErr w:type="spellStart"/>
      <w:r>
        <w:rPr>
          <w:rFonts w:ascii="Arial" w:hAnsi="Arial" w:cs="Arial"/>
          <w:color w:val="000000"/>
          <w:sz w:val="18"/>
          <w:szCs w:val="18"/>
          <w:lang w:val="x-none"/>
        </w:rPr>
        <w:t>deskowań</w:t>
      </w:r>
      <w:proofErr w:type="spellEnd"/>
      <w:r>
        <w:rPr>
          <w:rFonts w:ascii="Arial" w:hAnsi="Arial" w:cs="Arial"/>
          <w:color w:val="000000"/>
          <w:sz w:val="18"/>
          <w:szCs w:val="18"/>
          <w:lang w:val="x-none"/>
        </w:rPr>
        <w:t xml:space="preserve"> od prostoliniowości lub od płaszczyzny o 0,1%,</w:t>
      </w:r>
    </w:p>
    <w:p w14:paraId="42C9006A"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c)</w:t>
      </w:r>
      <w:r>
        <w:rPr>
          <w:rFonts w:ascii="Arial" w:hAnsi="Arial" w:cs="Arial"/>
          <w:color w:val="000000"/>
          <w:sz w:val="18"/>
          <w:szCs w:val="18"/>
          <w:lang w:val="x-none"/>
        </w:rPr>
        <w:tab/>
        <w:t>różnice w grubości desek ±0,2 cm,</w:t>
      </w:r>
    </w:p>
    <w:p w14:paraId="3421BCB9"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d)</w:t>
      </w:r>
      <w:r>
        <w:rPr>
          <w:rFonts w:ascii="Arial" w:hAnsi="Arial" w:cs="Arial"/>
          <w:color w:val="000000"/>
          <w:sz w:val="18"/>
          <w:szCs w:val="18"/>
          <w:lang w:val="x-none"/>
        </w:rPr>
        <w:tab/>
        <w:t>odchylenie ścian od pionu o ±0,2%, lecz nie więcej niż 0,5 cm,</w:t>
      </w:r>
    </w:p>
    <w:p w14:paraId="0D51D35C"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e)</w:t>
      </w:r>
      <w:r>
        <w:rPr>
          <w:rFonts w:ascii="Arial" w:hAnsi="Arial" w:cs="Arial"/>
          <w:color w:val="000000"/>
          <w:sz w:val="18"/>
          <w:szCs w:val="18"/>
          <w:lang w:val="x-none"/>
        </w:rPr>
        <w:tab/>
        <w:t>wybrzuszenie powierzchni o ±0,2 cm, na odcinku 3 m,</w:t>
      </w:r>
    </w:p>
    <w:p w14:paraId="17263535"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f)</w:t>
      </w:r>
      <w:r>
        <w:rPr>
          <w:rFonts w:ascii="Arial" w:hAnsi="Arial" w:cs="Arial"/>
          <w:color w:val="000000"/>
          <w:sz w:val="18"/>
          <w:szCs w:val="18"/>
          <w:lang w:val="x-none"/>
        </w:rPr>
        <w:tab/>
        <w:t xml:space="preserve">odchyłki wymiarów wewnętrznych </w:t>
      </w:r>
      <w:proofErr w:type="spellStart"/>
      <w:r>
        <w:rPr>
          <w:rFonts w:ascii="Arial" w:hAnsi="Arial" w:cs="Arial"/>
          <w:color w:val="000000"/>
          <w:sz w:val="18"/>
          <w:szCs w:val="18"/>
          <w:lang w:val="x-none"/>
        </w:rPr>
        <w:t>deskowań</w:t>
      </w:r>
      <w:proofErr w:type="spellEnd"/>
      <w:r>
        <w:rPr>
          <w:rFonts w:ascii="Arial" w:hAnsi="Arial" w:cs="Arial"/>
          <w:color w:val="000000"/>
          <w:sz w:val="18"/>
          <w:szCs w:val="18"/>
          <w:lang w:val="x-none"/>
        </w:rPr>
        <w:t xml:space="preserve"> (przekrojów betonowych):</w:t>
      </w:r>
    </w:p>
    <w:p w14:paraId="2FD4025B" w14:textId="77777777" w:rsidR="000A3B2B" w:rsidRDefault="000A3B2B" w:rsidP="009E5295">
      <w:pPr>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0,2% wysokości, lecz nie więcej niż –0,5 cm,</w:t>
      </w:r>
    </w:p>
    <w:p w14:paraId="736B1733" w14:textId="77777777" w:rsidR="000A3B2B" w:rsidRDefault="000A3B2B" w:rsidP="009E5295">
      <w:pPr>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+0,5% wysokości, lecz nie więcej niż +2 cm,</w:t>
      </w:r>
    </w:p>
    <w:p w14:paraId="6E65FDEE" w14:textId="77777777" w:rsidR="000A3B2B" w:rsidRDefault="000A3B2B" w:rsidP="009E5295">
      <w:pPr>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–0,2% grubości (szerokości), lecz nie więcej niż +0,5 cm.</w:t>
      </w:r>
    </w:p>
    <w:p w14:paraId="59CB7DC8"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 każdym rusztowaniu w czasie odbioru należy sprawdzić:</w:t>
      </w:r>
    </w:p>
    <w:p w14:paraId="6EA55844"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rodzaj materiału (klasę drewna – nie należy stosować do rusztowań klasy niższej niż K27),</w:t>
      </w:r>
    </w:p>
    <w:p w14:paraId="58381725"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łączniki i złącza,</w:t>
      </w:r>
    </w:p>
    <w:p w14:paraId="7ADCDCC0"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poziomy górnych krawędzi przed obciążeniem i po obciążeniu oraz krawędzie dolne,</w:t>
      </w:r>
    </w:p>
    <w:p w14:paraId="060DAAB0"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efektywność stężeń,</w:t>
      </w:r>
    </w:p>
    <w:p w14:paraId="5559DC02"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przygotowanie podłoża i sposób przekazywania nacisków na podłoże.</w:t>
      </w:r>
    </w:p>
    <w:p w14:paraId="735A09CC" w14:textId="77777777" w:rsidR="000A3B2B" w:rsidRDefault="000A3B2B" w:rsidP="009E5295">
      <w:pPr>
        <w:autoSpaceDE w:val="0"/>
        <w:autoSpaceDN w:val="0"/>
        <w:adjustRightInd w:val="0"/>
        <w:spacing w:after="30" w:line="240" w:lineRule="auto"/>
        <w:ind w:firstLine="285"/>
        <w:jc w:val="both"/>
        <w:rPr>
          <w:rFonts w:ascii="Arial" w:hAnsi="Arial" w:cs="Arial"/>
          <w:b/>
          <w:bCs/>
          <w:color w:val="000000"/>
          <w:sz w:val="18"/>
          <w:szCs w:val="18"/>
          <w:lang w:val="x-none"/>
        </w:rPr>
      </w:pPr>
      <w:r>
        <w:rPr>
          <w:rFonts w:ascii="Arial" w:hAnsi="Arial" w:cs="Arial"/>
          <w:b/>
          <w:bCs/>
          <w:color w:val="000000"/>
          <w:sz w:val="18"/>
          <w:szCs w:val="18"/>
          <w:lang w:val="x-none"/>
        </w:rPr>
        <w:t xml:space="preserve">Rusztowania i deskowania powinny być przedmiotem bieżącej kontroli geodezyjnej podczas ich budowy, w czasie betonowania oraz demontażu (sprawdzenie wpływu zdjęcia rusztowań i </w:t>
      </w:r>
      <w:proofErr w:type="spellStart"/>
      <w:r>
        <w:rPr>
          <w:rFonts w:ascii="Arial" w:hAnsi="Arial" w:cs="Arial"/>
          <w:b/>
          <w:bCs/>
          <w:color w:val="000000"/>
          <w:sz w:val="18"/>
          <w:szCs w:val="18"/>
          <w:lang w:val="x-none"/>
        </w:rPr>
        <w:t>deskowań</w:t>
      </w:r>
      <w:proofErr w:type="spellEnd"/>
      <w:r>
        <w:rPr>
          <w:rFonts w:ascii="Arial" w:hAnsi="Arial" w:cs="Arial"/>
          <w:b/>
          <w:bCs/>
          <w:color w:val="000000"/>
          <w:sz w:val="18"/>
          <w:szCs w:val="18"/>
          <w:lang w:val="x-none"/>
        </w:rPr>
        <w:t xml:space="preserve"> na odkształcenia konstrukcji nośnej).</w:t>
      </w:r>
    </w:p>
    <w:p w14:paraId="6036C57A"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 xml:space="preserve"> </w:t>
      </w:r>
    </w:p>
    <w:p w14:paraId="3042C897" w14:textId="77777777" w:rsidR="000A3B2B" w:rsidRDefault="000A3B2B" w:rsidP="009E5295">
      <w:pPr>
        <w:autoSpaceDE w:val="0"/>
        <w:autoSpaceDN w:val="0"/>
        <w:adjustRightInd w:val="0"/>
        <w:spacing w:before="225" w:after="12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7.</w:t>
      </w:r>
      <w:r>
        <w:rPr>
          <w:rFonts w:ascii="Arial" w:hAnsi="Arial" w:cs="Arial"/>
          <w:b/>
          <w:bCs/>
          <w:color w:val="000000"/>
          <w:sz w:val="18"/>
          <w:szCs w:val="18"/>
          <w:lang w:val="x-none"/>
        </w:rPr>
        <w:tab/>
        <w:t>WYMAGANIA DOTYCZĄCE PRZEDMIARU I OBMIARU ROBÓT</w:t>
      </w:r>
    </w:p>
    <w:p w14:paraId="0D161895"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7.1.</w:t>
      </w:r>
      <w:r>
        <w:rPr>
          <w:rFonts w:ascii="Arial" w:hAnsi="Arial" w:cs="Arial"/>
          <w:b/>
          <w:bCs/>
          <w:color w:val="000000"/>
          <w:sz w:val="18"/>
          <w:szCs w:val="18"/>
          <w:lang w:val="x-none"/>
        </w:rPr>
        <w:tab/>
        <w:t>Ogólne zasady obmiaru robót podano w ST „Wymagania ogólne” Kod CPV 45000000-7, pkt 7</w:t>
      </w:r>
    </w:p>
    <w:p w14:paraId="23B9C9CC"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p>
    <w:p w14:paraId="297F5D65"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7.2.</w:t>
      </w:r>
      <w:r>
        <w:rPr>
          <w:rFonts w:ascii="Arial" w:hAnsi="Arial" w:cs="Arial"/>
          <w:b/>
          <w:bCs/>
          <w:color w:val="000000"/>
          <w:sz w:val="18"/>
          <w:szCs w:val="18"/>
          <w:lang w:val="x-none"/>
        </w:rPr>
        <w:tab/>
        <w:t>Szczegółowe zasady obmiaru robót betonowych</w:t>
      </w:r>
    </w:p>
    <w:p w14:paraId="162EADB5"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Objętość konstrukcji betonowej lub żelbetowej oblicza się w m</w:t>
      </w:r>
      <w:r>
        <w:rPr>
          <w:rFonts w:ascii="Arial" w:hAnsi="Arial" w:cs="Arial"/>
          <w:color w:val="000000"/>
          <w:position w:val="4"/>
          <w:sz w:val="8"/>
          <w:szCs w:val="8"/>
          <w:lang w:val="x-none"/>
        </w:rPr>
        <w:t>3</w:t>
      </w:r>
      <w:r>
        <w:rPr>
          <w:rFonts w:ascii="Arial" w:hAnsi="Arial" w:cs="Arial"/>
          <w:color w:val="000000"/>
          <w:sz w:val="18"/>
          <w:szCs w:val="18"/>
          <w:lang w:val="x-none"/>
        </w:rPr>
        <w:t xml:space="preserve"> (metr sześcienny). Do obliczenia ilości przedmiarowej lub obmiarowej przyjmuje się wymiary według dokumentacji projektowej. Z kubatury nie potrąca się rowków, skosów o przekroju równym lub mniejszym od 6 cm</w:t>
      </w:r>
      <w:r>
        <w:rPr>
          <w:rFonts w:ascii="Arial" w:hAnsi="Arial" w:cs="Arial"/>
          <w:color w:val="000000"/>
          <w:position w:val="4"/>
          <w:sz w:val="8"/>
          <w:szCs w:val="8"/>
          <w:lang w:val="x-none"/>
        </w:rPr>
        <w:t>2</w:t>
      </w:r>
      <w:r>
        <w:rPr>
          <w:rFonts w:ascii="Arial" w:hAnsi="Arial" w:cs="Arial"/>
          <w:color w:val="000000"/>
          <w:sz w:val="18"/>
          <w:szCs w:val="18"/>
          <w:lang w:val="x-none"/>
        </w:rPr>
        <w:t>.</w:t>
      </w:r>
    </w:p>
    <w:p w14:paraId="17CAAD35"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5563836C" w14:textId="77777777" w:rsidR="000A3B2B" w:rsidRDefault="000A3B2B" w:rsidP="009E5295">
      <w:pPr>
        <w:autoSpaceDE w:val="0"/>
        <w:autoSpaceDN w:val="0"/>
        <w:adjustRightInd w:val="0"/>
        <w:spacing w:before="225" w:after="12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8.</w:t>
      </w:r>
      <w:r>
        <w:rPr>
          <w:rFonts w:ascii="Arial" w:hAnsi="Arial" w:cs="Arial"/>
          <w:b/>
          <w:bCs/>
          <w:color w:val="000000"/>
          <w:sz w:val="18"/>
          <w:szCs w:val="18"/>
          <w:lang w:val="x-none"/>
        </w:rPr>
        <w:tab/>
        <w:t>SPOSÓB ODBIORU ROBÓT</w:t>
      </w:r>
    </w:p>
    <w:p w14:paraId="65B5B6C6"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8.1.</w:t>
      </w:r>
      <w:r>
        <w:rPr>
          <w:rFonts w:ascii="Arial" w:hAnsi="Arial" w:cs="Arial"/>
          <w:b/>
          <w:bCs/>
          <w:color w:val="000000"/>
          <w:sz w:val="18"/>
          <w:szCs w:val="18"/>
          <w:lang w:val="x-none"/>
        </w:rPr>
        <w:tab/>
        <w:t>Ogólne zasady odbioru robót podano w ST „Wymagania ogólne” Kod CPV 45000000-7, pkt 8</w:t>
      </w:r>
    </w:p>
    <w:p w14:paraId="0731C364"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p>
    <w:p w14:paraId="1B2197AA"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8.2.</w:t>
      </w:r>
      <w:r>
        <w:rPr>
          <w:rFonts w:ascii="Arial" w:hAnsi="Arial" w:cs="Arial"/>
          <w:b/>
          <w:bCs/>
          <w:color w:val="000000"/>
          <w:sz w:val="18"/>
          <w:szCs w:val="18"/>
          <w:lang w:val="x-none"/>
        </w:rPr>
        <w:tab/>
        <w:t>Odbiór robót zanikających lub ulegających zakryciu</w:t>
      </w:r>
    </w:p>
    <w:p w14:paraId="72C42168"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 trakcie odbioru należy przeprowadzić badania wymienione w pkt. 6 niniejszej specyfikacji.</w:t>
      </w:r>
    </w:p>
    <w:p w14:paraId="69428C03"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Jeżeli wszystkie pomiary i badania dały wynik pozytywny można uznać, że roboty betoniarskie zostały wykonane zgodnie z dokumentacją projektową oraz specyfikacją techniczną (szczegółową).</w:t>
      </w:r>
    </w:p>
    <w:p w14:paraId="39024B66"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Jeżeli chociaż jeden wynik badania jest negatywny roboty należy uznać za niezgodne z wymaganiami. W takim przypadku należy ustalić zakres prac koniecznych do usunięcia nieprawidłowości. Po wykonaniu ustalonego zakresu prac należy przedstawić je do ponownego odbioru.</w:t>
      </w:r>
    </w:p>
    <w:p w14:paraId="281348A5"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Wszystkie ustalenia związane z dokonanym odbiorem robót ulegających zakryciu należy zapisać w dzienniku budowy lub protokole podpisanym przez przedstawicieli inwestora (inspektor nadzoru) i wykonawcy (kierownik budowy).</w:t>
      </w:r>
    </w:p>
    <w:p w14:paraId="06D6AB73"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p>
    <w:p w14:paraId="747C1585"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8.3.</w:t>
      </w:r>
      <w:r>
        <w:rPr>
          <w:rFonts w:ascii="Arial" w:hAnsi="Arial" w:cs="Arial"/>
          <w:b/>
          <w:bCs/>
          <w:color w:val="000000"/>
          <w:sz w:val="18"/>
          <w:szCs w:val="18"/>
          <w:lang w:val="x-none"/>
        </w:rPr>
        <w:tab/>
        <w:t>Odbiór częściowy</w:t>
      </w:r>
    </w:p>
    <w:p w14:paraId="575278BD"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Odbiór częściowy polega na ocenie ilości i jakości wykonanej części robót. Odbioru częściowego robót dokonuje się dla zakresu określonego w dokumentach umownych, według zasad jak przy odbiorze ostatecznym robót.</w:t>
      </w:r>
    </w:p>
    <w:p w14:paraId="11EEDA62"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Celem odbioru częściowego jest wczesne wykrycie ewentualnych usterek w realizowanych robotach i ich usunięcie przed odbiorem końcowym.</w:t>
      </w:r>
    </w:p>
    <w:p w14:paraId="133C8E69"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Odbiór częściowy robót jest dokonywany przez inspektora nadzoru w obecności kierownika budowy.</w:t>
      </w:r>
    </w:p>
    <w:p w14:paraId="15301D73"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Protokół odbioru częściowego jest podstawą do dokonania częściowego rozliczenia robót, jeżeli taką formę przewiduje.</w:t>
      </w:r>
    </w:p>
    <w:p w14:paraId="71E68D4E"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p>
    <w:p w14:paraId="34C7E2F2"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8.4.</w:t>
      </w:r>
      <w:r>
        <w:rPr>
          <w:rFonts w:ascii="Arial" w:hAnsi="Arial" w:cs="Arial"/>
          <w:b/>
          <w:bCs/>
          <w:color w:val="000000"/>
          <w:sz w:val="18"/>
          <w:szCs w:val="18"/>
          <w:lang w:val="x-none"/>
        </w:rPr>
        <w:tab/>
        <w:t>Odbiór ostateczny (końcowy)</w:t>
      </w:r>
    </w:p>
    <w:p w14:paraId="735A3042"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Odbiór końcowy stanowi ostateczną ocenę rzeczywistego wykonania robót w odniesieniu do ich zakresu (ilości), jakości i zgodności z dokumentacją projektową.</w:t>
      </w:r>
    </w:p>
    <w:p w14:paraId="65FA45B7"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Odbiór ostateczny przeprowadza komisja powołana przez zamawiającego, na podstawie przedłożonych dokumentów, wyników badań oraz dokonanej oceny wizualnej.</w:t>
      </w:r>
    </w:p>
    <w:p w14:paraId="4D51737E"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Zasady i terminy powoływania komisji oraz czas jej działania powinna określać umowa.</w:t>
      </w:r>
    </w:p>
    <w:p w14:paraId="48C885D6" w14:textId="77777777" w:rsidR="000A3B2B" w:rsidRDefault="000A3B2B" w:rsidP="009E5295">
      <w:pPr>
        <w:autoSpaceDE w:val="0"/>
        <w:autoSpaceDN w:val="0"/>
        <w:adjustRightInd w:val="0"/>
        <w:spacing w:after="30" w:line="240" w:lineRule="auto"/>
        <w:jc w:val="both"/>
        <w:rPr>
          <w:rFonts w:ascii="Arial" w:hAnsi="Arial" w:cs="Arial"/>
          <w:b/>
          <w:bCs/>
          <w:color w:val="000000"/>
          <w:sz w:val="18"/>
          <w:szCs w:val="18"/>
          <w:lang w:val="x-none"/>
        </w:rPr>
      </w:pPr>
      <w:r>
        <w:rPr>
          <w:rFonts w:ascii="Arial" w:hAnsi="Arial" w:cs="Arial"/>
          <w:b/>
          <w:bCs/>
          <w:color w:val="000000"/>
          <w:sz w:val="18"/>
          <w:szCs w:val="18"/>
          <w:lang w:val="x-none"/>
        </w:rPr>
        <w:t>Wykonawca robót obowiązany jest przedłożyć komisji następujące dokumenty:</w:t>
      </w:r>
    </w:p>
    <w:p w14:paraId="4FC32D25"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dokumentację projektową z naniesionymi zmianami dokonanymi w toku wykonywania robót,</w:t>
      </w:r>
    </w:p>
    <w:p w14:paraId="0DA7CC72"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Szczegółowe Specyfikacje Techniczne ze zmianami wprowadzonymi w trakcie wykonywania robót,</w:t>
      </w:r>
    </w:p>
    <w:p w14:paraId="795AE962"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dziennik budowy i książki obmiarów z zapisami dokonywanymi w toku prowadzonych robót, protokoły kontroli spisywane w trakcie wykonywania prac,</w:t>
      </w:r>
    </w:p>
    <w:p w14:paraId="2FB848BE"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dokumenty świadczące o dopuszczeniu do obrotu  lub udostępnieniu na rynku krajowym bądź do jednostkowego zastosowania użytych materiałów i wyrobów budowlanych,</w:t>
      </w:r>
    </w:p>
    <w:p w14:paraId="4BCB697B"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protokoły odbiorów robót ulegających zakryciu i odbiorów częściowych,</w:t>
      </w:r>
    </w:p>
    <w:p w14:paraId="559A5FF6"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wyniki badań laboratoryjnych i ekspertyz.</w:t>
      </w:r>
    </w:p>
    <w:p w14:paraId="1E6036C3"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 toku odbioru komisja obowiązana jest zapoznać się z przedłożonymi dokumentami, przeprowadzić badania zgodnie z wytycznymi podanymi w pkt. 6 niniejszej ST, porównać je z wymaganiami podanymi w dokumentacji projektowej i niniejszej specyfikacji technicznej robót betoniarskich, opracowanej dla odbieranego przedmiotu zamówienia, oraz dokonać oceny wizualnej.</w:t>
      </w:r>
    </w:p>
    <w:p w14:paraId="6C219ADF"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Konstrukcje betonowe i żelbetowe powinny być odebrane, jeżeli wszystkie wyniki badań są pozytywne, a dostarczone przez wykonawcę dokumenty są kompletne i prawidłowe pod względem merytorycznym.</w:t>
      </w:r>
    </w:p>
    <w:tbl>
      <w:tblPr>
        <w:tblW w:w="0" w:type="auto"/>
        <w:tblCellSpacing w:w="0" w:type="dxa"/>
        <w:tblInd w:w="-8" w:type="dxa"/>
        <w:tblLayout w:type="fixed"/>
        <w:tblCellMar>
          <w:left w:w="0" w:type="dxa"/>
          <w:right w:w="0" w:type="dxa"/>
        </w:tblCellMar>
        <w:tblLook w:val="0000" w:firstRow="0" w:lastRow="0" w:firstColumn="0" w:lastColumn="0" w:noHBand="0" w:noVBand="0"/>
      </w:tblPr>
      <w:tblGrid>
        <w:gridCol w:w="9352"/>
      </w:tblGrid>
      <w:tr w:rsidR="000A3B2B" w14:paraId="31A45043" w14:textId="77777777">
        <w:trPr>
          <w:trHeight w:val="60"/>
          <w:tblCellSpacing w:w="0" w:type="dxa"/>
        </w:trPr>
        <w:tc>
          <w:tcPr>
            <w:tcW w:w="9352" w:type="dxa"/>
            <w:tcBorders>
              <w:top w:val="single" w:sz="6" w:space="0" w:color="000000"/>
              <w:left w:val="single" w:sz="6" w:space="0" w:color="000000"/>
              <w:bottom w:val="single" w:sz="6" w:space="0" w:color="000000"/>
              <w:right w:val="single" w:sz="6" w:space="0" w:color="000000"/>
            </w:tcBorders>
            <w:shd w:val="clear" w:color="auto" w:fill="CBCBCB"/>
          </w:tcPr>
          <w:p w14:paraId="603F5A84" w14:textId="77777777" w:rsidR="000A3B2B" w:rsidRDefault="000A3B2B">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Jeżeli chociażby jeden wynik badań był negatywny konstrukcje nie powinny być odebrane. W takim przypadku należy wybrać jedno z następujących rozwiązań:</w:t>
            </w:r>
          </w:p>
          <w:p w14:paraId="79805D61" w14:textId="77777777" w:rsidR="000A3B2B" w:rsidRDefault="000A3B2B">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jeżeli to możliwe należy ustalić zakres prac korygujących, usunąć nieprawidłowości wykonania konstrukcji w stosunku do wymagań określonych w dokumentacji projektowej i niniejszej specyfikacji technicznej (szczegółowej) i przedstawić je ponownie do odbioru,</w:t>
            </w:r>
          </w:p>
          <w:p w14:paraId="4C8B53DD" w14:textId="77777777" w:rsidR="000A3B2B" w:rsidRDefault="000A3B2B">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jeżeli odchylenia od wymagań nie zagrażają bezpieczeństwu użytkownika i trwałości konstrukcji zamawiający może wyrazić zgodę na dokonanie odbioru końcowego z jednoczesnym obniżeniem wartości wynagrodzenia w stosunku do ustaleń umownych.</w:t>
            </w:r>
          </w:p>
          <w:p w14:paraId="181D286B" w14:textId="77777777" w:rsidR="000A3B2B" w:rsidRDefault="000A3B2B">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 przypadku, gdy nie są możliwe podane wyżej rozwiązania, wykonawca zobowiązany jest usunąć wadliwie wykonany element konstrukcyjny, wykonać go ponownie i powtórnie zgłosić do odbioru.</w:t>
            </w:r>
          </w:p>
        </w:tc>
      </w:tr>
    </w:tbl>
    <w:p w14:paraId="07A7E772"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4F66B05E"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 przypadku niekompletności dokumentów odbiór może być dokonany po ich uzupełnieniu.</w:t>
      </w:r>
    </w:p>
    <w:p w14:paraId="3188E994"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Z czynności odbioru sporządza się protokół podpisany przez przedstawicieli zamawiającego i wykonawcy. Protokół powinien zawierać:</w:t>
      </w:r>
    </w:p>
    <w:p w14:paraId="6C75AE07"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ustalenia podjęte w trakcie prac komisji,</w:t>
      </w:r>
    </w:p>
    <w:p w14:paraId="79A22585"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ocenę wyników badań,</w:t>
      </w:r>
    </w:p>
    <w:p w14:paraId="5C865D92"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wykaz wad i usterek ze wskazaniem sposobu ich usunięcia,</w:t>
      </w:r>
    </w:p>
    <w:p w14:paraId="29C0866D"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stwierdzenie zgodności lub niezgodności wykonania konstrukcji z zamówieniem.</w:t>
      </w:r>
    </w:p>
    <w:p w14:paraId="59F1DC03"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Protokół odbioru końcowego jest podstawą do dokonania rozliczenia końcowego pomiędzy zamawiającym a wykonawcą.</w:t>
      </w:r>
    </w:p>
    <w:p w14:paraId="2E9245D1"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p>
    <w:p w14:paraId="3C8D3DE4"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8.5.</w:t>
      </w:r>
      <w:r>
        <w:rPr>
          <w:rFonts w:ascii="Arial" w:hAnsi="Arial" w:cs="Arial"/>
          <w:b/>
          <w:bCs/>
          <w:color w:val="000000"/>
          <w:sz w:val="18"/>
          <w:szCs w:val="18"/>
          <w:lang w:val="x-none"/>
        </w:rPr>
        <w:tab/>
        <w:t>Odbiór po upływie okresu rękojmi i gwarancji</w:t>
      </w:r>
    </w:p>
    <w:p w14:paraId="118C1AF0"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Celem odbioru po okresie rękojmi i gwarancji jest ocena stanu konstrukcji betonowej lub żelbetowej po użytkowaniu w tym okresie oraz ocena wykonywanych w tym okresie ewentualnych robót poprawkowych, związanych z usuwaniem zgłoszonych wad.</w:t>
      </w:r>
    </w:p>
    <w:p w14:paraId="46F22B20"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Odbiór po upływie okresu rękojmi i gwarancji jest dokonywany na podstawie oceny wizualnej konstrukcji, z uwzględnieniem zasad opisanych w pkt. 8.4. „Odbiór ostateczny (końcowy)”.</w:t>
      </w:r>
    </w:p>
    <w:p w14:paraId="536D3E78"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Pozytywny wynik odbioru pogwarancyjnego jest podstawą do zwrotu kaucji gwarancyjnej; negatywny do ewentualnego dokonania potrąceń wynikających z obniżonej jakości robót.</w:t>
      </w:r>
    </w:p>
    <w:p w14:paraId="21026540"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Przed upływem okresu gwarancyjnego zamawiający powinien zgłosić wykonawcy wszystkie zauważone wady w wykonanych robotach betoniarskich.</w:t>
      </w:r>
    </w:p>
    <w:p w14:paraId="73F3120D"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p>
    <w:p w14:paraId="4F0879B4" w14:textId="77777777" w:rsidR="000A3B2B" w:rsidRDefault="000A3B2B" w:rsidP="009E5295">
      <w:pPr>
        <w:autoSpaceDE w:val="0"/>
        <w:autoSpaceDN w:val="0"/>
        <w:adjustRightInd w:val="0"/>
        <w:spacing w:before="225" w:after="12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9.</w:t>
      </w:r>
      <w:r>
        <w:rPr>
          <w:rFonts w:ascii="Arial" w:hAnsi="Arial" w:cs="Arial"/>
          <w:b/>
          <w:bCs/>
          <w:color w:val="000000"/>
          <w:sz w:val="18"/>
          <w:szCs w:val="18"/>
          <w:lang w:val="x-none"/>
        </w:rPr>
        <w:tab/>
        <w:t>PODSTAWA ROZLICZENIA ROBÓT</w:t>
      </w:r>
    </w:p>
    <w:p w14:paraId="1331C755"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9.1.</w:t>
      </w:r>
      <w:r>
        <w:rPr>
          <w:rFonts w:ascii="Arial" w:hAnsi="Arial" w:cs="Arial"/>
          <w:b/>
          <w:bCs/>
          <w:color w:val="000000"/>
          <w:sz w:val="18"/>
          <w:szCs w:val="18"/>
          <w:lang w:val="x-none"/>
        </w:rPr>
        <w:tab/>
        <w:t>Ogólne ustalenia dotyczące podstawy rozliczenia robót podano w ST „Wymagania ogólne” Kod CPV 45000000-7, pkt 9</w:t>
      </w:r>
    </w:p>
    <w:p w14:paraId="77B8D2A7" w14:textId="77777777" w:rsidR="000A3B2B" w:rsidRDefault="000A3B2B" w:rsidP="009E5295">
      <w:pPr>
        <w:autoSpaceDE w:val="0"/>
        <w:autoSpaceDN w:val="0"/>
        <w:adjustRightInd w:val="0"/>
        <w:spacing w:after="0" w:line="240" w:lineRule="auto"/>
        <w:ind w:firstLine="285"/>
        <w:jc w:val="both"/>
        <w:rPr>
          <w:rFonts w:ascii="Arial" w:hAnsi="Arial" w:cs="Arial"/>
          <w:color w:val="000000"/>
          <w:sz w:val="18"/>
          <w:szCs w:val="18"/>
          <w:lang w:val="x-none"/>
        </w:rPr>
      </w:pPr>
    </w:p>
    <w:p w14:paraId="08765B84"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9.2.</w:t>
      </w:r>
      <w:r>
        <w:rPr>
          <w:rFonts w:ascii="Arial" w:hAnsi="Arial" w:cs="Arial"/>
          <w:b/>
          <w:bCs/>
          <w:color w:val="000000"/>
          <w:sz w:val="18"/>
          <w:szCs w:val="18"/>
          <w:lang w:val="x-none"/>
        </w:rPr>
        <w:tab/>
        <w:t>Zasady rozliczenia i płatności</w:t>
      </w:r>
    </w:p>
    <w:p w14:paraId="3FA17A65"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Rozliczenie robót betoniarskich może być dokonane jednorazowo po wykonaniu pełnego zakresu robót i ich końcowym odbiorze lub etapami określonymi w umowie, po dokonaniu odbiorów częściowych robót.</w:t>
      </w:r>
    </w:p>
    <w:p w14:paraId="30E14B4F"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Ostateczne rozliczenie umowy pomiędzy zamawiającym a wykonawcą następuje po dokonaniu odbioru pogwarancyjnego.</w:t>
      </w:r>
    </w:p>
    <w:p w14:paraId="4E12EEA3"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 xml:space="preserve"> Podstawę rozliczenia oraz płatności wykonywanego i odebranego zakresu robót betoniarskich stanowi wartość tych robót obliczona na podstawie:</w:t>
      </w:r>
    </w:p>
    <w:tbl>
      <w:tblPr>
        <w:tblW w:w="0" w:type="auto"/>
        <w:tblCellSpacing w:w="0" w:type="dxa"/>
        <w:tblInd w:w="-8" w:type="dxa"/>
        <w:tblLayout w:type="fixed"/>
        <w:tblCellMar>
          <w:left w:w="0" w:type="dxa"/>
          <w:right w:w="0" w:type="dxa"/>
        </w:tblCellMar>
        <w:tblLook w:val="0000" w:firstRow="0" w:lastRow="0" w:firstColumn="0" w:lastColumn="0" w:noHBand="0" w:noVBand="0"/>
      </w:tblPr>
      <w:tblGrid>
        <w:gridCol w:w="952"/>
      </w:tblGrid>
      <w:tr w:rsidR="000A3B2B" w14:paraId="5C348B89" w14:textId="77777777">
        <w:trPr>
          <w:trHeight w:val="60"/>
          <w:tblCellSpacing w:w="0" w:type="dxa"/>
        </w:trPr>
        <w:tc>
          <w:tcPr>
            <w:tcW w:w="952" w:type="dxa"/>
            <w:tcBorders>
              <w:top w:val="single" w:sz="6" w:space="0" w:color="000000"/>
              <w:left w:val="single" w:sz="6" w:space="0" w:color="000000"/>
              <w:bottom w:val="single" w:sz="6" w:space="0" w:color="000000"/>
              <w:right w:val="single" w:sz="6" w:space="0" w:color="000000"/>
            </w:tcBorders>
          </w:tcPr>
          <w:p w14:paraId="4759D45B" w14:textId="77777777" w:rsidR="000A3B2B" w:rsidRDefault="000A3B2B">
            <w:pPr>
              <w:autoSpaceDE w:val="0"/>
              <w:autoSpaceDN w:val="0"/>
              <w:adjustRightInd w:val="0"/>
              <w:spacing w:after="30" w:line="240" w:lineRule="auto"/>
              <w:jc w:val="both"/>
              <w:rPr>
                <w:rFonts w:ascii="Arial" w:hAnsi="Arial" w:cs="Arial"/>
                <w:i/>
                <w:iCs/>
                <w:color w:val="000000"/>
                <w:sz w:val="18"/>
                <w:szCs w:val="18"/>
                <w:lang w:val="x-none"/>
              </w:rPr>
            </w:pPr>
            <w:r>
              <w:rPr>
                <w:rFonts w:ascii="Arial" w:hAnsi="Arial" w:cs="Arial"/>
                <w:i/>
                <w:iCs/>
                <w:color w:val="000000"/>
                <w:sz w:val="18"/>
                <w:szCs w:val="18"/>
                <w:lang w:val="x-none"/>
              </w:rPr>
              <w:t>Wariant 1</w:t>
            </w:r>
          </w:p>
        </w:tc>
      </w:tr>
    </w:tbl>
    <w:p w14:paraId="66D9F6DC"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określonych w dokumentach umownych (ofercie) cen jednostkowych i ilości robót zaakceptowanych przez zamawiającego lub</w:t>
      </w:r>
    </w:p>
    <w:tbl>
      <w:tblPr>
        <w:tblW w:w="0" w:type="auto"/>
        <w:tblCellSpacing w:w="0" w:type="dxa"/>
        <w:tblInd w:w="-8" w:type="dxa"/>
        <w:tblLayout w:type="fixed"/>
        <w:tblCellMar>
          <w:left w:w="0" w:type="dxa"/>
          <w:right w:w="0" w:type="dxa"/>
        </w:tblCellMar>
        <w:tblLook w:val="0000" w:firstRow="0" w:lastRow="0" w:firstColumn="0" w:lastColumn="0" w:noHBand="0" w:noVBand="0"/>
      </w:tblPr>
      <w:tblGrid>
        <w:gridCol w:w="952"/>
      </w:tblGrid>
      <w:tr w:rsidR="000A3B2B" w14:paraId="01CDECE4" w14:textId="77777777">
        <w:trPr>
          <w:trHeight w:val="60"/>
          <w:tblCellSpacing w:w="0" w:type="dxa"/>
        </w:trPr>
        <w:tc>
          <w:tcPr>
            <w:tcW w:w="952" w:type="dxa"/>
            <w:tcBorders>
              <w:top w:val="single" w:sz="6" w:space="0" w:color="000000"/>
              <w:left w:val="single" w:sz="6" w:space="0" w:color="000000"/>
              <w:bottom w:val="single" w:sz="6" w:space="0" w:color="000000"/>
              <w:right w:val="single" w:sz="6" w:space="0" w:color="000000"/>
            </w:tcBorders>
          </w:tcPr>
          <w:p w14:paraId="52E04BEF" w14:textId="77777777" w:rsidR="000A3B2B" w:rsidRDefault="000A3B2B">
            <w:pPr>
              <w:autoSpaceDE w:val="0"/>
              <w:autoSpaceDN w:val="0"/>
              <w:adjustRightInd w:val="0"/>
              <w:spacing w:after="30" w:line="240" w:lineRule="auto"/>
              <w:jc w:val="both"/>
              <w:rPr>
                <w:rFonts w:ascii="Arial" w:hAnsi="Arial" w:cs="Arial"/>
                <w:i/>
                <w:iCs/>
                <w:color w:val="000000"/>
                <w:sz w:val="18"/>
                <w:szCs w:val="18"/>
                <w:lang w:val="x-none"/>
              </w:rPr>
            </w:pPr>
            <w:r>
              <w:rPr>
                <w:rFonts w:ascii="Arial" w:hAnsi="Arial" w:cs="Arial"/>
                <w:i/>
                <w:iCs/>
                <w:color w:val="000000"/>
                <w:sz w:val="18"/>
                <w:szCs w:val="18"/>
                <w:lang w:val="x-none"/>
              </w:rPr>
              <w:t>Wariant 2</w:t>
            </w:r>
          </w:p>
        </w:tc>
      </w:tr>
    </w:tbl>
    <w:p w14:paraId="54058ADE"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ustalonej w umowie kwoty ryczałtowej za określony zakres robót.</w:t>
      </w:r>
    </w:p>
    <w:tbl>
      <w:tblPr>
        <w:tblW w:w="0" w:type="auto"/>
        <w:tblCellSpacing w:w="0" w:type="dxa"/>
        <w:tblInd w:w="-8" w:type="dxa"/>
        <w:tblLayout w:type="fixed"/>
        <w:tblCellMar>
          <w:left w:w="0" w:type="dxa"/>
          <w:right w:w="0" w:type="dxa"/>
        </w:tblCellMar>
        <w:tblLook w:val="0000" w:firstRow="0" w:lastRow="0" w:firstColumn="0" w:lastColumn="0" w:noHBand="0" w:noVBand="0"/>
      </w:tblPr>
      <w:tblGrid>
        <w:gridCol w:w="9352"/>
      </w:tblGrid>
      <w:tr w:rsidR="000A3B2B" w14:paraId="5AAF2BA4" w14:textId="77777777">
        <w:trPr>
          <w:trHeight w:val="60"/>
          <w:tblCellSpacing w:w="0" w:type="dxa"/>
        </w:trPr>
        <w:tc>
          <w:tcPr>
            <w:tcW w:w="9352" w:type="dxa"/>
            <w:tcBorders>
              <w:top w:val="single" w:sz="6" w:space="0" w:color="000000"/>
              <w:left w:val="single" w:sz="6" w:space="0" w:color="000000"/>
              <w:bottom w:val="single" w:sz="6" w:space="0" w:color="000000"/>
              <w:right w:val="single" w:sz="6" w:space="0" w:color="000000"/>
            </w:tcBorders>
          </w:tcPr>
          <w:p w14:paraId="73AD4EA6" w14:textId="77777777" w:rsidR="000A3B2B" w:rsidRDefault="000A3B2B">
            <w:pPr>
              <w:autoSpaceDE w:val="0"/>
              <w:autoSpaceDN w:val="0"/>
              <w:adjustRightInd w:val="0"/>
              <w:spacing w:after="30" w:line="240" w:lineRule="auto"/>
              <w:jc w:val="both"/>
              <w:rPr>
                <w:rFonts w:ascii="Arial" w:hAnsi="Arial" w:cs="Arial"/>
                <w:i/>
                <w:iCs/>
                <w:color w:val="000000"/>
                <w:sz w:val="18"/>
                <w:szCs w:val="18"/>
                <w:lang w:val="x-none"/>
              </w:rPr>
            </w:pPr>
            <w:r>
              <w:rPr>
                <w:rFonts w:ascii="Arial" w:hAnsi="Arial" w:cs="Arial"/>
                <w:i/>
                <w:iCs/>
                <w:color w:val="000000"/>
                <w:sz w:val="18"/>
                <w:szCs w:val="18"/>
                <w:lang w:val="x-none"/>
              </w:rPr>
              <w:t>UWAGA: W treści SST wybrać wariant właściwy do zakładanych uzgodnień umownych (wg SIWZ), a pozostały wariant wykreślić.</w:t>
            </w:r>
          </w:p>
        </w:tc>
      </w:tr>
    </w:tbl>
    <w:p w14:paraId="0D2A1DCE" w14:textId="77777777" w:rsidR="000A3B2B" w:rsidRDefault="000A3B2B" w:rsidP="009E5295">
      <w:pPr>
        <w:autoSpaceDE w:val="0"/>
        <w:autoSpaceDN w:val="0"/>
        <w:adjustRightInd w:val="0"/>
        <w:spacing w:after="30" w:line="240" w:lineRule="auto"/>
        <w:ind w:firstLine="285"/>
        <w:jc w:val="both"/>
        <w:rPr>
          <w:rFonts w:ascii="Arial" w:hAnsi="Arial" w:cs="Arial"/>
          <w:b/>
          <w:bCs/>
          <w:color w:val="000000"/>
          <w:sz w:val="18"/>
          <w:szCs w:val="18"/>
          <w:lang w:val="x-none"/>
        </w:rPr>
      </w:pPr>
      <w:r>
        <w:rPr>
          <w:rFonts w:ascii="Arial" w:hAnsi="Arial" w:cs="Arial"/>
          <w:b/>
          <w:bCs/>
          <w:color w:val="000000"/>
          <w:sz w:val="18"/>
          <w:szCs w:val="18"/>
          <w:lang w:val="x-none"/>
        </w:rPr>
        <w:t>Ceny jednostkowe wykonania 1 m</w:t>
      </w:r>
      <w:r>
        <w:rPr>
          <w:rFonts w:ascii="Arial" w:hAnsi="Arial" w:cs="Arial"/>
          <w:b/>
          <w:bCs/>
          <w:color w:val="000000"/>
          <w:position w:val="4"/>
          <w:sz w:val="8"/>
          <w:szCs w:val="8"/>
          <w:lang w:val="x-none"/>
        </w:rPr>
        <w:t>3</w:t>
      </w:r>
      <w:r>
        <w:rPr>
          <w:rFonts w:ascii="Arial" w:hAnsi="Arial" w:cs="Arial"/>
          <w:b/>
          <w:bCs/>
          <w:color w:val="000000"/>
          <w:sz w:val="18"/>
          <w:szCs w:val="18"/>
          <w:lang w:val="x-none"/>
        </w:rPr>
        <w:t xml:space="preserve"> konstrukcji betonowych lub żelbetowych lub kwoty ryczałtowe uwzględniają:</w:t>
      </w:r>
    </w:p>
    <w:p w14:paraId="23C6188B"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przygotowanie stanowiska roboczego,</w:t>
      </w:r>
    </w:p>
    <w:p w14:paraId="01A84286"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dostarczenie do stanowiska roboczego materiałów, narzędzi i sprzętu,</w:t>
      </w:r>
    </w:p>
    <w:p w14:paraId="2F0CC0BC"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obsługę sprzętu,</w:t>
      </w:r>
    </w:p>
    <w:p w14:paraId="174AACAA"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montaż rusztowań z pomostami i </w:t>
      </w:r>
      <w:proofErr w:type="spellStart"/>
      <w:r>
        <w:rPr>
          <w:rFonts w:ascii="Arial" w:hAnsi="Arial" w:cs="Arial"/>
          <w:color w:val="000000"/>
          <w:sz w:val="18"/>
          <w:szCs w:val="18"/>
          <w:lang w:val="x-none"/>
        </w:rPr>
        <w:t>deskowań</w:t>
      </w:r>
      <w:proofErr w:type="spellEnd"/>
      <w:r>
        <w:rPr>
          <w:rFonts w:ascii="Arial" w:hAnsi="Arial" w:cs="Arial"/>
          <w:color w:val="000000"/>
          <w:sz w:val="18"/>
          <w:szCs w:val="18"/>
          <w:lang w:val="x-none"/>
        </w:rPr>
        <w:t>,</w:t>
      </w:r>
    </w:p>
    <w:p w14:paraId="26CEB5DC"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przygotowanie mieszanki betonowej wraz z wbudowaniem w konstrukcję oraz z zagęszczeniem i pielęgnacją,</w:t>
      </w:r>
    </w:p>
    <w:p w14:paraId="63238EAD"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wykonanie przerw dylatacyjnych,</w:t>
      </w:r>
    </w:p>
    <w:p w14:paraId="66256B8F"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wykonanie w konstrukcji wszystkich wymaganych projektem otworów, jak również osadzenie potrzebnych zakotwień, marek, rur itp.,</w:t>
      </w:r>
    </w:p>
    <w:p w14:paraId="449C33E7"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demontaż </w:t>
      </w:r>
      <w:proofErr w:type="spellStart"/>
      <w:r>
        <w:rPr>
          <w:rFonts w:ascii="Arial" w:hAnsi="Arial" w:cs="Arial"/>
          <w:color w:val="000000"/>
          <w:sz w:val="18"/>
          <w:szCs w:val="18"/>
          <w:lang w:val="x-none"/>
        </w:rPr>
        <w:t>deskowań</w:t>
      </w:r>
      <w:proofErr w:type="spellEnd"/>
      <w:r>
        <w:rPr>
          <w:rFonts w:ascii="Arial" w:hAnsi="Arial" w:cs="Arial"/>
          <w:color w:val="000000"/>
          <w:sz w:val="18"/>
          <w:szCs w:val="18"/>
          <w:lang w:val="x-none"/>
        </w:rPr>
        <w:t>, rusztowań i pomostów wraz z ich oczyszczeniem,</w:t>
      </w:r>
    </w:p>
    <w:p w14:paraId="377FEE6C"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oczyszczenie stanowiska pracy i usunięcie, będących własnością wykonawcy, materiałów rozbiórkowych i urządzeń,</w:t>
      </w:r>
    </w:p>
    <w:p w14:paraId="41EA8657"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wykonanie badań i pomiarów kontrolnych standardowych,</w:t>
      </w:r>
    </w:p>
    <w:p w14:paraId="5D30A107"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koszty pośrednie, zysk kalkulacyjny i ryzyko.</w:t>
      </w:r>
    </w:p>
    <w:p w14:paraId="2D9E7930"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Cena jednostkowa i kwota ryczałtowa nie obejmuje podatku VAT.</w:t>
      </w:r>
    </w:p>
    <w:p w14:paraId="339BF2A4"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p>
    <w:p w14:paraId="00B84D02" w14:textId="77777777" w:rsidR="000A3B2B" w:rsidRDefault="000A3B2B" w:rsidP="009E5295">
      <w:pPr>
        <w:autoSpaceDE w:val="0"/>
        <w:autoSpaceDN w:val="0"/>
        <w:adjustRightInd w:val="0"/>
        <w:spacing w:before="225" w:after="12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10.</w:t>
      </w:r>
      <w:r>
        <w:rPr>
          <w:rFonts w:ascii="Arial" w:hAnsi="Arial" w:cs="Arial"/>
          <w:b/>
          <w:bCs/>
          <w:color w:val="000000"/>
          <w:sz w:val="18"/>
          <w:szCs w:val="18"/>
          <w:lang w:val="x-none"/>
        </w:rPr>
        <w:tab/>
        <w:t xml:space="preserve"> DOKUMENTY ODNIESIENIA</w:t>
      </w:r>
    </w:p>
    <w:p w14:paraId="396EE785"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10.1. Normy</w:t>
      </w:r>
    </w:p>
    <w:tbl>
      <w:tblPr>
        <w:tblW w:w="0" w:type="auto"/>
        <w:tblCellSpacing w:w="0" w:type="dxa"/>
        <w:tblLayout w:type="fixed"/>
        <w:tblCellMar>
          <w:left w:w="0" w:type="dxa"/>
          <w:right w:w="0" w:type="dxa"/>
        </w:tblCellMar>
        <w:tblLook w:val="0000" w:firstRow="0" w:lastRow="0" w:firstColumn="0" w:lastColumn="0" w:noHBand="0" w:noVBand="0"/>
      </w:tblPr>
      <w:tblGrid>
        <w:gridCol w:w="338"/>
        <w:gridCol w:w="2880"/>
        <w:gridCol w:w="6104"/>
      </w:tblGrid>
      <w:tr w:rsidR="000A3B2B" w14:paraId="16862C15" w14:textId="77777777">
        <w:trPr>
          <w:trHeight w:val="60"/>
          <w:tblCellSpacing w:w="0" w:type="dxa"/>
        </w:trPr>
        <w:tc>
          <w:tcPr>
            <w:tcW w:w="338" w:type="dxa"/>
            <w:tcBorders>
              <w:top w:val="nil"/>
              <w:left w:val="nil"/>
              <w:bottom w:val="nil"/>
              <w:right w:val="nil"/>
            </w:tcBorders>
          </w:tcPr>
          <w:p w14:paraId="6EB4B015"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1.</w:t>
            </w:r>
          </w:p>
        </w:tc>
        <w:tc>
          <w:tcPr>
            <w:tcW w:w="2880" w:type="dxa"/>
            <w:tcBorders>
              <w:top w:val="nil"/>
              <w:left w:val="nil"/>
              <w:bottom w:val="nil"/>
              <w:right w:val="nil"/>
            </w:tcBorders>
          </w:tcPr>
          <w:p w14:paraId="24D407F9"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196-1:2016-07</w:t>
            </w:r>
          </w:p>
        </w:tc>
        <w:tc>
          <w:tcPr>
            <w:tcW w:w="6104" w:type="dxa"/>
            <w:tcBorders>
              <w:top w:val="nil"/>
              <w:left w:val="nil"/>
              <w:bottom w:val="nil"/>
              <w:right w:val="nil"/>
            </w:tcBorders>
          </w:tcPr>
          <w:p w14:paraId="7542961F" w14:textId="77777777" w:rsidR="000A3B2B" w:rsidRDefault="000A3B2B">
            <w:pPr>
              <w:autoSpaceDE w:val="0"/>
              <w:autoSpaceDN w:val="0"/>
              <w:adjustRightInd w:val="0"/>
              <w:spacing w:after="30" w:line="240" w:lineRule="auto"/>
              <w:jc w:val="both"/>
              <w:rPr>
                <w:rFonts w:ascii="Arial" w:hAnsi="Arial" w:cs="Arial"/>
                <w:i/>
                <w:iCs/>
                <w:color w:val="000000"/>
                <w:sz w:val="18"/>
                <w:szCs w:val="18"/>
                <w:lang w:val="x-none"/>
              </w:rPr>
            </w:pPr>
            <w:r>
              <w:rPr>
                <w:rFonts w:ascii="Arial" w:hAnsi="Arial" w:cs="Arial"/>
                <w:color w:val="000000"/>
                <w:sz w:val="18"/>
                <w:szCs w:val="18"/>
                <w:lang w:val="x-none"/>
              </w:rPr>
              <w:t xml:space="preserve">Metody badania cementu. Część 1: Oznaczanie wytrzymałości </w:t>
            </w:r>
            <w:r>
              <w:rPr>
                <w:rFonts w:ascii="Arial" w:hAnsi="Arial" w:cs="Arial"/>
                <w:i/>
                <w:iCs/>
                <w:color w:val="000000"/>
                <w:sz w:val="18"/>
                <w:szCs w:val="18"/>
                <w:lang w:val="x-none"/>
              </w:rPr>
              <w:t>(wersja angielska).</w:t>
            </w:r>
          </w:p>
        </w:tc>
      </w:tr>
      <w:tr w:rsidR="000A3B2B" w14:paraId="4F5583B1" w14:textId="77777777">
        <w:trPr>
          <w:trHeight w:val="60"/>
          <w:tblCellSpacing w:w="0" w:type="dxa"/>
        </w:trPr>
        <w:tc>
          <w:tcPr>
            <w:tcW w:w="338" w:type="dxa"/>
            <w:tcBorders>
              <w:top w:val="nil"/>
              <w:left w:val="nil"/>
              <w:bottom w:val="nil"/>
              <w:right w:val="nil"/>
            </w:tcBorders>
          </w:tcPr>
          <w:p w14:paraId="3455EF2E"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2.</w:t>
            </w:r>
          </w:p>
        </w:tc>
        <w:tc>
          <w:tcPr>
            <w:tcW w:w="2880" w:type="dxa"/>
            <w:tcBorders>
              <w:top w:val="nil"/>
              <w:left w:val="nil"/>
              <w:bottom w:val="nil"/>
              <w:right w:val="nil"/>
            </w:tcBorders>
          </w:tcPr>
          <w:p w14:paraId="5FC59179"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196-2:2013-11</w:t>
            </w:r>
          </w:p>
        </w:tc>
        <w:tc>
          <w:tcPr>
            <w:tcW w:w="6104" w:type="dxa"/>
            <w:tcBorders>
              <w:top w:val="nil"/>
              <w:left w:val="nil"/>
              <w:bottom w:val="nil"/>
              <w:right w:val="nil"/>
            </w:tcBorders>
          </w:tcPr>
          <w:p w14:paraId="396AC006" w14:textId="77777777" w:rsidR="000A3B2B" w:rsidRDefault="000A3B2B">
            <w:pPr>
              <w:autoSpaceDE w:val="0"/>
              <w:autoSpaceDN w:val="0"/>
              <w:adjustRightInd w:val="0"/>
              <w:spacing w:after="30" w:line="240" w:lineRule="auto"/>
              <w:jc w:val="both"/>
              <w:rPr>
                <w:rFonts w:ascii="Arial" w:hAnsi="Arial" w:cs="Arial"/>
                <w:i/>
                <w:iCs/>
                <w:color w:val="000000"/>
                <w:sz w:val="18"/>
                <w:szCs w:val="18"/>
                <w:lang w:val="x-none"/>
              </w:rPr>
            </w:pPr>
            <w:r>
              <w:rPr>
                <w:rFonts w:ascii="Arial" w:hAnsi="Arial" w:cs="Arial"/>
                <w:color w:val="000000"/>
                <w:sz w:val="18"/>
                <w:szCs w:val="18"/>
                <w:lang w:val="x-none"/>
              </w:rPr>
              <w:t xml:space="preserve">Metody badania cementu. Część 2: Analiza chemiczna cementu </w:t>
            </w:r>
            <w:r>
              <w:rPr>
                <w:rFonts w:ascii="Arial" w:hAnsi="Arial" w:cs="Arial"/>
                <w:i/>
                <w:iCs/>
                <w:color w:val="000000"/>
                <w:sz w:val="18"/>
                <w:szCs w:val="18"/>
                <w:lang w:val="x-none"/>
              </w:rPr>
              <w:t>(wersja angielska).</w:t>
            </w:r>
          </w:p>
        </w:tc>
      </w:tr>
      <w:tr w:rsidR="000A3B2B" w14:paraId="0B8D0EF0" w14:textId="77777777">
        <w:trPr>
          <w:trHeight w:val="60"/>
          <w:tblCellSpacing w:w="0" w:type="dxa"/>
        </w:trPr>
        <w:tc>
          <w:tcPr>
            <w:tcW w:w="338" w:type="dxa"/>
            <w:tcBorders>
              <w:top w:val="nil"/>
              <w:left w:val="nil"/>
              <w:bottom w:val="nil"/>
              <w:right w:val="nil"/>
            </w:tcBorders>
          </w:tcPr>
          <w:p w14:paraId="1EA9EB27"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3.</w:t>
            </w:r>
          </w:p>
        </w:tc>
        <w:tc>
          <w:tcPr>
            <w:tcW w:w="2880" w:type="dxa"/>
            <w:tcBorders>
              <w:top w:val="nil"/>
              <w:left w:val="nil"/>
              <w:bottom w:val="nil"/>
              <w:right w:val="nil"/>
            </w:tcBorders>
          </w:tcPr>
          <w:p w14:paraId="77AF0670"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196-3:2016-12</w:t>
            </w:r>
          </w:p>
        </w:tc>
        <w:tc>
          <w:tcPr>
            <w:tcW w:w="6104" w:type="dxa"/>
            <w:tcBorders>
              <w:top w:val="nil"/>
              <w:left w:val="nil"/>
              <w:bottom w:val="nil"/>
              <w:right w:val="nil"/>
            </w:tcBorders>
          </w:tcPr>
          <w:p w14:paraId="1096FDA3" w14:textId="77777777" w:rsidR="000A3B2B" w:rsidRDefault="000A3B2B">
            <w:pPr>
              <w:autoSpaceDE w:val="0"/>
              <w:autoSpaceDN w:val="0"/>
              <w:adjustRightInd w:val="0"/>
              <w:spacing w:after="30" w:line="240" w:lineRule="auto"/>
              <w:jc w:val="both"/>
              <w:rPr>
                <w:rFonts w:ascii="Arial" w:hAnsi="Arial" w:cs="Arial"/>
                <w:i/>
                <w:iCs/>
                <w:color w:val="000000"/>
                <w:sz w:val="18"/>
                <w:szCs w:val="18"/>
                <w:lang w:val="x-none"/>
              </w:rPr>
            </w:pPr>
            <w:r>
              <w:rPr>
                <w:rFonts w:ascii="Arial" w:hAnsi="Arial" w:cs="Arial"/>
                <w:color w:val="000000"/>
                <w:sz w:val="18"/>
                <w:szCs w:val="18"/>
                <w:lang w:val="x-none"/>
              </w:rPr>
              <w:t xml:space="preserve">Metody badania cementu. Część 3: Oznaczanie czasu wiązania i stałości objętości </w:t>
            </w:r>
            <w:r>
              <w:rPr>
                <w:rFonts w:ascii="Arial" w:hAnsi="Arial" w:cs="Arial"/>
                <w:i/>
                <w:iCs/>
                <w:color w:val="000000"/>
                <w:sz w:val="18"/>
                <w:szCs w:val="18"/>
                <w:lang w:val="x-none"/>
              </w:rPr>
              <w:t>(wersja angielska).</w:t>
            </w:r>
          </w:p>
        </w:tc>
      </w:tr>
      <w:tr w:rsidR="000A3B2B" w14:paraId="43FA5308" w14:textId="77777777">
        <w:trPr>
          <w:trHeight w:val="60"/>
          <w:tblCellSpacing w:w="0" w:type="dxa"/>
        </w:trPr>
        <w:tc>
          <w:tcPr>
            <w:tcW w:w="338" w:type="dxa"/>
            <w:tcBorders>
              <w:top w:val="nil"/>
              <w:left w:val="nil"/>
              <w:bottom w:val="nil"/>
              <w:right w:val="nil"/>
            </w:tcBorders>
          </w:tcPr>
          <w:p w14:paraId="3D82D3EC"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4.</w:t>
            </w:r>
          </w:p>
        </w:tc>
        <w:tc>
          <w:tcPr>
            <w:tcW w:w="2880" w:type="dxa"/>
            <w:tcBorders>
              <w:top w:val="nil"/>
              <w:left w:val="nil"/>
              <w:bottom w:val="nil"/>
              <w:right w:val="nil"/>
            </w:tcBorders>
          </w:tcPr>
          <w:p w14:paraId="5F08CA31"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196-6:2011</w:t>
            </w:r>
          </w:p>
        </w:tc>
        <w:tc>
          <w:tcPr>
            <w:tcW w:w="6104" w:type="dxa"/>
            <w:tcBorders>
              <w:top w:val="nil"/>
              <w:left w:val="nil"/>
              <w:bottom w:val="nil"/>
              <w:right w:val="nil"/>
            </w:tcBorders>
          </w:tcPr>
          <w:p w14:paraId="6F41A240"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Metody badania cementu. Część 6: Oznaczanie stopnia zmielenia.</w:t>
            </w:r>
          </w:p>
        </w:tc>
      </w:tr>
      <w:tr w:rsidR="000A3B2B" w14:paraId="7CD2E8E5" w14:textId="77777777">
        <w:trPr>
          <w:trHeight w:val="60"/>
          <w:tblCellSpacing w:w="0" w:type="dxa"/>
        </w:trPr>
        <w:tc>
          <w:tcPr>
            <w:tcW w:w="338" w:type="dxa"/>
            <w:tcBorders>
              <w:top w:val="nil"/>
              <w:left w:val="nil"/>
              <w:bottom w:val="nil"/>
              <w:right w:val="nil"/>
            </w:tcBorders>
          </w:tcPr>
          <w:p w14:paraId="75503564"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5.</w:t>
            </w:r>
          </w:p>
        </w:tc>
        <w:tc>
          <w:tcPr>
            <w:tcW w:w="2880" w:type="dxa"/>
            <w:tcBorders>
              <w:top w:val="nil"/>
              <w:left w:val="nil"/>
              <w:bottom w:val="nil"/>
              <w:right w:val="nil"/>
            </w:tcBorders>
          </w:tcPr>
          <w:p w14:paraId="211D3537"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197-1:2012</w:t>
            </w:r>
          </w:p>
          <w:p w14:paraId="788F4A6E"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197-1:2002/A1:2005</w:t>
            </w:r>
          </w:p>
        </w:tc>
        <w:tc>
          <w:tcPr>
            <w:tcW w:w="6104" w:type="dxa"/>
            <w:tcBorders>
              <w:top w:val="nil"/>
              <w:left w:val="nil"/>
              <w:bottom w:val="nil"/>
              <w:right w:val="nil"/>
            </w:tcBorders>
          </w:tcPr>
          <w:p w14:paraId="2C275ACB"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Cement. Część 1: Skład, wymagania i kryteria zgodności dla cementu powszechnego użytku.</w:t>
            </w:r>
          </w:p>
        </w:tc>
      </w:tr>
      <w:tr w:rsidR="000A3B2B" w14:paraId="0155B99F" w14:textId="77777777">
        <w:trPr>
          <w:trHeight w:val="60"/>
          <w:tblCellSpacing w:w="0" w:type="dxa"/>
        </w:trPr>
        <w:tc>
          <w:tcPr>
            <w:tcW w:w="338" w:type="dxa"/>
            <w:tcBorders>
              <w:top w:val="nil"/>
              <w:left w:val="nil"/>
              <w:bottom w:val="nil"/>
              <w:right w:val="nil"/>
            </w:tcBorders>
          </w:tcPr>
          <w:p w14:paraId="423DA083"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6.</w:t>
            </w:r>
          </w:p>
        </w:tc>
        <w:tc>
          <w:tcPr>
            <w:tcW w:w="2880" w:type="dxa"/>
            <w:tcBorders>
              <w:top w:val="nil"/>
              <w:left w:val="nil"/>
              <w:bottom w:val="nil"/>
              <w:right w:val="nil"/>
            </w:tcBorders>
          </w:tcPr>
          <w:p w14:paraId="51439D3A"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197-2:2014-05</w:t>
            </w:r>
          </w:p>
        </w:tc>
        <w:tc>
          <w:tcPr>
            <w:tcW w:w="6104" w:type="dxa"/>
            <w:tcBorders>
              <w:top w:val="nil"/>
              <w:left w:val="nil"/>
              <w:bottom w:val="nil"/>
              <w:right w:val="nil"/>
            </w:tcBorders>
          </w:tcPr>
          <w:p w14:paraId="29F39988"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Cement. Część 2: Ocena zgodności.</w:t>
            </w:r>
          </w:p>
        </w:tc>
      </w:tr>
      <w:tr w:rsidR="000A3B2B" w14:paraId="7D8665E8" w14:textId="77777777">
        <w:trPr>
          <w:trHeight w:val="60"/>
          <w:tblCellSpacing w:w="0" w:type="dxa"/>
        </w:trPr>
        <w:tc>
          <w:tcPr>
            <w:tcW w:w="338" w:type="dxa"/>
            <w:tcBorders>
              <w:top w:val="nil"/>
              <w:left w:val="nil"/>
              <w:bottom w:val="nil"/>
              <w:right w:val="nil"/>
            </w:tcBorders>
          </w:tcPr>
          <w:p w14:paraId="50BEB99D"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7.</w:t>
            </w:r>
          </w:p>
        </w:tc>
        <w:tc>
          <w:tcPr>
            <w:tcW w:w="2880" w:type="dxa"/>
            <w:tcBorders>
              <w:top w:val="nil"/>
              <w:left w:val="nil"/>
              <w:bottom w:val="nil"/>
              <w:right w:val="nil"/>
            </w:tcBorders>
          </w:tcPr>
          <w:p w14:paraId="3FE3A65C"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932-1:1999</w:t>
            </w:r>
          </w:p>
        </w:tc>
        <w:tc>
          <w:tcPr>
            <w:tcW w:w="6104" w:type="dxa"/>
            <w:tcBorders>
              <w:top w:val="nil"/>
              <w:left w:val="nil"/>
              <w:bottom w:val="nil"/>
              <w:right w:val="nil"/>
            </w:tcBorders>
          </w:tcPr>
          <w:p w14:paraId="1B71F310"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Badania podstawowych właściwości kruszyw – Część 1: Metody pobierania próbek.</w:t>
            </w:r>
          </w:p>
        </w:tc>
      </w:tr>
      <w:tr w:rsidR="000A3B2B" w14:paraId="296C33AE" w14:textId="77777777">
        <w:trPr>
          <w:trHeight w:val="60"/>
          <w:tblCellSpacing w:w="0" w:type="dxa"/>
        </w:trPr>
        <w:tc>
          <w:tcPr>
            <w:tcW w:w="338" w:type="dxa"/>
            <w:tcBorders>
              <w:top w:val="nil"/>
              <w:left w:val="nil"/>
              <w:bottom w:val="nil"/>
              <w:right w:val="nil"/>
            </w:tcBorders>
          </w:tcPr>
          <w:p w14:paraId="28005EDB"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8.</w:t>
            </w:r>
          </w:p>
        </w:tc>
        <w:tc>
          <w:tcPr>
            <w:tcW w:w="2880" w:type="dxa"/>
            <w:tcBorders>
              <w:top w:val="nil"/>
              <w:left w:val="nil"/>
              <w:bottom w:val="nil"/>
              <w:right w:val="nil"/>
            </w:tcBorders>
          </w:tcPr>
          <w:p w14:paraId="3143CEDA"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932-2:2001</w:t>
            </w:r>
          </w:p>
        </w:tc>
        <w:tc>
          <w:tcPr>
            <w:tcW w:w="6104" w:type="dxa"/>
            <w:tcBorders>
              <w:top w:val="nil"/>
              <w:left w:val="nil"/>
              <w:bottom w:val="nil"/>
              <w:right w:val="nil"/>
            </w:tcBorders>
          </w:tcPr>
          <w:p w14:paraId="11634C20"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Badania podstawowych właściwości kruszyw – Część 2: Metody pomniejszania próbek laboratoryjnych.</w:t>
            </w:r>
          </w:p>
        </w:tc>
      </w:tr>
      <w:tr w:rsidR="000A3B2B" w14:paraId="6309DD63" w14:textId="77777777">
        <w:trPr>
          <w:trHeight w:val="60"/>
          <w:tblCellSpacing w:w="0" w:type="dxa"/>
        </w:trPr>
        <w:tc>
          <w:tcPr>
            <w:tcW w:w="338" w:type="dxa"/>
            <w:tcBorders>
              <w:top w:val="nil"/>
              <w:left w:val="nil"/>
              <w:bottom w:val="nil"/>
              <w:right w:val="nil"/>
            </w:tcBorders>
          </w:tcPr>
          <w:p w14:paraId="37075BB3"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9.</w:t>
            </w:r>
          </w:p>
        </w:tc>
        <w:tc>
          <w:tcPr>
            <w:tcW w:w="2880" w:type="dxa"/>
            <w:tcBorders>
              <w:top w:val="nil"/>
              <w:left w:val="nil"/>
              <w:bottom w:val="nil"/>
              <w:right w:val="nil"/>
            </w:tcBorders>
          </w:tcPr>
          <w:p w14:paraId="3055B26D"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932-3:1999</w:t>
            </w:r>
          </w:p>
          <w:p w14:paraId="62AAD59D"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932-3:1999/A1:2004</w:t>
            </w:r>
          </w:p>
        </w:tc>
        <w:tc>
          <w:tcPr>
            <w:tcW w:w="6104" w:type="dxa"/>
            <w:tcBorders>
              <w:top w:val="nil"/>
              <w:left w:val="nil"/>
              <w:bottom w:val="nil"/>
              <w:right w:val="nil"/>
            </w:tcBorders>
          </w:tcPr>
          <w:p w14:paraId="4ED1D5F4"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Badania podstawowych właściwości kruszyw – Część 3: Procedura i terminologia uproszczonego opisu petrograficznego.</w:t>
            </w:r>
          </w:p>
        </w:tc>
      </w:tr>
      <w:tr w:rsidR="000A3B2B" w14:paraId="513AFC61" w14:textId="77777777">
        <w:trPr>
          <w:trHeight w:val="60"/>
          <w:tblCellSpacing w:w="0" w:type="dxa"/>
        </w:trPr>
        <w:tc>
          <w:tcPr>
            <w:tcW w:w="338" w:type="dxa"/>
            <w:tcBorders>
              <w:top w:val="nil"/>
              <w:left w:val="nil"/>
              <w:bottom w:val="nil"/>
              <w:right w:val="nil"/>
            </w:tcBorders>
          </w:tcPr>
          <w:p w14:paraId="0C7F0073"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10.</w:t>
            </w:r>
          </w:p>
        </w:tc>
        <w:tc>
          <w:tcPr>
            <w:tcW w:w="2880" w:type="dxa"/>
            <w:tcBorders>
              <w:top w:val="nil"/>
              <w:left w:val="nil"/>
              <w:bottom w:val="nil"/>
              <w:right w:val="nil"/>
            </w:tcBorders>
          </w:tcPr>
          <w:p w14:paraId="7F40FB50"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932-5:2012</w:t>
            </w:r>
          </w:p>
        </w:tc>
        <w:tc>
          <w:tcPr>
            <w:tcW w:w="6104" w:type="dxa"/>
            <w:tcBorders>
              <w:top w:val="nil"/>
              <w:left w:val="nil"/>
              <w:bottom w:val="nil"/>
              <w:right w:val="nil"/>
            </w:tcBorders>
          </w:tcPr>
          <w:p w14:paraId="7AF62D76" w14:textId="77777777" w:rsidR="000A3B2B" w:rsidRDefault="000A3B2B">
            <w:pPr>
              <w:autoSpaceDE w:val="0"/>
              <w:autoSpaceDN w:val="0"/>
              <w:adjustRightInd w:val="0"/>
              <w:spacing w:after="30" w:line="240" w:lineRule="auto"/>
              <w:jc w:val="both"/>
              <w:rPr>
                <w:rFonts w:ascii="Arial" w:hAnsi="Arial" w:cs="Arial"/>
                <w:i/>
                <w:iCs/>
                <w:color w:val="000000"/>
                <w:sz w:val="18"/>
                <w:szCs w:val="18"/>
                <w:lang w:val="x-none"/>
              </w:rPr>
            </w:pPr>
            <w:r>
              <w:rPr>
                <w:rFonts w:ascii="Arial" w:hAnsi="Arial" w:cs="Arial"/>
                <w:color w:val="000000"/>
                <w:sz w:val="18"/>
                <w:szCs w:val="18"/>
                <w:lang w:val="x-none"/>
              </w:rPr>
              <w:t xml:space="preserve">Badania podstawowych właściwości kruszyw – Część 5: Wyposażenie podstawowe i wzorcowanie </w:t>
            </w:r>
            <w:r>
              <w:rPr>
                <w:rFonts w:ascii="Arial" w:hAnsi="Arial" w:cs="Arial"/>
                <w:i/>
                <w:iCs/>
                <w:color w:val="000000"/>
                <w:sz w:val="18"/>
                <w:szCs w:val="18"/>
                <w:lang w:val="x-none"/>
              </w:rPr>
              <w:t>(wersja angielska).</w:t>
            </w:r>
          </w:p>
        </w:tc>
      </w:tr>
      <w:tr w:rsidR="000A3B2B" w14:paraId="664E3608" w14:textId="77777777">
        <w:trPr>
          <w:trHeight w:val="60"/>
          <w:tblCellSpacing w:w="0" w:type="dxa"/>
        </w:trPr>
        <w:tc>
          <w:tcPr>
            <w:tcW w:w="338" w:type="dxa"/>
            <w:tcBorders>
              <w:top w:val="nil"/>
              <w:left w:val="nil"/>
              <w:bottom w:val="nil"/>
              <w:right w:val="nil"/>
            </w:tcBorders>
          </w:tcPr>
          <w:p w14:paraId="5EF10076"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11.</w:t>
            </w:r>
          </w:p>
        </w:tc>
        <w:tc>
          <w:tcPr>
            <w:tcW w:w="2880" w:type="dxa"/>
            <w:tcBorders>
              <w:top w:val="nil"/>
              <w:left w:val="nil"/>
              <w:bottom w:val="nil"/>
              <w:right w:val="nil"/>
            </w:tcBorders>
          </w:tcPr>
          <w:p w14:paraId="5EAB85EF"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932-6:2002</w:t>
            </w:r>
          </w:p>
        </w:tc>
        <w:tc>
          <w:tcPr>
            <w:tcW w:w="6104" w:type="dxa"/>
            <w:tcBorders>
              <w:top w:val="nil"/>
              <w:left w:val="nil"/>
              <w:bottom w:val="nil"/>
              <w:right w:val="nil"/>
            </w:tcBorders>
          </w:tcPr>
          <w:p w14:paraId="753DFE35"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Badania podstawowych właściwości kruszyw – Część 6: Definicje powtarzalności i odtwarzalności.</w:t>
            </w:r>
          </w:p>
        </w:tc>
      </w:tr>
      <w:tr w:rsidR="000A3B2B" w14:paraId="41AFAC35" w14:textId="77777777">
        <w:trPr>
          <w:trHeight w:val="60"/>
          <w:tblCellSpacing w:w="0" w:type="dxa"/>
        </w:trPr>
        <w:tc>
          <w:tcPr>
            <w:tcW w:w="338" w:type="dxa"/>
            <w:tcBorders>
              <w:top w:val="nil"/>
              <w:left w:val="nil"/>
              <w:bottom w:val="nil"/>
              <w:right w:val="nil"/>
            </w:tcBorders>
          </w:tcPr>
          <w:p w14:paraId="617BB7A2"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12.</w:t>
            </w:r>
          </w:p>
        </w:tc>
        <w:tc>
          <w:tcPr>
            <w:tcW w:w="2880" w:type="dxa"/>
            <w:tcBorders>
              <w:top w:val="nil"/>
              <w:left w:val="nil"/>
              <w:bottom w:val="nil"/>
              <w:right w:val="nil"/>
            </w:tcBorders>
          </w:tcPr>
          <w:p w14:paraId="62409CD0"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933-1:2012</w:t>
            </w:r>
          </w:p>
        </w:tc>
        <w:tc>
          <w:tcPr>
            <w:tcW w:w="6104" w:type="dxa"/>
            <w:tcBorders>
              <w:top w:val="nil"/>
              <w:left w:val="nil"/>
              <w:bottom w:val="nil"/>
              <w:right w:val="nil"/>
            </w:tcBorders>
          </w:tcPr>
          <w:p w14:paraId="63CCC508"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Badanie geometrycznych właściwości kruszyw – Część 1: Oznaczenie składu ziarnowego – Metoda przesiewania.</w:t>
            </w:r>
          </w:p>
        </w:tc>
      </w:tr>
      <w:tr w:rsidR="000A3B2B" w14:paraId="67CE4ED8" w14:textId="77777777">
        <w:trPr>
          <w:trHeight w:val="60"/>
          <w:tblCellSpacing w:w="0" w:type="dxa"/>
        </w:trPr>
        <w:tc>
          <w:tcPr>
            <w:tcW w:w="338" w:type="dxa"/>
            <w:tcBorders>
              <w:top w:val="nil"/>
              <w:left w:val="nil"/>
              <w:bottom w:val="nil"/>
              <w:right w:val="nil"/>
            </w:tcBorders>
          </w:tcPr>
          <w:p w14:paraId="0B6E411A"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13.</w:t>
            </w:r>
          </w:p>
        </w:tc>
        <w:tc>
          <w:tcPr>
            <w:tcW w:w="2880" w:type="dxa"/>
            <w:tcBorders>
              <w:top w:val="nil"/>
              <w:left w:val="nil"/>
              <w:bottom w:val="nil"/>
              <w:right w:val="nil"/>
            </w:tcBorders>
          </w:tcPr>
          <w:p w14:paraId="1FC43FBD"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933-2:1999</w:t>
            </w:r>
          </w:p>
        </w:tc>
        <w:tc>
          <w:tcPr>
            <w:tcW w:w="6104" w:type="dxa"/>
            <w:tcBorders>
              <w:top w:val="nil"/>
              <w:left w:val="nil"/>
              <w:bottom w:val="nil"/>
              <w:right w:val="nil"/>
            </w:tcBorders>
          </w:tcPr>
          <w:p w14:paraId="46CDFF77"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Badanie geometrycznych właściwości kruszyw – Część 2: Oznaczenie składu ziarnowego – Nominalne wymiary otworów sit badawczych.</w:t>
            </w:r>
          </w:p>
        </w:tc>
      </w:tr>
      <w:tr w:rsidR="000A3B2B" w14:paraId="410C2045" w14:textId="77777777">
        <w:trPr>
          <w:trHeight w:val="60"/>
          <w:tblCellSpacing w:w="0" w:type="dxa"/>
        </w:trPr>
        <w:tc>
          <w:tcPr>
            <w:tcW w:w="338" w:type="dxa"/>
            <w:tcBorders>
              <w:top w:val="nil"/>
              <w:left w:val="nil"/>
              <w:bottom w:val="nil"/>
              <w:right w:val="nil"/>
            </w:tcBorders>
          </w:tcPr>
          <w:p w14:paraId="70B3B3C5"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14.</w:t>
            </w:r>
          </w:p>
        </w:tc>
        <w:tc>
          <w:tcPr>
            <w:tcW w:w="2880" w:type="dxa"/>
            <w:tcBorders>
              <w:top w:val="nil"/>
              <w:left w:val="nil"/>
              <w:bottom w:val="nil"/>
              <w:right w:val="nil"/>
            </w:tcBorders>
          </w:tcPr>
          <w:p w14:paraId="39047DB5"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933-3:2012</w:t>
            </w:r>
          </w:p>
        </w:tc>
        <w:tc>
          <w:tcPr>
            <w:tcW w:w="6104" w:type="dxa"/>
            <w:tcBorders>
              <w:top w:val="nil"/>
              <w:left w:val="nil"/>
              <w:bottom w:val="nil"/>
              <w:right w:val="nil"/>
            </w:tcBorders>
          </w:tcPr>
          <w:p w14:paraId="7C576D61" w14:textId="77777777" w:rsidR="000A3B2B" w:rsidRDefault="000A3B2B">
            <w:pPr>
              <w:autoSpaceDE w:val="0"/>
              <w:autoSpaceDN w:val="0"/>
              <w:adjustRightInd w:val="0"/>
              <w:spacing w:after="30" w:line="240" w:lineRule="auto"/>
              <w:jc w:val="both"/>
              <w:rPr>
                <w:rFonts w:ascii="Arial" w:hAnsi="Arial" w:cs="Arial"/>
                <w:i/>
                <w:iCs/>
                <w:color w:val="000000"/>
                <w:sz w:val="18"/>
                <w:szCs w:val="18"/>
                <w:lang w:val="x-none"/>
              </w:rPr>
            </w:pPr>
            <w:r>
              <w:rPr>
                <w:rFonts w:ascii="Arial" w:hAnsi="Arial" w:cs="Arial"/>
                <w:color w:val="000000"/>
                <w:sz w:val="18"/>
                <w:szCs w:val="18"/>
                <w:lang w:val="x-none"/>
              </w:rPr>
              <w:t xml:space="preserve">Badania geometrycznych właściwości kruszyw – Część 3: Oznaczanie kształtu </w:t>
            </w:r>
            <w:proofErr w:type="spellStart"/>
            <w:r>
              <w:rPr>
                <w:rFonts w:ascii="Arial" w:hAnsi="Arial" w:cs="Arial"/>
                <w:color w:val="000000"/>
                <w:sz w:val="18"/>
                <w:szCs w:val="18"/>
                <w:lang w:val="x-none"/>
              </w:rPr>
              <w:t>ziarn</w:t>
            </w:r>
            <w:proofErr w:type="spellEnd"/>
            <w:r>
              <w:rPr>
                <w:rFonts w:ascii="Arial" w:hAnsi="Arial" w:cs="Arial"/>
                <w:color w:val="000000"/>
                <w:sz w:val="18"/>
                <w:szCs w:val="18"/>
                <w:lang w:val="x-none"/>
              </w:rPr>
              <w:t xml:space="preserve"> za pomocą wskaźnika płaskości </w:t>
            </w:r>
            <w:r>
              <w:rPr>
                <w:rFonts w:ascii="Arial" w:hAnsi="Arial" w:cs="Arial"/>
                <w:i/>
                <w:iCs/>
                <w:color w:val="000000"/>
                <w:sz w:val="18"/>
                <w:szCs w:val="18"/>
                <w:lang w:val="x-none"/>
              </w:rPr>
              <w:t>(wersja angielska).</w:t>
            </w:r>
          </w:p>
        </w:tc>
      </w:tr>
      <w:tr w:rsidR="000A3B2B" w14:paraId="02181EA9" w14:textId="77777777">
        <w:trPr>
          <w:trHeight w:val="60"/>
          <w:tblCellSpacing w:w="0" w:type="dxa"/>
        </w:trPr>
        <w:tc>
          <w:tcPr>
            <w:tcW w:w="338" w:type="dxa"/>
            <w:tcBorders>
              <w:top w:val="nil"/>
              <w:left w:val="nil"/>
              <w:bottom w:val="nil"/>
              <w:right w:val="nil"/>
            </w:tcBorders>
          </w:tcPr>
          <w:p w14:paraId="093EBEA0"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15.</w:t>
            </w:r>
          </w:p>
        </w:tc>
        <w:tc>
          <w:tcPr>
            <w:tcW w:w="2880" w:type="dxa"/>
            <w:tcBorders>
              <w:top w:val="nil"/>
              <w:left w:val="nil"/>
              <w:bottom w:val="nil"/>
              <w:right w:val="nil"/>
            </w:tcBorders>
          </w:tcPr>
          <w:p w14:paraId="4723C582"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933-4:2008</w:t>
            </w:r>
          </w:p>
        </w:tc>
        <w:tc>
          <w:tcPr>
            <w:tcW w:w="6104" w:type="dxa"/>
            <w:tcBorders>
              <w:top w:val="nil"/>
              <w:left w:val="nil"/>
              <w:bottom w:val="nil"/>
              <w:right w:val="nil"/>
            </w:tcBorders>
          </w:tcPr>
          <w:p w14:paraId="425CEDB5"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Badanie geometrycznych właściwości kruszyw – Część 4: Oznaczanie kształtu </w:t>
            </w:r>
            <w:proofErr w:type="spellStart"/>
            <w:r>
              <w:rPr>
                <w:rFonts w:ascii="Arial" w:hAnsi="Arial" w:cs="Arial"/>
                <w:color w:val="000000"/>
                <w:sz w:val="18"/>
                <w:szCs w:val="18"/>
                <w:lang w:val="x-none"/>
              </w:rPr>
              <w:t>ziarn</w:t>
            </w:r>
            <w:proofErr w:type="spellEnd"/>
            <w:r>
              <w:rPr>
                <w:rFonts w:ascii="Arial" w:hAnsi="Arial" w:cs="Arial"/>
                <w:color w:val="000000"/>
                <w:sz w:val="18"/>
                <w:szCs w:val="18"/>
                <w:lang w:val="x-none"/>
              </w:rPr>
              <w:t xml:space="preserve"> – Wskaźnik kształtu.</w:t>
            </w:r>
          </w:p>
        </w:tc>
      </w:tr>
      <w:tr w:rsidR="000A3B2B" w14:paraId="6BA725DA" w14:textId="77777777">
        <w:trPr>
          <w:trHeight w:val="60"/>
          <w:tblCellSpacing w:w="0" w:type="dxa"/>
        </w:trPr>
        <w:tc>
          <w:tcPr>
            <w:tcW w:w="338" w:type="dxa"/>
            <w:tcBorders>
              <w:top w:val="nil"/>
              <w:left w:val="nil"/>
              <w:bottom w:val="nil"/>
              <w:right w:val="nil"/>
            </w:tcBorders>
          </w:tcPr>
          <w:p w14:paraId="725CEE11"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16.</w:t>
            </w:r>
          </w:p>
        </w:tc>
        <w:tc>
          <w:tcPr>
            <w:tcW w:w="2880" w:type="dxa"/>
            <w:tcBorders>
              <w:top w:val="nil"/>
              <w:left w:val="nil"/>
              <w:bottom w:val="nil"/>
              <w:right w:val="nil"/>
            </w:tcBorders>
          </w:tcPr>
          <w:p w14:paraId="7225F69D"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933-5:2000</w:t>
            </w:r>
          </w:p>
          <w:p w14:paraId="3572E04B"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933-5:2000/A1:2005</w:t>
            </w:r>
          </w:p>
        </w:tc>
        <w:tc>
          <w:tcPr>
            <w:tcW w:w="6104" w:type="dxa"/>
            <w:tcBorders>
              <w:top w:val="nil"/>
              <w:left w:val="nil"/>
              <w:bottom w:val="nil"/>
              <w:right w:val="nil"/>
            </w:tcBorders>
          </w:tcPr>
          <w:p w14:paraId="13136F72"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Badanie geometrycznych właściwości kruszyw – Część 5: Oznaczenie procentowej zawartości </w:t>
            </w:r>
            <w:proofErr w:type="spellStart"/>
            <w:r>
              <w:rPr>
                <w:rFonts w:ascii="Arial" w:hAnsi="Arial" w:cs="Arial"/>
                <w:color w:val="000000"/>
                <w:sz w:val="18"/>
                <w:szCs w:val="18"/>
                <w:lang w:val="x-none"/>
              </w:rPr>
              <w:t>ziarn</w:t>
            </w:r>
            <w:proofErr w:type="spellEnd"/>
            <w:r>
              <w:rPr>
                <w:rFonts w:ascii="Arial" w:hAnsi="Arial" w:cs="Arial"/>
                <w:color w:val="000000"/>
                <w:sz w:val="18"/>
                <w:szCs w:val="18"/>
                <w:lang w:val="x-none"/>
              </w:rPr>
              <w:t xml:space="preserve"> o powierzchniach powstałych w wyniku </w:t>
            </w:r>
            <w:proofErr w:type="spellStart"/>
            <w:r>
              <w:rPr>
                <w:rFonts w:ascii="Arial" w:hAnsi="Arial" w:cs="Arial"/>
                <w:color w:val="000000"/>
                <w:sz w:val="18"/>
                <w:szCs w:val="18"/>
                <w:lang w:val="x-none"/>
              </w:rPr>
              <w:t>przekruszenia</w:t>
            </w:r>
            <w:proofErr w:type="spellEnd"/>
            <w:r>
              <w:rPr>
                <w:rFonts w:ascii="Arial" w:hAnsi="Arial" w:cs="Arial"/>
                <w:color w:val="000000"/>
                <w:sz w:val="18"/>
                <w:szCs w:val="18"/>
                <w:lang w:val="x-none"/>
              </w:rPr>
              <w:t xml:space="preserve"> lub łamania kruszyw grubych.</w:t>
            </w:r>
          </w:p>
        </w:tc>
      </w:tr>
      <w:tr w:rsidR="000A3B2B" w14:paraId="6E511DCE" w14:textId="77777777">
        <w:trPr>
          <w:trHeight w:val="60"/>
          <w:tblCellSpacing w:w="0" w:type="dxa"/>
        </w:trPr>
        <w:tc>
          <w:tcPr>
            <w:tcW w:w="338" w:type="dxa"/>
            <w:tcBorders>
              <w:top w:val="nil"/>
              <w:left w:val="nil"/>
              <w:bottom w:val="nil"/>
              <w:right w:val="nil"/>
            </w:tcBorders>
          </w:tcPr>
          <w:p w14:paraId="06641A4E"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17.</w:t>
            </w:r>
          </w:p>
        </w:tc>
        <w:tc>
          <w:tcPr>
            <w:tcW w:w="2880" w:type="dxa"/>
            <w:tcBorders>
              <w:top w:val="nil"/>
              <w:left w:val="nil"/>
              <w:bottom w:val="nil"/>
              <w:right w:val="nil"/>
            </w:tcBorders>
          </w:tcPr>
          <w:p w14:paraId="4951CA6C"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933-6:2014-07</w:t>
            </w:r>
          </w:p>
        </w:tc>
        <w:tc>
          <w:tcPr>
            <w:tcW w:w="6104" w:type="dxa"/>
            <w:tcBorders>
              <w:top w:val="nil"/>
              <w:left w:val="nil"/>
              <w:bottom w:val="nil"/>
              <w:right w:val="nil"/>
            </w:tcBorders>
          </w:tcPr>
          <w:p w14:paraId="61CF71E4" w14:textId="77777777" w:rsidR="000A3B2B" w:rsidRDefault="000A3B2B">
            <w:pPr>
              <w:autoSpaceDE w:val="0"/>
              <w:autoSpaceDN w:val="0"/>
              <w:adjustRightInd w:val="0"/>
              <w:spacing w:after="30" w:line="240" w:lineRule="auto"/>
              <w:jc w:val="both"/>
              <w:rPr>
                <w:rFonts w:ascii="Arial" w:hAnsi="Arial" w:cs="Arial"/>
                <w:i/>
                <w:iCs/>
                <w:color w:val="000000"/>
                <w:sz w:val="18"/>
                <w:szCs w:val="18"/>
                <w:lang w:val="x-none"/>
              </w:rPr>
            </w:pPr>
            <w:r>
              <w:rPr>
                <w:rFonts w:ascii="Arial" w:hAnsi="Arial" w:cs="Arial"/>
                <w:color w:val="000000"/>
                <w:sz w:val="18"/>
                <w:szCs w:val="18"/>
                <w:lang w:val="x-none"/>
              </w:rPr>
              <w:t xml:space="preserve">Badanie geometrycznych właściwości kruszyw – Część 6: Ocena właściwości powierzchni – Wskaźnik przepływu kruszyw </w:t>
            </w:r>
            <w:r>
              <w:rPr>
                <w:rFonts w:ascii="Arial" w:hAnsi="Arial" w:cs="Arial"/>
                <w:i/>
                <w:iCs/>
                <w:color w:val="000000"/>
                <w:sz w:val="18"/>
                <w:szCs w:val="18"/>
                <w:lang w:val="x-none"/>
              </w:rPr>
              <w:t>(wersja angielska).</w:t>
            </w:r>
          </w:p>
        </w:tc>
      </w:tr>
      <w:tr w:rsidR="000A3B2B" w14:paraId="1347D215" w14:textId="77777777">
        <w:trPr>
          <w:trHeight w:val="60"/>
          <w:tblCellSpacing w:w="0" w:type="dxa"/>
        </w:trPr>
        <w:tc>
          <w:tcPr>
            <w:tcW w:w="338" w:type="dxa"/>
            <w:tcBorders>
              <w:top w:val="nil"/>
              <w:left w:val="nil"/>
              <w:bottom w:val="nil"/>
              <w:right w:val="nil"/>
            </w:tcBorders>
          </w:tcPr>
          <w:p w14:paraId="38F149D8"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18.</w:t>
            </w:r>
          </w:p>
        </w:tc>
        <w:tc>
          <w:tcPr>
            <w:tcW w:w="2880" w:type="dxa"/>
            <w:tcBorders>
              <w:top w:val="nil"/>
              <w:left w:val="nil"/>
              <w:bottom w:val="nil"/>
              <w:right w:val="nil"/>
            </w:tcBorders>
          </w:tcPr>
          <w:p w14:paraId="1BAAAD6D"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933-7:2000</w:t>
            </w:r>
          </w:p>
        </w:tc>
        <w:tc>
          <w:tcPr>
            <w:tcW w:w="6104" w:type="dxa"/>
            <w:tcBorders>
              <w:top w:val="nil"/>
              <w:left w:val="nil"/>
              <w:bottom w:val="nil"/>
              <w:right w:val="nil"/>
            </w:tcBorders>
          </w:tcPr>
          <w:p w14:paraId="7DCBECC9"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Badanie geometrycznych właściwości kruszyw – Część 7: Oznaczenie zawartości muszli – Zawartość procentowa muszli w kruszywach grubych.</w:t>
            </w:r>
          </w:p>
        </w:tc>
      </w:tr>
      <w:tr w:rsidR="000A3B2B" w14:paraId="7D77E46A" w14:textId="77777777">
        <w:trPr>
          <w:trHeight w:val="60"/>
          <w:tblCellSpacing w:w="0" w:type="dxa"/>
        </w:trPr>
        <w:tc>
          <w:tcPr>
            <w:tcW w:w="338" w:type="dxa"/>
            <w:tcBorders>
              <w:top w:val="nil"/>
              <w:left w:val="nil"/>
              <w:bottom w:val="nil"/>
              <w:right w:val="nil"/>
            </w:tcBorders>
          </w:tcPr>
          <w:p w14:paraId="45533B3B"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19.</w:t>
            </w:r>
          </w:p>
        </w:tc>
        <w:tc>
          <w:tcPr>
            <w:tcW w:w="2880" w:type="dxa"/>
            <w:tcBorders>
              <w:top w:val="nil"/>
              <w:left w:val="nil"/>
              <w:bottom w:val="nil"/>
              <w:right w:val="nil"/>
            </w:tcBorders>
          </w:tcPr>
          <w:p w14:paraId="25142AD7"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933-8+A1:2015-07</w:t>
            </w:r>
          </w:p>
        </w:tc>
        <w:tc>
          <w:tcPr>
            <w:tcW w:w="6104" w:type="dxa"/>
            <w:tcBorders>
              <w:top w:val="nil"/>
              <w:left w:val="nil"/>
              <w:bottom w:val="nil"/>
              <w:right w:val="nil"/>
            </w:tcBorders>
          </w:tcPr>
          <w:p w14:paraId="11BC3CDF" w14:textId="77777777" w:rsidR="000A3B2B" w:rsidRDefault="000A3B2B">
            <w:pPr>
              <w:autoSpaceDE w:val="0"/>
              <w:autoSpaceDN w:val="0"/>
              <w:adjustRightInd w:val="0"/>
              <w:spacing w:after="30" w:line="240" w:lineRule="auto"/>
              <w:jc w:val="both"/>
              <w:rPr>
                <w:rFonts w:ascii="Arial" w:hAnsi="Arial" w:cs="Arial"/>
                <w:i/>
                <w:iCs/>
                <w:color w:val="000000"/>
                <w:sz w:val="18"/>
                <w:szCs w:val="18"/>
                <w:lang w:val="x-none"/>
              </w:rPr>
            </w:pPr>
            <w:r>
              <w:rPr>
                <w:rFonts w:ascii="Arial" w:hAnsi="Arial" w:cs="Arial"/>
                <w:color w:val="000000"/>
                <w:sz w:val="18"/>
                <w:szCs w:val="18"/>
                <w:lang w:val="x-none"/>
              </w:rPr>
              <w:t xml:space="preserve">Badanie geometrycznych właściwości kruszyw – Część 8: Ocena zawartości drobnych cząstek – Badanie wskaźnika piaskowego </w:t>
            </w:r>
            <w:r>
              <w:rPr>
                <w:rFonts w:ascii="Arial" w:hAnsi="Arial" w:cs="Arial"/>
                <w:i/>
                <w:iCs/>
                <w:color w:val="000000"/>
                <w:sz w:val="18"/>
                <w:szCs w:val="18"/>
                <w:lang w:val="x-none"/>
              </w:rPr>
              <w:t>(wersja angielska).</w:t>
            </w:r>
          </w:p>
        </w:tc>
      </w:tr>
      <w:tr w:rsidR="000A3B2B" w14:paraId="6A182E9E" w14:textId="77777777">
        <w:trPr>
          <w:trHeight w:val="60"/>
          <w:tblCellSpacing w:w="0" w:type="dxa"/>
        </w:trPr>
        <w:tc>
          <w:tcPr>
            <w:tcW w:w="338" w:type="dxa"/>
            <w:tcBorders>
              <w:top w:val="nil"/>
              <w:left w:val="nil"/>
              <w:bottom w:val="nil"/>
              <w:right w:val="nil"/>
            </w:tcBorders>
          </w:tcPr>
          <w:p w14:paraId="7B82B98E"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20.</w:t>
            </w:r>
          </w:p>
        </w:tc>
        <w:tc>
          <w:tcPr>
            <w:tcW w:w="2880" w:type="dxa"/>
            <w:tcBorders>
              <w:top w:val="nil"/>
              <w:left w:val="nil"/>
              <w:bottom w:val="nil"/>
              <w:right w:val="nil"/>
            </w:tcBorders>
          </w:tcPr>
          <w:p w14:paraId="611570F3"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933-9+A1:2013-07</w:t>
            </w:r>
          </w:p>
        </w:tc>
        <w:tc>
          <w:tcPr>
            <w:tcW w:w="6104" w:type="dxa"/>
            <w:tcBorders>
              <w:top w:val="nil"/>
              <w:left w:val="nil"/>
              <w:bottom w:val="nil"/>
              <w:right w:val="nil"/>
            </w:tcBorders>
          </w:tcPr>
          <w:p w14:paraId="0E9AF791" w14:textId="77777777" w:rsidR="000A3B2B" w:rsidRDefault="000A3B2B">
            <w:pPr>
              <w:autoSpaceDE w:val="0"/>
              <w:autoSpaceDN w:val="0"/>
              <w:adjustRightInd w:val="0"/>
              <w:spacing w:after="30" w:line="240" w:lineRule="auto"/>
              <w:jc w:val="both"/>
              <w:rPr>
                <w:rFonts w:ascii="Arial" w:hAnsi="Arial" w:cs="Arial"/>
                <w:i/>
                <w:iCs/>
                <w:color w:val="000000"/>
                <w:sz w:val="18"/>
                <w:szCs w:val="18"/>
                <w:lang w:val="x-none"/>
              </w:rPr>
            </w:pPr>
            <w:r>
              <w:rPr>
                <w:rFonts w:ascii="Arial" w:hAnsi="Arial" w:cs="Arial"/>
                <w:color w:val="000000"/>
                <w:sz w:val="18"/>
                <w:szCs w:val="18"/>
                <w:lang w:val="x-none"/>
              </w:rPr>
              <w:t xml:space="preserve">Badanie geometrycznych właściwości kruszyw – Część 9: Ocena zawartości drobnych cząstek – Badanie błękitem metylenowym </w:t>
            </w:r>
            <w:r>
              <w:rPr>
                <w:rFonts w:ascii="Arial" w:hAnsi="Arial" w:cs="Arial"/>
                <w:i/>
                <w:iCs/>
                <w:color w:val="000000"/>
                <w:sz w:val="18"/>
                <w:szCs w:val="18"/>
                <w:lang w:val="x-none"/>
              </w:rPr>
              <w:t>(wersja angielska).</w:t>
            </w:r>
          </w:p>
        </w:tc>
      </w:tr>
      <w:tr w:rsidR="000A3B2B" w14:paraId="3ADA027A" w14:textId="77777777">
        <w:trPr>
          <w:trHeight w:val="60"/>
          <w:tblCellSpacing w:w="0" w:type="dxa"/>
        </w:trPr>
        <w:tc>
          <w:tcPr>
            <w:tcW w:w="338" w:type="dxa"/>
            <w:tcBorders>
              <w:top w:val="nil"/>
              <w:left w:val="nil"/>
              <w:bottom w:val="nil"/>
              <w:right w:val="nil"/>
            </w:tcBorders>
          </w:tcPr>
          <w:p w14:paraId="3CC16566"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21.</w:t>
            </w:r>
          </w:p>
        </w:tc>
        <w:tc>
          <w:tcPr>
            <w:tcW w:w="2880" w:type="dxa"/>
            <w:tcBorders>
              <w:top w:val="nil"/>
              <w:left w:val="nil"/>
              <w:bottom w:val="nil"/>
              <w:right w:val="nil"/>
            </w:tcBorders>
          </w:tcPr>
          <w:p w14:paraId="625BD983"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933-10:2009</w:t>
            </w:r>
          </w:p>
        </w:tc>
        <w:tc>
          <w:tcPr>
            <w:tcW w:w="6104" w:type="dxa"/>
            <w:tcBorders>
              <w:top w:val="nil"/>
              <w:left w:val="nil"/>
              <w:bottom w:val="nil"/>
              <w:right w:val="nil"/>
            </w:tcBorders>
          </w:tcPr>
          <w:p w14:paraId="78B46029" w14:textId="77777777" w:rsidR="000A3B2B" w:rsidRDefault="000A3B2B">
            <w:pPr>
              <w:autoSpaceDE w:val="0"/>
              <w:autoSpaceDN w:val="0"/>
              <w:adjustRightInd w:val="0"/>
              <w:spacing w:after="30" w:line="240" w:lineRule="auto"/>
              <w:jc w:val="both"/>
              <w:rPr>
                <w:rFonts w:ascii="Arial" w:hAnsi="Arial" w:cs="Arial"/>
                <w:i/>
                <w:iCs/>
                <w:color w:val="000000"/>
                <w:sz w:val="18"/>
                <w:szCs w:val="18"/>
                <w:lang w:val="x-none"/>
              </w:rPr>
            </w:pPr>
            <w:r>
              <w:rPr>
                <w:rFonts w:ascii="Arial" w:hAnsi="Arial" w:cs="Arial"/>
                <w:color w:val="000000"/>
                <w:sz w:val="18"/>
                <w:szCs w:val="18"/>
                <w:lang w:val="x-none"/>
              </w:rPr>
              <w:t xml:space="preserve">Badanie geometrycznych właściwości kruszyw – Część 10: Ocena zawartości drobnych cząstek – Uziarnienie wypełniaczy (przesiewanie w strumieniu powietrza) </w:t>
            </w:r>
            <w:r>
              <w:rPr>
                <w:rFonts w:ascii="Arial" w:hAnsi="Arial" w:cs="Arial"/>
                <w:i/>
                <w:iCs/>
                <w:color w:val="000000"/>
                <w:sz w:val="18"/>
                <w:szCs w:val="18"/>
                <w:lang w:val="x-none"/>
              </w:rPr>
              <w:t>(wersja angielska).</w:t>
            </w:r>
          </w:p>
        </w:tc>
      </w:tr>
      <w:tr w:rsidR="000A3B2B" w14:paraId="04021532" w14:textId="77777777">
        <w:trPr>
          <w:trHeight w:val="60"/>
          <w:tblCellSpacing w:w="0" w:type="dxa"/>
        </w:trPr>
        <w:tc>
          <w:tcPr>
            <w:tcW w:w="338" w:type="dxa"/>
            <w:tcBorders>
              <w:top w:val="nil"/>
              <w:left w:val="nil"/>
              <w:bottom w:val="nil"/>
              <w:right w:val="nil"/>
            </w:tcBorders>
          </w:tcPr>
          <w:p w14:paraId="589DC647"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22.</w:t>
            </w:r>
          </w:p>
        </w:tc>
        <w:tc>
          <w:tcPr>
            <w:tcW w:w="2880" w:type="dxa"/>
            <w:tcBorders>
              <w:top w:val="nil"/>
              <w:left w:val="nil"/>
              <w:bottom w:val="nil"/>
              <w:right w:val="nil"/>
            </w:tcBorders>
          </w:tcPr>
          <w:p w14:paraId="37CC8855"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1097-3:2000</w:t>
            </w:r>
          </w:p>
        </w:tc>
        <w:tc>
          <w:tcPr>
            <w:tcW w:w="6104" w:type="dxa"/>
            <w:tcBorders>
              <w:top w:val="nil"/>
              <w:left w:val="nil"/>
              <w:bottom w:val="nil"/>
              <w:right w:val="nil"/>
            </w:tcBorders>
          </w:tcPr>
          <w:p w14:paraId="3C96E5FE"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Badanie mechanicznych i fizycznych właściwości kruszyw – Część 3: Oznaczanie gęstości nasypowej i jamistości.</w:t>
            </w:r>
          </w:p>
        </w:tc>
      </w:tr>
      <w:tr w:rsidR="000A3B2B" w14:paraId="5D72A639" w14:textId="77777777">
        <w:trPr>
          <w:trHeight w:val="60"/>
          <w:tblCellSpacing w:w="0" w:type="dxa"/>
        </w:trPr>
        <w:tc>
          <w:tcPr>
            <w:tcW w:w="338" w:type="dxa"/>
            <w:tcBorders>
              <w:top w:val="nil"/>
              <w:left w:val="nil"/>
              <w:bottom w:val="nil"/>
              <w:right w:val="nil"/>
            </w:tcBorders>
          </w:tcPr>
          <w:p w14:paraId="5EF3E36C"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23.</w:t>
            </w:r>
          </w:p>
        </w:tc>
        <w:tc>
          <w:tcPr>
            <w:tcW w:w="2880" w:type="dxa"/>
            <w:tcBorders>
              <w:top w:val="nil"/>
              <w:left w:val="nil"/>
              <w:bottom w:val="nil"/>
              <w:right w:val="nil"/>
            </w:tcBorders>
          </w:tcPr>
          <w:p w14:paraId="4D689248"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1097-6:2013-11</w:t>
            </w:r>
          </w:p>
        </w:tc>
        <w:tc>
          <w:tcPr>
            <w:tcW w:w="6104" w:type="dxa"/>
            <w:tcBorders>
              <w:top w:val="nil"/>
              <w:left w:val="nil"/>
              <w:bottom w:val="nil"/>
              <w:right w:val="nil"/>
            </w:tcBorders>
          </w:tcPr>
          <w:p w14:paraId="3FC0AB26" w14:textId="77777777" w:rsidR="000A3B2B" w:rsidRDefault="000A3B2B">
            <w:pPr>
              <w:autoSpaceDE w:val="0"/>
              <w:autoSpaceDN w:val="0"/>
              <w:adjustRightInd w:val="0"/>
              <w:spacing w:after="30" w:line="240" w:lineRule="auto"/>
              <w:jc w:val="both"/>
              <w:rPr>
                <w:rFonts w:ascii="Arial" w:hAnsi="Arial" w:cs="Arial"/>
                <w:i/>
                <w:iCs/>
                <w:color w:val="000000"/>
                <w:sz w:val="18"/>
                <w:szCs w:val="18"/>
                <w:lang w:val="x-none"/>
              </w:rPr>
            </w:pPr>
            <w:r>
              <w:rPr>
                <w:rFonts w:ascii="Arial" w:hAnsi="Arial" w:cs="Arial"/>
                <w:color w:val="000000"/>
                <w:sz w:val="18"/>
                <w:szCs w:val="18"/>
                <w:lang w:val="x-none"/>
              </w:rPr>
              <w:t xml:space="preserve">Badanie mechanicznych i fizycznych właściwości kruszyw – Część 6: Oznaczanie gęstości </w:t>
            </w:r>
            <w:proofErr w:type="spellStart"/>
            <w:r>
              <w:rPr>
                <w:rFonts w:ascii="Arial" w:hAnsi="Arial" w:cs="Arial"/>
                <w:color w:val="000000"/>
                <w:sz w:val="18"/>
                <w:szCs w:val="18"/>
                <w:lang w:val="x-none"/>
              </w:rPr>
              <w:t>ziarn</w:t>
            </w:r>
            <w:proofErr w:type="spellEnd"/>
            <w:r>
              <w:rPr>
                <w:rFonts w:ascii="Arial" w:hAnsi="Arial" w:cs="Arial"/>
                <w:color w:val="000000"/>
                <w:sz w:val="18"/>
                <w:szCs w:val="18"/>
                <w:lang w:val="x-none"/>
              </w:rPr>
              <w:t xml:space="preserve"> i nasiąkliwości </w:t>
            </w:r>
            <w:r>
              <w:rPr>
                <w:rFonts w:ascii="Arial" w:hAnsi="Arial" w:cs="Arial"/>
                <w:i/>
                <w:iCs/>
                <w:color w:val="000000"/>
                <w:sz w:val="18"/>
                <w:szCs w:val="18"/>
                <w:lang w:val="x-none"/>
              </w:rPr>
              <w:t>(wersja angielska).</w:t>
            </w:r>
          </w:p>
        </w:tc>
      </w:tr>
      <w:tr w:rsidR="000A3B2B" w14:paraId="25A85FB6" w14:textId="77777777">
        <w:trPr>
          <w:trHeight w:val="60"/>
          <w:tblCellSpacing w:w="0" w:type="dxa"/>
        </w:trPr>
        <w:tc>
          <w:tcPr>
            <w:tcW w:w="338" w:type="dxa"/>
            <w:tcBorders>
              <w:top w:val="nil"/>
              <w:left w:val="nil"/>
              <w:bottom w:val="nil"/>
              <w:right w:val="nil"/>
            </w:tcBorders>
          </w:tcPr>
          <w:p w14:paraId="125FB53F"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24.</w:t>
            </w:r>
          </w:p>
        </w:tc>
        <w:tc>
          <w:tcPr>
            <w:tcW w:w="2880" w:type="dxa"/>
            <w:tcBorders>
              <w:top w:val="nil"/>
              <w:left w:val="nil"/>
              <w:bottom w:val="nil"/>
              <w:right w:val="nil"/>
            </w:tcBorders>
          </w:tcPr>
          <w:p w14:paraId="7CB8F1DF"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12620+A1:2010</w:t>
            </w:r>
          </w:p>
        </w:tc>
        <w:tc>
          <w:tcPr>
            <w:tcW w:w="6104" w:type="dxa"/>
            <w:tcBorders>
              <w:top w:val="nil"/>
              <w:left w:val="nil"/>
              <w:bottom w:val="nil"/>
              <w:right w:val="nil"/>
            </w:tcBorders>
          </w:tcPr>
          <w:p w14:paraId="5E23FCDC"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Kruszywa do betonu.</w:t>
            </w:r>
          </w:p>
        </w:tc>
      </w:tr>
      <w:tr w:rsidR="000A3B2B" w14:paraId="2AB82F7E" w14:textId="77777777">
        <w:trPr>
          <w:trHeight w:val="60"/>
          <w:tblCellSpacing w:w="0" w:type="dxa"/>
        </w:trPr>
        <w:tc>
          <w:tcPr>
            <w:tcW w:w="338" w:type="dxa"/>
            <w:tcBorders>
              <w:top w:val="nil"/>
              <w:left w:val="nil"/>
              <w:bottom w:val="nil"/>
              <w:right w:val="nil"/>
            </w:tcBorders>
          </w:tcPr>
          <w:p w14:paraId="476C9026"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25.</w:t>
            </w:r>
          </w:p>
        </w:tc>
        <w:tc>
          <w:tcPr>
            <w:tcW w:w="2880" w:type="dxa"/>
            <w:tcBorders>
              <w:top w:val="nil"/>
              <w:left w:val="nil"/>
              <w:bottom w:val="nil"/>
              <w:right w:val="nil"/>
            </w:tcBorders>
          </w:tcPr>
          <w:p w14:paraId="2AE2E323"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934-2+A1:2012</w:t>
            </w:r>
          </w:p>
        </w:tc>
        <w:tc>
          <w:tcPr>
            <w:tcW w:w="6104" w:type="dxa"/>
            <w:tcBorders>
              <w:top w:val="nil"/>
              <w:left w:val="nil"/>
              <w:bottom w:val="nil"/>
              <w:right w:val="nil"/>
            </w:tcBorders>
          </w:tcPr>
          <w:p w14:paraId="5D308DAE" w14:textId="77777777" w:rsidR="000A3B2B" w:rsidRDefault="000A3B2B">
            <w:pPr>
              <w:autoSpaceDE w:val="0"/>
              <w:autoSpaceDN w:val="0"/>
              <w:adjustRightInd w:val="0"/>
              <w:spacing w:after="30" w:line="240" w:lineRule="auto"/>
              <w:jc w:val="both"/>
              <w:rPr>
                <w:rFonts w:ascii="Arial" w:hAnsi="Arial" w:cs="Arial"/>
                <w:i/>
                <w:iCs/>
                <w:color w:val="000000"/>
                <w:sz w:val="18"/>
                <w:szCs w:val="18"/>
                <w:lang w:val="x-none"/>
              </w:rPr>
            </w:pPr>
            <w:r>
              <w:rPr>
                <w:rFonts w:ascii="Arial" w:hAnsi="Arial" w:cs="Arial"/>
                <w:color w:val="000000"/>
                <w:sz w:val="18"/>
                <w:szCs w:val="18"/>
                <w:lang w:val="x-none"/>
              </w:rPr>
              <w:t xml:space="preserve">Domieszki do betonu, zaprawy i zaczynu – Część 2: Domieszki do betonu – Definicje, wymagania, zgodność, oznakowanie i etykietowanie </w:t>
            </w:r>
            <w:r>
              <w:rPr>
                <w:rFonts w:ascii="Arial" w:hAnsi="Arial" w:cs="Arial"/>
                <w:i/>
                <w:iCs/>
                <w:color w:val="000000"/>
                <w:sz w:val="18"/>
                <w:szCs w:val="18"/>
                <w:lang w:val="x-none"/>
              </w:rPr>
              <w:t>(wersja angielska).</w:t>
            </w:r>
          </w:p>
        </w:tc>
      </w:tr>
      <w:tr w:rsidR="000A3B2B" w14:paraId="5B477AAD" w14:textId="77777777">
        <w:trPr>
          <w:trHeight w:val="60"/>
          <w:tblCellSpacing w:w="0" w:type="dxa"/>
        </w:trPr>
        <w:tc>
          <w:tcPr>
            <w:tcW w:w="338" w:type="dxa"/>
            <w:tcBorders>
              <w:top w:val="nil"/>
              <w:left w:val="nil"/>
              <w:bottom w:val="nil"/>
              <w:right w:val="nil"/>
            </w:tcBorders>
          </w:tcPr>
          <w:p w14:paraId="7702C219"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26.</w:t>
            </w:r>
          </w:p>
        </w:tc>
        <w:tc>
          <w:tcPr>
            <w:tcW w:w="2880" w:type="dxa"/>
            <w:tcBorders>
              <w:top w:val="nil"/>
              <w:left w:val="nil"/>
              <w:bottom w:val="nil"/>
              <w:right w:val="nil"/>
            </w:tcBorders>
          </w:tcPr>
          <w:p w14:paraId="3FDD244E"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480-1:2014-12</w:t>
            </w:r>
          </w:p>
        </w:tc>
        <w:tc>
          <w:tcPr>
            <w:tcW w:w="6104" w:type="dxa"/>
            <w:tcBorders>
              <w:top w:val="nil"/>
              <w:left w:val="nil"/>
              <w:bottom w:val="nil"/>
              <w:right w:val="nil"/>
            </w:tcBorders>
          </w:tcPr>
          <w:p w14:paraId="21C69B7B" w14:textId="77777777" w:rsidR="000A3B2B" w:rsidRDefault="000A3B2B">
            <w:pPr>
              <w:autoSpaceDE w:val="0"/>
              <w:autoSpaceDN w:val="0"/>
              <w:adjustRightInd w:val="0"/>
              <w:spacing w:after="30" w:line="240" w:lineRule="auto"/>
              <w:jc w:val="both"/>
              <w:rPr>
                <w:rFonts w:ascii="Arial" w:hAnsi="Arial" w:cs="Arial"/>
                <w:i/>
                <w:iCs/>
                <w:color w:val="000000"/>
                <w:sz w:val="18"/>
                <w:szCs w:val="18"/>
                <w:lang w:val="x-none"/>
              </w:rPr>
            </w:pPr>
            <w:r>
              <w:rPr>
                <w:rFonts w:ascii="Arial" w:hAnsi="Arial" w:cs="Arial"/>
                <w:color w:val="000000"/>
                <w:sz w:val="18"/>
                <w:szCs w:val="18"/>
                <w:lang w:val="x-none"/>
              </w:rPr>
              <w:t xml:space="preserve">Domieszki do betonu, zaprawy i zaczynu. Metody badań. Część 1: Beton wzorcowy i zaprawa wzorcowa do badania </w:t>
            </w:r>
            <w:r>
              <w:rPr>
                <w:rFonts w:ascii="Arial" w:hAnsi="Arial" w:cs="Arial"/>
                <w:i/>
                <w:iCs/>
                <w:color w:val="000000"/>
                <w:sz w:val="18"/>
                <w:szCs w:val="18"/>
                <w:lang w:val="x-none"/>
              </w:rPr>
              <w:t>(wersja angielska).</w:t>
            </w:r>
          </w:p>
        </w:tc>
      </w:tr>
      <w:tr w:rsidR="000A3B2B" w14:paraId="3F9A0809" w14:textId="77777777">
        <w:trPr>
          <w:trHeight w:val="60"/>
          <w:tblCellSpacing w:w="0" w:type="dxa"/>
        </w:trPr>
        <w:tc>
          <w:tcPr>
            <w:tcW w:w="338" w:type="dxa"/>
            <w:tcBorders>
              <w:top w:val="nil"/>
              <w:left w:val="nil"/>
              <w:bottom w:val="nil"/>
              <w:right w:val="nil"/>
            </w:tcBorders>
          </w:tcPr>
          <w:p w14:paraId="603A1324"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27.</w:t>
            </w:r>
          </w:p>
        </w:tc>
        <w:tc>
          <w:tcPr>
            <w:tcW w:w="2880" w:type="dxa"/>
            <w:tcBorders>
              <w:top w:val="nil"/>
              <w:left w:val="nil"/>
              <w:bottom w:val="nil"/>
              <w:right w:val="nil"/>
            </w:tcBorders>
          </w:tcPr>
          <w:p w14:paraId="2EFD332E"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480-2:2008</w:t>
            </w:r>
          </w:p>
        </w:tc>
        <w:tc>
          <w:tcPr>
            <w:tcW w:w="6104" w:type="dxa"/>
            <w:tcBorders>
              <w:top w:val="nil"/>
              <w:left w:val="nil"/>
              <w:bottom w:val="nil"/>
              <w:right w:val="nil"/>
            </w:tcBorders>
          </w:tcPr>
          <w:p w14:paraId="42A14327"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Domieszki do betonu, zaprawy i zaczynu. Metody badań. Część 2: Oznaczanie czasu wiązania.</w:t>
            </w:r>
          </w:p>
        </w:tc>
      </w:tr>
      <w:tr w:rsidR="000A3B2B" w14:paraId="01CA878A" w14:textId="77777777">
        <w:trPr>
          <w:trHeight w:val="60"/>
          <w:tblCellSpacing w:w="0" w:type="dxa"/>
        </w:trPr>
        <w:tc>
          <w:tcPr>
            <w:tcW w:w="338" w:type="dxa"/>
            <w:tcBorders>
              <w:top w:val="nil"/>
              <w:left w:val="nil"/>
              <w:bottom w:val="nil"/>
              <w:right w:val="nil"/>
            </w:tcBorders>
          </w:tcPr>
          <w:p w14:paraId="13330515"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28.</w:t>
            </w:r>
          </w:p>
        </w:tc>
        <w:tc>
          <w:tcPr>
            <w:tcW w:w="2880" w:type="dxa"/>
            <w:tcBorders>
              <w:top w:val="nil"/>
              <w:left w:val="nil"/>
              <w:bottom w:val="nil"/>
              <w:right w:val="nil"/>
            </w:tcBorders>
          </w:tcPr>
          <w:p w14:paraId="2756B8DE"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480-4:2008</w:t>
            </w:r>
          </w:p>
        </w:tc>
        <w:tc>
          <w:tcPr>
            <w:tcW w:w="6104" w:type="dxa"/>
            <w:tcBorders>
              <w:top w:val="nil"/>
              <w:left w:val="nil"/>
              <w:bottom w:val="nil"/>
              <w:right w:val="nil"/>
            </w:tcBorders>
          </w:tcPr>
          <w:p w14:paraId="44FEE601"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Domieszki do betonu, zaprawy i zaczynu. Metody badań. Część 4: Oznaczanie ilości wody wydzielającej się samoczynnie z mieszanki betonowej.</w:t>
            </w:r>
          </w:p>
        </w:tc>
      </w:tr>
      <w:tr w:rsidR="000A3B2B" w14:paraId="0BF0EB9C" w14:textId="77777777">
        <w:trPr>
          <w:trHeight w:val="60"/>
          <w:tblCellSpacing w:w="0" w:type="dxa"/>
        </w:trPr>
        <w:tc>
          <w:tcPr>
            <w:tcW w:w="338" w:type="dxa"/>
            <w:tcBorders>
              <w:top w:val="nil"/>
              <w:left w:val="nil"/>
              <w:bottom w:val="nil"/>
              <w:right w:val="nil"/>
            </w:tcBorders>
          </w:tcPr>
          <w:p w14:paraId="51BE5E12"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29.</w:t>
            </w:r>
          </w:p>
        </w:tc>
        <w:tc>
          <w:tcPr>
            <w:tcW w:w="2880" w:type="dxa"/>
            <w:tcBorders>
              <w:top w:val="nil"/>
              <w:left w:val="nil"/>
              <w:bottom w:val="nil"/>
              <w:right w:val="nil"/>
            </w:tcBorders>
          </w:tcPr>
          <w:p w14:paraId="0F2BC770"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480-5:2008</w:t>
            </w:r>
          </w:p>
        </w:tc>
        <w:tc>
          <w:tcPr>
            <w:tcW w:w="6104" w:type="dxa"/>
            <w:tcBorders>
              <w:top w:val="nil"/>
              <w:left w:val="nil"/>
              <w:bottom w:val="nil"/>
              <w:right w:val="nil"/>
            </w:tcBorders>
          </w:tcPr>
          <w:p w14:paraId="1D8ED793"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Domieszki do betonu, zaprawy i zaczynu. Metody badań. Część 5: Oznaczanie absorpcji kapilarnej.</w:t>
            </w:r>
          </w:p>
        </w:tc>
      </w:tr>
      <w:tr w:rsidR="000A3B2B" w14:paraId="0CD46B67" w14:textId="77777777">
        <w:trPr>
          <w:trHeight w:val="60"/>
          <w:tblCellSpacing w:w="0" w:type="dxa"/>
        </w:trPr>
        <w:tc>
          <w:tcPr>
            <w:tcW w:w="338" w:type="dxa"/>
            <w:tcBorders>
              <w:top w:val="nil"/>
              <w:left w:val="nil"/>
              <w:bottom w:val="nil"/>
              <w:right w:val="nil"/>
            </w:tcBorders>
          </w:tcPr>
          <w:p w14:paraId="348B84E8"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30.</w:t>
            </w:r>
          </w:p>
        </w:tc>
        <w:tc>
          <w:tcPr>
            <w:tcW w:w="2880" w:type="dxa"/>
            <w:tcBorders>
              <w:top w:val="nil"/>
              <w:left w:val="nil"/>
              <w:bottom w:val="nil"/>
              <w:right w:val="nil"/>
            </w:tcBorders>
          </w:tcPr>
          <w:p w14:paraId="67768BD3"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480-6:2008</w:t>
            </w:r>
          </w:p>
        </w:tc>
        <w:tc>
          <w:tcPr>
            <w:tcW w:w="6104" w:type="dxa"/>
            <w:tcBorders>
              <w:top w:val="nil"/>
              <w:left w:val="nil"/>
              <w:bottom w:val="nil"/>
              <w:right w:val="nil"/>
            </w:tcBorders>
          </w:tcPr>
          <w:p w14:paraId="49DF0BCC"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Domieszki do betonu, zaprawy i zaczynu. Metody badań. Część 6: Analiza w podczerwieni.</w:t>
            </w:r>
          </w:p>
        </w:tc>
      </w:tr>
      <w:tr w:rsidR="000A3B2B" w14:paraId="586C704C" w14:textId="77777777">
        <w:trPr>
          <w:trHeight w:val="60"/>
          <w:tblCellSpacing w:w="0" w:type="dxa"/>
        </w:trPr>
        <w:tc>
          <w:tcPr>
            <w:tcW w:w="338" w:type="dxa"/>
            <w:tcBorders>
              <w:top w:val="nil"/>
              <w:left w:val="nil"/>
              <w:bottom w:val="nil"/>
              <w:right w:val="nil"/>
            </w:tcBorders>
          </w:tcPr>
          <w:p w14:paraId="4C28FD2C"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31.</w:t>
            </w:r>
          </w:p>
        </w:tc>
        <w:tc>
          <w:tcPr>
            <w:tcW w:w="2880" w:type="dxa"/>
            <w:tcBorders>
              <w:top w:val="nil"/>
              <w:left w:val="nil"/>
              <w:bottom w:val="nil"/>
              <w:right w:val="nil"/>
            </w:tcBorders>
          </w:tcPr>
          <w:p w14:paraId="5B856802"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480-8:2012</w:t>
            </w:r>
          </w:p>
        </w:tc>
        <w:tc>
          <w:tcPr>
            <w:tcW w:w="6104" w:type="dxa"/>
            <w:tcBorders>
              <w:top w:val="nil"/>
              <w:left w:val="nil"/>
              <w:bottom w:val="nil"/>
              <w:right w:val="nil"/>
            </w:tcBorders>
          </w:tcPr>
          <w:p w14:paraId="27F40B91" w14:textId="77777777" w:rsidR="000A3B2B" w:rsidRDefault="000A3B2B">
            <w:pPr>
              <w:autoSpaceDE w:val="0"/>
              <w:autoSpaceDN w:val="0"/>
              <w:adjustRightInd w:val="0"/>
              <w:spacing w:after="30" w:line="240" w:lineRule="auto"/>
              <w:jc w:val="both"/>
              <w:rPr>
                <w:rFonts w:ascii="Arial" w:hAnsi="Arial" w:cs="Arial"/>
                <w:i/>
                <w:iCs/>
                <w:color w:val="000000"/>
                <w:sz w:val="18"/>
                <w:szCs w:val="18"/>
                <w:lang w:val="x-none"/>
              </w:rPr>
            </w:pPr>
            <w:r>
              <w:rPr>
                <w:rFonts w:ascii="Arial" w:hAnsi="Arial" w:cs="Arial"/>
                <w:color w:val="000000"/>
                <w:sz w:val="18"/>
                <w:szCs w:val="18"/>
                <w:lang w:val="x-none"/>
              </w:rPr>
              <w:t xml:space="preserve">Domieszki do betonu, zaprawy i zaczynu. Metody badań. Część 8: Oznaczanie umownej zawartości suchej substancji </w:t>
            </w:r>
            <w:r>
              <w:rPr>
                <w:rFonts w:ascii="Arial" w:hAnsi="Arial" w:cs="Arial"/>
                <w:i/>
                <w:iCs/>
                <w:color w:val="000000"/>
                <w:sz w:val="18"/>
                <w:szCs w:val="18"/>
                <w:lang w:val="x-none"/>
              </w:rPr>
              <w:t>(wersja angielska).</w:t>
            </w:r>
          </w:p>
        </w:tc>
      </w:tr>
      <w:tr w:rsidR="000A3B2B" w14:paraId="67877209" w14:textId="77777777">
        <w:trPr>
          <w:trHeight w:val="60"/>
          <w:tblCellSpacing w:w="0" w:type="dxa"/>
        </w:trPr>
        <w:tc>
          <w:tcPr>
            <w:tcW w:w="338" w:type="dxa"/>
            <w:tcBorders>
              <w:top w:val="nil"/>
              <w:left w:val="nil"/>
              <w:bottom w:val="nil"/>
              <w:right w:val="nil"/>
            </w:tcBorders>
          </w:tcPr>
          <w:p w14:paraId="531CFD68"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32.</w:t>
            </w:r>
          </w:p>
        </w:tc>
        <w:tc>
          <w:tcPr>
            <w:tcW w:w="2880" w:type="dxa"/>
            <w:tcBorders>
              <w:top w:val="nil"/>
              <w:left w:val="nil"/>
              <w:bottom w:val="nil"/>
              <w:right w:val="nil"/>
            </w:tcBorders>
          </w:tcPr>
          <w:p w14:paraId="1A326AE8"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480-10:2011</w:t>
            </w:r>
          </w:p>
        </w:tc>
        <w:tc>
          <w:tcPr>
            <w:tcW w:w="6104" w:type="dxa"/>
            <w:tcBorders>
              <w:top w:val="nil"/>
              <w:left w:val="nil"/>
              <w:bottom w:val="nil"/>
              <w:right w:val="nil"/>
            </w:tcBorders>
          </w:tcPr>
          <w:p w14:paraId="1B3BFDE1"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Domieszki do betonu, zaprawy i zaczynu. Metody badań. Część 10: Oznaczanie zawartości chlorków rozpuszczalnych w wodzie.</w:t>
            </w:r>
          </w:p>
        </w:tc>
      </w:tr>
      <w:tr w:rsidR="000A3B2B" w14:paraId="31210576" w14:textId="77777777">
        <w:trPr>
          <w:trHeight w:val="60"/>
          <w:tblCellSpacing w:w="0" w:type="dxa"/>
        </w:trPr>
        <w:tc>
          <w:tcPr>
            <w:tcW w:w="338" w:type="dxa"/>
            <w:tcBorders>
              <w:top w:val="nil"/>
              <w:left w:val="nil"/>
              <w:bottom w:val="nil"/>
              <w:right w:val="nil"/>
            </w:tcBorders>
          </w:tcPr>
          <w:p w14:paraId="522EA02E"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33.</w:t>
            </w:r>
          </w:p>
        </w:tc>
        <w:tc>
          <w:tcPr>
            <w:tcW w:w="2880" w:type="dxa"/>
            <w:tcBorders>
              <w:top w:val="nil"/>
              <w:left w:val="nil"/>
              <w:bottom w:val="nil"/>
              <w:right w:val="nil"/>
            </w:tcBorders>
          </w:tcPr>
          <w:p w14:paraId="61C3E78A"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480-12:2008</w:t>
            </w:r>
          </w:p>
        </w:tc>
        <w:tc>
          <w:tcPr>
            <w:tcW w:w="6104" w:type="dxa"/>
            <w:tcBorders>
              <w:top w:val="nil"/>
              <w:left w:val="nil"/>
              <w:bottom w:val="nil"/>
              <w:right w:val="nil"/>
            </w:tcBorders>
          </w:tcPr>
          <w:p w14:paraId="33968960"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Domieszki do betonu, zaprawy i zaczynu. Metody badań. Część 12: Oznaczanie zawartości alkaliów w domieszkach.</w:t>
            </w:r>
          </w:p>
        </w:tc>
      </w:tr>
      <w:tr w:rsidR="000A3B2B" w14:paraId="09C1668E" w14:textId="77777777">
        <w:trPr>
          <w:trHeight w:val="60"/>
          <w:tblCellSpacing w:w="0" w:type="dxa"/>
        </w:trPr>
        <w:tc>
          <w:tcPr>
            <w:tcW w:w="338" w:type="dxa"/>
            <w:tcBorders>
              <w:top w:val="nil"/>
              <w:left w:val="nil"/>
              <w:bottom w:val="nil"/>
              <w:right w:val="nil"/>
            </w:tcBorders>
          </w:tcPr>
          <w:p w14:paraId="5ADB54AF"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34.</w:t>
            </w:r>
          </w:p>
        </w:tc>
        <w:tc>
          <w:tcPr>
            <w:tcW w:w="2880" w:type="dxa"/>
            <w:tcBorders>
              <w:top w:val="nil"/>
              <w:left w:val="nil"/>
              <w:bottom w:val="nil"/>
              <w:right w:val="nil"/>
            </w:tcBorders>
          </w:tcPr>
          <w:p w14:paraId="2B4CAF18"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1008:2004</w:t>
            </w:r>
          </w:p>
        </w:tc>
        <w:tc>
          <w:tcPr>
            <w:tcW w:w="6104" w:type="dxa"/>
            <w:tcBorders>
              <w:top w:val="nil"/>
              <w:left w:val="nil"/>
              <w:bottom w:val="nil"/>
              <w:right w:val="nil"/>
            </w:tcBorders>
          </w:tcPr>
          <w:p w14:paraId="37E5E650"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Woda zarobowa do betonu. Specyfikacja pobierania próbek, badanie i ocena przydatności wody zarobowej do betonu, w tym wody odzyskanej z procesów produkcji betonu.</w:t>
            </w:r>
          </w:p>
        </w:tc>
      </w:tr>
      <w:tr w:rsidR="000A3B2B" w14:paraId="604BC2CD" w14:textId="77777777">
        <w:trPr>
          <w:trHeight w:val="60"/>
          <w:tblCellSpacing w:w="0" w:type="dxa"/>
        </w:trPr>
        <w:tc>
          <w:tcPr>
            <w:tcW w:w="338" w:type="dxa"/>
            <w:tcBorders>
              <w:top w:val="nil"/>
              <w:left w:val="nil"/>
              <w:bottom w:val="nil"/>
              <w:right w:val="nil"/>
            </w:tcBorders>
          </w:tcPr>
          <w:p w14:paraId="5B8800BE"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35.</w:t>
            </w:r>
          </w:p>
        </w:tc>
        <w:tc>
          <w:tcPr>
            <w:tcW w:w="2880" w:type="dxa"/>
            <w:tcBorders>
              <w:top w:val="nil"/>
              <w:left w:val="nil"/>
              <w:bottom w:val="nil"/>
              <w:right w:val="nil"/>
            </w:tcBorders>
          </w:tcPr>
          <w:p w14:paraId="0B916AD8"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206+A1:2016-12</w:t>
            </w:r>
          </w:p>
          <w:p w14:paraId="64BC9092"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PN-B-06265:2004</w:t>
            </w:r>
          </w:p>
        </w:tc>
        <w:tc>
          <w:tcPr>
            <w:tcW w:w="6104" w:type="dxa"/>
            <w:tcBorders>
              <w:top w:val="nil"/>
              <w:left w:val="nil"/>
              <w:bottom w:val="nil"/>
              <w:right w:val="nil"/>
            </w:tcBorders>
          </w:tcPr>
          <w:p w14:paraId="31032268" w14:textId="77777777" w:rsidR="000A3B2B" w:rsidRDefault="000A3B2B">
            <w:pPr>
              <w:autoSpaceDE w:val="0"/>
              <w:autoSpaceDN w:val="0"/>
              <w:adjustRightInd w:val="0"/>
              <w:spacing w:after="30" w:line="240" w:lineRule="auto"/>
              <w:jc w:val="both"/>
              <w:rPr>
                <w:rFonts w:ascii="Arial" w:hAnsi="Arial" w:cs="Arial"/>
                <w:i/>
                <w:iCs/>
                <w:color w:val="000000"/>
                <w:sz w:val="18"/>
                <w:szCs w:val="18"/>
                <w:lang w:val="x-none"/>
              </w:rPr>
            </w:pPr>
            <w:r>
              <w:rPr>
                <w:rFonts w:ascii="Arial" w:hAnsi="Arial" w:cs="Arial"/>
                <w:color w:val="000000"/>
                <w:sz w:val="18"/>
                <w:szCs w:val="18"/>
                <w:lang w:val="x-none"/>
              </w:rPr>
              <w:t xml:space="preserve">Beton. Część 1: Wymagania, właściwości, produkcja i zgodność </w:t>
            </w:r>
            <w:r>
              <w:rPr>
                <w:rFonts w:ascii="Arial" w:hAnsi="Arial" w:cs="Arial"/>
                <w:i/>
                <w:iCs/>
                <w:color w:val="000000"/>
                <w:sz w:val="18"/>
                <w:szCs w:val="18"/>
                <w:lang w:val="x-none"/>
              </w:rPr>
              <w:t>(wersja angielska).</w:t>
            </w:r>
          </w:p>
        </w:tc>
      </w:tr>
      <w:tr w:rsidR="000A3B2B" w14:paraId="4C8653ED" w14:textId="77777777">
        <w:trPr>
          <w:trHeight w:val="60"/>
          <w:tblCellSpacing w:w="0" w:type="dxa"/>
        </w:trPr>
        <w:tc>
          <w:tcPr>
            <w:tcW w:w="338" w:type="dxa"/>
            <w:tcBorders>
              <w:top w:val="nil"/>
              <w:left w:val="nil"/>
              <w:bottom w:val="nil"/>
              <w:right w:val="nil"/>
            </w:tcBorders>
          </w:tcPr>
          <w:p w14:paraId="557D1634"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36.</w:t>
            </w:r>
          </w:p>
        </w:tc>
        <w:tc>
          <w:tcPr>
            <w:tcW w:w="2880" w:type="dxa"/>
            <w:tcBorders>
              <w:top w:val="nil"/>
              <w:left w:val="nil"/>
              <w:bottom w:val="nil"/>
              <w:right w:val="nil"/>
            </w:tcBorders>
          </w:tcPr>
          <w:p w14:paraId="3AC999AA"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12390-2:2011</w:t>
            </w:r>
          </w:p>
        </w:tc>
        <w:tc>
          <w:tcPr>
            <w:tcW w:w="6104" w:type="dxa"/>
            <w:tcBorders>
              <w:top w:val="nil"/>
              <w:left w:val="nil"/>
              <w:bottom w:val="nil"/>
              <w:right w:val="nil"/>
            </w:tcBorders>
          </w:tcPr>
          <w:p w14:paraId="6318E141"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Badania betonu. Część 2: Wykonanie i pielęgnacja próbek do badań wytrzymałościowych.</w:t>
            </w:r>
          </w:p>
        </w:tc>
      </w:tr>
      <w:tr w:rsidR="000A3B2B" w14:paraId="201409D2" w14:textId="77777777">
        <w:trPr>
          <w:trHeight w:val="60"/>
          <w:tblCellSpacing w:w="0" w:type="dxa"/>
        </w:trPr>
        <w:tc>
          <w:tcPr>
            <w:tcW w:w="338" w:type="dxa"/>
            <w:tcBorders>
              <w:top w:val="nil"/>
              <w:left w:val="nil"/>
              <w:bottom w:val="nil"/>
              <w:right w:val="nil"/>
            </w:tcBorders>
          </w:tcPr>
          <w:p w14:paraId="584E98B7"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37.</w:t>
            </w:r>
          </w:p>
        </w:tc>
        <w:tc>
          <w:tcPr>
            <w:tcW w:w="2880" w:type="dxa"/>
            <w:tcBorders>
              <w:top w:val="nil"/>
              <w:left w:val="nil"/>
              <w:bottom w:val="nil"/>
              <w:right w:val="nil"/>
            </w:tcBorders>
          </w:tcPr>
          <w:p w14:paraId="5A459AB7"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 xml:space="preserve">PN-EN 12390-3:2011 </w:t>
            </w:r>
            <w:r>
              <w:rPr>
                <w:rFonts w:ascii="Arial" w:hAnsi="Arial" w:cs="Arial"/>
                <w:color w:val="000000"/>
                <w:sz w:val="18"/>
                <w:szCs w:val="18"/>
                <w:lang w:val="x-none"/>
              </w:rPr>
              <w:br/>
              <w:t>PN-EN 12390-3:2011/AC:2012</w:t>
            </w:r>
          </w:p>
        </w:tc>
        <w:tc>
          <w:tcPr>
            <w:tcW w:w="6104" w:type="dxa"/>
            <w:tcBorders>
              <w:top w:val="nil"/>
              <w:left w:val="nil"/>
              <w:bottom w:val="nil"/>
              <w:right w:val="nil"/>
            </w:tcBorders>
          </w:tcPr>
          <w:p w14:paraId="3B4D5072"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Badania betonu. Część 3: Wytrzymałość na ściskanie próbek do badania.</w:t>
            </w:r>
          </w:p>
        </w:tc>
      </w:tr>
      <w:tr w:rsidR="000A3B2B" w14:paraId="239178CB" w14:textId="77777777">
        <w:trPr>
          <w:trHeight w:val="60"/>
          <w:tblCellSpacing w:w="0" w:type="dxa"/>
        </w:trPr>
        <w:tc>
          <w:tcPr>
            <w:tcW w:w="338" w:type="dxa"/>
            <w:tcBorders>
              <w:top w:val="nil"/>
              <w:left w:val="nil"/>
              <w:bottom w:val="nil"/>
              <w:right w:val="nil"/>
            </w:tcBorders>
          </w:tcPr>
          <w:p w14:paraId="3BC9800D"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38.</w:t>
            </w:r>
          </w:p>
        </w:tc>
        <w:tc>
          <w:tcPr>
            <w:tcW w:w="2880" w:type="dxa"/>
            <w:tcBorders>
              <w:top w:val="nil"/>
              <w:left w:val="nil"/>
              <w:bottom w:val="nil"/>
              <w:right w:val="nil"/>
            </w:tcBorders>
          </w:tcPr>
          <w:p w14:paraId="3C42467E"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12390-8:2011</w:t>
            </w:r>
          </w:p>
        </w:tc>
        <w:tc>
          <w:tcPr>
            <w:tcW w:w="6104" w:type="dxa"/>
            <w:tcBorders>
              <w:top w:val="nil"/>
              <w:left w:val="nil"/>
              <w:bottom w:val="nil"/>
              <w:right w:val="nil"/>
            </w:tcBorders>
          </w:tcPr>
          <w:p w14:paraId="55972C75"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Badania betonu. Część 8: Głębokość penetracji wody pod ciśnieniem.</w:t>
            </w:r>
          </w:p>
        </w:tc>
      </w:tr>
      <w:tr w:rsidR="000A3B2B" w14:paraId="01C0B5CD" w14:textId="77777777">
        <w:trPr>
          <w:trHeight w:val="60"/>
          <w:tblCellSpacing w:w="0" w:type="dxa"/>
        </w:trPr>
        <w:tc>
          <w:tcPr>
            <w:tcW w:w="338" w:type="dxa"/>
            <w:tcBorders>
              <w:top w:val="nil"/>
              <w:left w:val="nil"/>
              <w:bottom w:val="nil"/>
              <w:right w:val="nil"/>
            </w:tcBorders>
          </w:tcPr>
          <w:p w14:paraId="1ED3D9FE"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39.</w:t>
            </w:r>
          </w:p>
        </w:tc>
        <w:tc>
          <w:tcPr>
            <w:tcW w:w="2880" w:type="dxa"/>
            <w:tcBorders>
              <w:top w:val="nil"/>
              <w:left w:val="nil"/>
              <w:bottom w:val="nil"/>
              <w:right w:val="nil"/>
            </w:tcBorders>
          </w:tcPr>
          <w:p w14:paraId="405E9B5F"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12504-1:2011</w:t>
            </w:r>
          </w:p>
        </w:tc>
        <w:tc>
          <w:tcPr>
            <w:tcW w:w="6104" w:type="dxa"/>
            <w:tcBorders>
              <w:top w:val="nil"/>
              <w:left w:val="nil"/>
              <w:bottom w:val="nil"/>
              <w:right w:val="nil"/>
            </w:tcBorders>
          </w:tcPr>
          <w:p w14:paraId="087B6AE6"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Badanie betonu w konstrukcjach. Część 1: Odwierty rdzeniowe – Wycinanie, ocena i badanie wytrzymałości na ściskanie.</w:t>
            </w:r>
          </w:p>
        </w:tc>
      </w:tr>
      <w:tr w:rsidR="000A3B2B" w14:paraId="0434B0B4" w14:textId="77777777">
        <w:trPr>
          <w:trHeight w:val="60"/>
          <w:tblCellSpacing w:w="0" w:type="dxa"/>
        </w:trPr>
        <w:tc>
          <w:tcPr>
            <w:tcW w:w="338" w:type="dxa"/>
            <w:tcBorders>
              <w:top w:val="nil"/>
              <w:left w:val="nil"/>
              <w:bottom w:val="nil"/>
              <w:right w:val="nil"/>
            </w:tcBorders>
          </w:tcPr>
          <w:p w14:paraId="590B2E72"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40.</w:t>
            </w:r>
          </w:p>
        </w:tc>
        <w:tc>
          <w:tcPr>
            <w:tcW w:w="2880" w:type="dxa"/>
            <w:tcBorders>
              <w:top w:val="nil"/>
              <w:left w:val="nil"/>
              <w:bottom w:val="nil"/>
              <w:right w:val="nil"/>
            </w:tcBorders>
          </w:tcPr>
          <w:p w14:paraId="1D01B55E"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12504-2:2013-03</w:t>
            </w:r>
          </w:p>
        </w:tc>
        <w:tc>
          <w:tcPr>
            <w:tcW w:w="6104" w:type="dxa"/>
            <w:tcBorders>
              <w:top w:val="nil"/>
              <w:left w:val="nil"/>
              <w:bottom w:val="nil"/>
              <w:right w:val="nil"/>
            </w:tcBorders>
          </w:tcPr>
          <w:p w14:paraId="65979B7B" w14:textId="77777777" w:rsidR="000A3B2B" w:rsidRDefault="000A3B2B">
            <w:pPr>
              <w:autoSpaceDE w:val="0"/>
              <w:autoSpaceDN w:val="0"/>
              <w:adjustRightInd w:val="0"/>
              <w:spacing w:after="30" w:line="240" w:lineRule="auto"/>
              <w:jc w:val="both"/>
              <w:rPr>
                <w:rFonts w:ascii="Arial" w:hAnsi="Arial" w:cs="Arial"/>
                <w:i/>
                <w:iCs/>
                <w:color w:val="000000"/>
                <w:sz w:val="18"/>
                <w:szCs w:val="18"/>
                <w:lang w:val="x-none"/>
              </w:rPr>
            </w:pPr>
            <w:r>
              <w:rPr>
                <w:rFonts w:ascii="Arial" w:hAnsi="Arial" w:cs="Arial"/>
                <w:color w:val="000000"/>
                <w:sz w:val="18"/>
                <w:szCs w:val="18"/>
                <w:lang w:val="x-none"/>
              </w:rPr>
              <w:t xml:space="preserve">Badanie betonu w konstrukcjach. Część 2: Badania nieniszczące – Oznaczanie liczby odbicia </w:t>
            </w:r>
            <w:r>
              <w:rPr>
                <w:rFonts w:ascii="Arial" w:hAnsi="Arial" w:cs="Arial"/>
                <w:i/>
                <w:iCs/>
                <w:color w:val="000000"/>
                <w:sz w:val="18"/>
                <w:szCs w:val="18"/>
                <w:lang w:val="x-none"/>
              </w:rPr>
              <w:t>(wersja angielska).</w:t>
            </w:r>
          </w:p>
        </w:tc>
      </w:tr>
      <w:tr w:rsidR="000A3B2B" w14:paraId="2F1878F3" w14:textId="77777777">
        <w:trPr>
          <w:trHeight w:val="60"/>
          <w:tblCellSpacing w:w="0" w:type="dxa"/>
        </w:trPr>
        <w:tc>
          <w:tcPr>
            <w:tcW w:w="338" w:type="dxa"/>
            <w:tcBorders>
              <w:top w:val="nil"/>
              <w:left w:val="nil"/>
              <w:bottom w:val="nil"/>
              <w:right w:val="nil"/>
            </w:tcBorders>
          </w:tcPr>
          <w:p w14:paraId="746B95E5"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41.</w:t>
            </w:r>
          </w:p>
        </w:tc>
        <w:tc>
          <w:tcPr>
            <w:tcW w:w="2880" w:type="dxa"/>
            <w:tcBorders>
              <w:top w:val="nil"/>
              <w:left w:val="nil"/>
              <w:bottom w:val="nil"/>
              <w:right w:val="nil"/>
            </w:tcBorders>
          </w:tcPr>
          <w:p w14:paraId="5E626E59"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12504-3:2006</w:t>
            </w:r>
          </w:p>
        </w:tc>
        <w:tc>
          <w:tcPr>
            <w:tcW w:w="6104" w:type="dxa"/>
            <w:tcBorders>
              <w:top w:val="nil"/>
              <w:left w:val="nil"/>
              <w:bottom w:val="nil"/>
              <w:right w:val="nil"/>
            </w:tcBorders>
          </w:tcPr>
          <w:p w14:paraId="0130256D"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Badanie betonu w konstrukcjach. Część 3: Oznaczanie siły wyrywającej.</w:t>
            </w:r>
          </w:p>
        </w:tc>
      </w:tr>
      <w:tr w:rsidR="000A3B2B" w14:paraId="3C180CF5" w14:textId="77777777">
        <w:trPr>
          <w:trHeight w:val="60"/>
          <w:tblCellSpacing w:w="0" w:type="dxa"/>
        </w:trPr>
        <w:tc>
          <w:tcPr>
            <w:tcW w:w="338" w:type="dxa"/>
            <w:tcBorders>
              <w:top w:val="nil"/>
              <w:left w:val="nil"/>
              <w:bottom w:val="nil"/>
              <w:right w:val="nil"/>
            </w:tcBorders>
          </w:tcPr>
          <w:p w14:paraId="58E4DE84"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42.</w:t>
            </w:r>
          </w:p>
        </w:tc>
        <w:tc>
          <w:tcPr>
            <w:tcW w:w="2880" w:type="dxa"/>
            <w:tcBorders>
              <w:top w:val="nil"/>
              <w:left w:val="nil"/>
              <w:bottom w:val="nil"/>
              <w:right w:val="nil"/>
            </w:tcBorders>
          </w:tcPr>
          <w:p w14:paraId="5F3943EF"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12504-4:2005</w:t>
            </w:r>
          </w:p>
        </w:tc>
        <w:tc>
          <w:tcPr>
            <w:tcW w:w="6104" w:type="dxa"/>
            <w:tcBorders>
              <w:top w:val="nil"/>
              <w:left w:val="nil"/>
              <w:bottom w:val="nil"/>
              <w:right w:val="nil"/>
            </w:tcBorders>
          </w:tcPr>
          <w:p w14:paraId="32EFFF0B"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Badania betonu. Część 4: Oznaczanie prędkości fali ultradźwiękowej.</w:t>
            </w:r>
          </w:p>
        </w:tc>
      </w:tr>
      <w:tr w:rsidR="000A3B2B" w14:paraId="2C5748AB" w14:textId="77777777">
        <w:trPr>
          <w:trHeight w:val="60"/>
          <w:tblCellSpacing w:w="0" w:type="dxa"/>
        </w:trPr>
        <w:tc>
          <w:tcPr>
            <w:tcW w:w="338" w:type="dxa"/>
            <w:tcBorders>
              <w:top w:val="nil"/>
              <w:left w:val="nil"/>
              <w:bottom w:val="nil"/>
              <w:right w:val="nil"/>
            </w:tcBorders>
          </w:tcPr>
          <w:p w14:paraId="01B5E32E"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43.</w:t>
            </w:r>
          </w:p>
        </w:tc>
        <w:tc>
          <w:tcPr>
            <w:tcW w:w="2880" w:type="dxa"/>
            <w:tcBorders>
              <w:top w:val="nil"/>
              <w:left w:val="nil"/>
              <w:bottom w:val="nil"/>
              <w:right w:val="nil"/>
            </w:tcBorders>
          </w:tcPr>
          <w:p w14:paraId="39D91CD3"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PN-B-06251:1963</w:t>
            </w:r>
          </w:p>
        </w:tc>
        <w:tc>
          <w:tcPr>
            <w:tcW w:w="6104" w:type="dxa"/>
            <w:tcBorders>
              <w:top w:val="nil"/>
              <w:left w:val="nil"/>
              <w:bottom w:val="nil"/>
              <w:right w:val="nil"/>
            </w:tcBorders>
          </w:tcPr>
          <w:p w14:paraId="59339E93" w14:textId="77777777" w:rsidR="000A3B2B" w:rsidRDefault="000A3B2B">
            <w:pPr>
              <w:autoSpaceDE w:val="0"/>
              <w:autoSpaceDN w:val="0"/>
              <w:adjustRightInd w:val="0"/>
              <w:spacing w:after="30" w:line="240" w:lineRule="auto"/>
              <w:jc w:val="both"/>
              <w:rPr>
                <w:rFonts w:ascii="Arial" w:hAnsi="Arial" w:cs="Arial"/>
                <w:i/>
                <w:iCs/>
                <w:color w:val="000000"/>
                <w:sz w:val="18"/>
                <w:szCs w:val="18"/>
                <w:lang w:val="x-none"/>
              </w:rPr>
            </w:pPr>
            <w:r>
              <w:rPr>
                <w:rFonts w:ascii="Arial" w:hAnsi="Arial" w:cs="Arial"/>
                <w:color w:val="000000"/>
                <w:sz w:val="18"/>
                <w:szCs w:val="18"/>
                <w:lang w:val="x-none"/>
              </w:rPr>
              <w:t xml:space="preserve">Roboty betonowe i żelbetowe. Wymagania techniczne </w:t>
            </w:r>
            <w:r>
              <w:rPr>
                <w:rFonts w:ascii="Arial" w:hAnsi="Arial" w:cs="Arial"/>
                <w:i/>
                <w:iCs/>
                <w:color w:val="000000"/>
                <w:sz w:val="18"/>
                <w:szCs w:val="18"/>
                <w:lang w:val="x-none"/>
              </w:rPr>
              <w:t>(norma wycofana).</w:t>
            </w:r>
          </w:p>
        </w:tc>
      </w:tr>
      <w:tr w:rsidR="000A3B2B" w14:paraId="45EF6653" w14:textId="77777777">
        <w:trPr>
          <w:trHeight w:val="60"/>
          <w:tblCellSpacing w:w="0" w:type="dxa"/>
        </w:trPr>
        <w:tc>
          <w:tcPr>
            <w:tcW w:w="338" w:type="dxa"/>
            <w:tcBorders>
              <w:top w:val="nil"/>
              <w:left w:val="nil"/>
              <w:bottom w:val="nil"/>
              <w:right w:val="nil"/>
            </w:tcBorders>
          </w:tcPr>
          <w:p w14:paraId="2B8B84BD"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44.</w:t>
            </w:r>
          </w:p>
        </w:tc>
        <w:tc>
          <w:tcPr>
            <w:tcW w:w="2880" w:type="dxa"/>
            <w:tcBorders>
              <w:top w:val="nil"/>
              <w:left w:val="nil"/>
              <w:bottom w:val="nil"/>
              <w:right w:val="nil"/>
            </w:tcBorders>
          </w:tcPr>
          <w:p w14:paraId="22701E7A"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PN-N-02211:2000</w:t>
            </w:r>
          </w:p>
        </w:tc>
        <w:tc>
          <w:tcPr>
            <w:tcW w:w="6104" w:type="dxa"/>
            <w:tcBorders>
              <w:top w:val="nil"/>
              <w:left w:val="nil"/>
              <w:bottom w:val="nil"/>
              <w:right w:val="nil"/>
            </w:tcBorders>
          </w:tcPr>
          <w:p w14:paraId="424E03AA"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Geodezja. Geodezyjne wyznaczenie przemieszczeń. Terminologia podstawowa.</w:t>
            </w:r>
          </w:p>
        </w:tc>
      </w:tr>
      <w:tr w:rsidR="000A3B2B" w14:paraId="0A7DF0A7" w14:textId="77777777">
        <w:trPr>
          <w:trHeight w:val="60"/>
          <w:tblCellSpacing w:w="0" w:type="dxa"/>
        </w:trPr>
        <w:tc>
          <w:tcPr>
            <w:tcW w:w="338" w:type="dxa"/>
            <w:tcBorders>
              <w:top w:val="nil"/>
              <w:left w:val="nil"/>
              <w:bottom w:val="nil"/>
              <w:right w:val="nil"/>
            </w:tcBorders>
          </w:tcPr>
          <w:p w14:paraId="0C3568A1"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45.</w:t>
            </w:r>
          </w:p>
        </w:tc>
        <w:tc>
          <w:tcPr>
            <w:tcW w:w="2880" w:type="dxa"/>
            <w:tcBorders>
              <w:top w:val="nil"/>
              <w:left w:val="nil"/>
              <w:bottom w:val="nil"/>
              <w:right w:val="nil"/>
            </w:tcBorders>
          </w:tcPr>
          <w:p w14:paraId="77FBA03B"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PN-M-47900-1:1996</w:t>
            </w:r>
          </w:p>
        </w:tc>
        <w:tc>
          <w:tcPr>
            <w:tcW w:w="6104" w:type="dxa"/>
            <w:tcBorders>
              <w:top w:val="nil"/>
              <w:left w:val="nil"/>
              <w:bottom w:val="nil"/>
              <w:right w:val="nil"/>
            </w:tcBorders>
          </w:tcPr>
          <w:p w14:paraId="0B3EFD09"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Rusztowania stojące metalowe robocze. Część 1: Określenia, podział i główne parametry.</w:t>
            </w:r>
          </w:p>
        </w:tc>
      </w:tr>
      <w:tr w:rsidR="000A3B2B" w14:paraId="1BB0938B" w14:textId="77777777">
        <w:trPr>
          <w:trHeight w:val="60"/>
          <w:tblCellSpacing w:w="0" w:type="dxa"/>
        </w:trPr>
        <w:tc>
          <w:tcPr>
            <w:tcW w:w="338" w:type="dxa"/>
            <w:tcBorders>
              <w:top w:val="nil"/>
              <w:left w:val="nil"/>
              <w:bottom w:val="nil"/>
              <w:right w:val="nil"/>
            </w:tcBorders>
          </w:tcPr>
          <w:p w14:paraId="1C85FADB"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46.</w:t>
            </w:r>
          </w:p>
        </w:tc>
        <w:tc>
          <w:tcPr>
            <w:tcW w:w="2880" w:type="dxa"/>
            <w:tcBorders>
              <w:top w:val="nil"/>
              <w:left w:val="nil"/>
              <w:bottom w:val="nil"/>
              <w:right w:val="nil"/>
            </w:tcBorders>
          </w:tcPr>
          <w:p w14:paraId="5AF56246"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PN-M-47900-2:1996</w:t>
            </w:r>
          </w:p>
        </w:tc>
        <w:tc>
          <w:tcPr>
            <w:tcW w:w="6104" w:type="dxa"/>
            <w:tcBorders>
              <w:top w:val="nil"/>
              <w:left w:val="nil"/>
              <w:bottom w:val="nil"/>
              <w:right w:val="nil"/>
            </w:tcBorders>
          </w:tcPr>
          <w:p w14:paraId="12C7F28C"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Rusztowania stojące metalowe robocze. Część 2: Rusztowania stojakowe z rur stalowych. </w:t>
            </w:r>
          </w:p>
        </w:tc>
      </w:tr>
      <w:tr w:rsidR="000A3B2B" w14:paraId="66556F4B" w14:textId="77777777">
        <w:trPr>
          <w:trHeight w:val="60"/>
          <w:tblCellSpacing w:w="0" w:type="dxa"/>
        </w:trPr>
        <w:tc>
          <w:tcPr>
            <w:tcW w:w="338" w:type="dxa"/>
            <w:tcBorders>
              <w:top w:val="nil"/>
              <w:left w:val="nil"/>
              <w:bottom w:val="nil"/>
              <w:right w:val="nil"/>
            </w:tcBorders>
          </w:tcPr>
          <w:p w14:paraId="6018F530"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47.</w:t>
            </w:r>
          </w:p>
        </w:tc>
        <w:tc>
          <w:tcPr>
            <w:tcW w:w="2880" w:type="dxa"/>
            <w:tcBorders>
              <w:top w:val="nil"/>
              <w:left w:val="nil"/>
              <w:bottom w:val="nil"/>
              <w:right w:val="nil"/>
            </w:tcBorders>
          </w:tcPr>
          <w:p w14:paraId="38832D65"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PN-M-47900-3:1996</w:t>
            </w:r>
          </w:p>
        </w:tc>
        <w:tc>
          <w:tcPr>
            <w:tcW w:w="6104" w:type="dxa"/>
            <w:tcBorders>
              <w:top w:val="nil"/>
              <w:left w:val="nil"/>
              <w:bottom w:val="nil"/>
              <w:right w:val="nil"/>
            </w:tcBorders>
          </w:tcPr>
          <w:p w14:paraId="1B71584E"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Rusztowania stojące metalowe robocze. Część 3: Rusztowania ramowe.</w:t>
            </w:r>
          </w:p>
        </w:tc>
      </w:tr>
      <w:tr w:rsidR="000A3B2B" w14:paraId="21528F52" w14:textId="77777777">
        <w:trPr>
          <w:trHeight w:val="60"/>
          <w:tblCellSpacing w:w="0" w:type="dxa"/>
        </w:trPr>
        <w:tc>
          <w:tcPr>
            <w:tcW w:w="338" w:type="dxa"/>
            <w:tcBorders>
              <w:top w:val="nil"/>
              <w:left w:val="nil"/>
              <w:bottom w:val="nil"/>
              <w:right w:val="nil"/>
            </w:tcBorders>
          </w:tcPr>
          <w:p w14:paraId="769B6A9B"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48.</w:t>
            </w:r>
          </w:p>
        </w:tc>
        <w:tc>
          <w:tcPr>
            <w:tcW w:w="2880" w:type="dxa"/>
            <w:tcBorders>
              <w:top w:val="nil"/>
              <w:left w:val="nil"/>
              <w:bottom w:val="nil"/>
              <w:right w:val="nil"/>
            </w:tcBorders>
          </w:tcPr>
          <w:p w14:paraId="4355BEC2"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74-1:2006</w:t>
            </w:r>
          </w:p>
        </w:tc>
        <w:tc>
          <w:tcPr>
            <w:tcW w:w="6104" w:type="dxa"/>
            <w:tcBorders>
              <w:top w:val="nil"/>
              <w:left w:val="nil"/>
              <w:bottom w:val="nil"/>
              <w:right w:val="nil"/>
            </w:tcBorders>
          </w:tcPr>
          <w:p w14:paraId="4B83FB75" w14:textId="77777777" w:rsidR="000A3B2B" w:rsidRDefault="000A3B2B">
            <w:pPr>
              <w:autoSpaceDE w:val="0"/>
              <w:autoSpaceDN w:val="0"/>
              <w:adjustRightInd w:val="0"/>
              <w:spacing w:after="30" w:line="240" w:lineRule="auto"/>
              <w:jc w:val="both"/>
              <w:rPr>
                <w:rFonts w:ascii="Arial" w:hAnsi="Arial" w:cs="Arial"/>
                <w:i/>
                <w:iCs/>
                <w:color w:val="000000"/>
                <w:sz w:val="18"/>
                <w:szCs w:val="18"/>
                <w:lang w:val="x-none"/>
              </w:rPr>
            </w:pPr>
            <w:r>
              <w:rPr>
                <w:rFonts w:ascii="Arial" w:hAnsi="Arial" w:cs="Arial"/>
                <w:color w:val="000000"/>
                <w:sz w:val="18"/>
                <w:szCs w:val="18"/>
                <w:lang w:val="x-none"/>
              </w:rPr>
              <w:t xml:space="preserve">Złącza, sworznie centrujące i podstawki stosowane w </w:t>
            </w:r>
            <w:proofErr w:type="spellStart"/>
            <w:r>
              <w:rPr>
                <w:rFonts w:ascii="Arial" w:hAnsi="Arial" w:cs="Arial"/>
                <w:color w:val="000000"/>
                <w:sz w:val="18"/>
                <w:szCs w:val="18"/>
                <w:lang w:val="x-none"/>
              </w:rPr>
              <w:t>deskowaniach</w:t>
            </w:r>
            <w:proofErr w:type="spellEnd"/>
            <w:r>
              <w:rPr>
                <w:rFonts w:ascii="Arial" w:hAnsi="Arial" w:cs="Arial"/>
                <w:color w:val="000000"/>
                <w:sz w:val="18"/>
                <w:szCs w:val="18"/>
                <w:lang w:val="x-none"/>
              </w:rPr>
              <w:t xml:space="preserve"> i rusztowaniach. Część 1: Złącza do rur – Wymagania i metody badań </w:t>
            </w:r>
            <w:r>
              <w:rPr>
                <w:rFonts w:ascii="Arial" w:hAnsi="Arial" w:cs="Arial"/>
                <w:i/>
                <w:iCs/>
                <w:color w:val="000000"/>
                <w:sz w:val="18"/>
                <w:szCs w:val="18"/>
                <w:lang w:val="x-none"/>
              </w:rPr>
              <w:t>(wersja angielska).</w:t>
            </w:r>
          </w:p>
        </w:tc>
      </w:tr>
      <w:tr w:rsidR="000A3B2B" w14:paraId="71466864" w14:textId="77777777">
        <w:trPr>
          <w:trHeight w:val="240"/>
          <w:tblCellSpacing w:w="0" w:type="dxa"/>
        </w:trPr>
        <w:tc>
          <w:tcPr>
            <w:tcW w:w="338" w:type="dxa"/>
            <w:tcBorders>
              <w:top w:val="nil"/>
              <w:left w:val="nil"/>
              <w:bottom w:val="nil"/>
              <w:right w:val="nil"/>
            </w:tcBorders>
          </w:tcPr>
          <w:p w14:paraId="77511221"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49.</w:t>
            </w:r>
          </w:p>
        </w:tc>
        <w:tc>
          <w:tcPr>
            <w:tcW w:w="2880" w:type="dxa"/>
            <w:tcBorders>
              <w:top w:val="nil"/>
              <w:left w:val="nil"/>
              <w:bottom w:val="nil"/>
              <w:right w:val="nil"/>
            </w:tcBorders>
          </w:tcPr>
          <w:p w14:paraId="7C3177EB"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PN-B-03163-1:1998</w:t>
            </w:r>
          </w:p>
        </w:tc>
        <w:tc>
          <w:tcPr>
            <w:tcW w:w="6104" w:type="dxa"/>
            <w:tcBorders>
              <w:top w:val="nil"/>
              <w:left w:val="nil"/>
              <w:bottom w:val="nil"/>
              <w:right w:val="nil"/>
            </w:tcBorders>
          </w:tcPr>
          <w:p w14:paraId="10D25CFF"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Konstrukcje drewniane. Rusztowania. Część 1: Terminologia.</w:t>
            </w:r>
          </w:p>
        </w:tc>
      </w:tr>
      <w:tr w:rsidR="000A3B2B" w14:paraId="1F606131" w14:textId="77777777">
        <w:trPr>
          <w:trHeight w:val="60"/>
          <w:tblCellSpacing w:w="0" w:type="dxa"/>
        </w:trPr>
        <w:tc>
          <w:tcPr>
            <w:tcW w:w="338" w:type="dxa"/>
            <w:tcBorders>
              <w:top w:val="nil"/>
              <w:left w:val="nil"/>
              <w:bottom w:val="nil"/>
              <w:right w:val="nil"/>
            </w:tcBorders>
          </w:tcPr>
          <w:p w14:paraId="351FC8A7"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50.</w:t>
            </w:r>
          </w:p>
        </w:tc>
        <w:tc>
          <w:tcPr>
            <w:tcW w:w="2880" w:type="dxa"/>
            <w:tcBorders>
              <w:top w:val="nil"/>
              <w:left w:val="nil"/>
              <w:bottom w:val="nil"/>
              <w:right w:val="nil"/>
            </w:tcBorders>
          </w:tcPr>
          <w:p w14:paraId="1F61801E"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PN-B-03163-2:1998</w:t>
            </w:r>
          </w:p>
        </w:tc>
        <w:tc>
          <w:tcPr>
            <w:tcW w:w="6104" w:type="dxa"/>
            <w:tcBorders>
              <w:top w:val="nil"/>
              <w:left w:val="nil"/>
              <w:bottom w:val="nil"/>
              <w:right w:val="nil"/>
            </w:tcBorders>
          </w:tcPr>
          <w:p w14:paraId="7A7CC361"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Konstrukcje drewniane. Rusztowania. Część 2: Wymagania.</w:t>
            </w:r>
          </w:p>
        </w:tc>
      </w:tr>
      <w:tr w:rsidR="000A3B2B" w14:paraId="29053BD9" w14:textId="77777777">
        <w:trPr>
          <w:trHeight w:val="60"/>
          <w:tblCellSpacing w:w="0" w:type="dxa"/>
        </w:trPr>
        <w:tc>
          <w:tcPr>
            <w:tcW w:w="338" w:type="dxa"/>
            <w:tcBorders>
              <w:top w:val="nil"/>
              <w:left w:val="nil"/>
              <w:bottom w:val="nil"/>
              <w:right w:val="nil"/>
            </w:tcBorders>
          </w:tcPr>
          <w:p w14:paraId="4F7D5F81"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51.</w:t>
            </w:r>
          </w:p>
        </w:tc>
        <w:tc>
          <w:tcPr>
            <w:tcW w:w="2880" w:type="dxa"/>
            <w:tcBorders>
              <w:top w:val="nil"/>
              <w:left w:val="nil"/>
              <w:bottom w:val="nil"/>
              <w:right w:val="nil"/>
            </w:tcBorders>
          </w:tcPr>
          <w:p w14:paraId="17C5B560"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PN-B-03163-3:1998</w:t>
            </w:r>
          </w:p>
        </w:tc>
        <w:tc>
          <w:tcPr>
            <w:tcW w:w="6104" w:type="dxa"/>
            <w:tcBorders>
              <w:top w:val="nil"/>
              <w:left w:val="nil"/>
              <w:bottom w:val="nil"/>
              <w:right w:val="nil"/>
            </w:tcBorders>
          </w:tcPr>
          <w:p w14:paraId="16CBF1BA"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Konstrukcje drewniane. Rusztowania. Część 3: Badania przy odbiorze.</w:t>
            </w:r>
          </w:p>
        </w:tc>
      </w:tr>
    </w:tbl>
    <w:p w14:paraId="48D5AE0D"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p>
    <w:p w14:paraId="488307BB"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p>
    <w:p w14:paraId="65CC770F"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10.2. Ustawy</w:t>
      </w:r>
    </w:p>
    <w:p w14:paraId="70006A64"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Ustawa z dnia 16 kwietnia 2004 r. o wyrobach budowlanych (tekst jednolity Dz. U. z 2016 r. Nr 0, poz. 1570).</w:t>
      </w:r>
    </w:p>
    <w:p w14:paraId="5AFE6667"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Ustawa z dnia 30 sierpnia 2002 r. o systemie zgodności (tekst jednolity Dz. U. z 2016 r. Nr 0, poz. 655).</w:t>
      </w:r>
    </w:p>
    <w:p w14:paraId="6CAB62CB"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Ustawa z dnia 7 lipca 1994 r. Prawo budowlane (tekst jednolity Dz. U. z 2016 r. Nr 0, poz. 290).</w:t>
      </w:r>
    </w:p>
    <w:p w14:paraId="05F9FCBC"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p>
    <w:p w14:paraId="62617CDB"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10.3. Rozporządzenia, instrukcje i inne dokumenty</w:t>
      </w:r>
    </w:p>
    <w:p w14:paraId="50FFBF1D"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Rozporządzenie Ministra Infrastruktury z dnia 26.06.2002 r. w sprawie dziennika budowy, montażu i rozbiórki, tablicy informacyjnej oraz ogłoszenia zawierającego dane dotyczące bezpieczeństwa pracy i ochrony zdrowia (Dz. U. z 2002 r. Nr 108, poz. 953, z późniejszymi zmianami).</w:t>
      </w:r>
    </w:p>
    <w:p w14:paraId="7E53A867"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Rozporządzenie Ministra Infrastruktury z dnia 12 kwietnia 2002 r. w sprawie warunków technicznych, jakim powinny odpowiadać budynki i ich usytuowanie (tekst jednolity Dz. U. z 2015 r. Nr 0, poz. 1422).</w:t>
      </w:r>
    </w:p>
    <w:p w14:paraId="6A7074B2"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Specyfikacja techniczna wykonania i odbioru robót budowlanych – Wymagania ogólne Kod CPV 45000000-7, wydanie 3 OWEOB Promocja – 2017 rok.</w:t>
      </w:r>
    </w:p>
    <w:p w14:paraId="7739C579"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Instrukcja zabezpieczenia przed korozją konstrukcji betonowych i żelbetowych, wydanie ITB nr 240/82.</w:t>
      </w:r>
    </w:p>
    <w:p w14:paraId="7E59B9F9"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Instrukcja zabezpieczenia przed korozją alkaliczną betonu przez zastosowanie dodatków mineralnych, wydanie ITB nr 306/91.</w:t>
      </w:r>
    </w:p>
    <w:p w14:paraId="534091F2"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Warunki techniczne wykonania i odbioru robót budowlanych, wydanie Arkady – 1990 rok.</w:t>
      </w:r>
    </w:p>
    <w:tbl>
      <w:tblPr>
        <w:tblW w:w="0" w:type="auto"/>
        <w:tblCellSpacing w:w="0" w:type="dxa"/>
        <w:tblLayout w:type="fixed"/>
        <w:tblCellMar>
          <w:top w:w="60" w:type="dxa"/>
          <w:left w:w="60" w:type="dxa"/>
          <w:bottom w:w="60" w:type="dxa"/>
          <w:right w:w="60" w:type="dxa"/>
        </w:tblCellMar>
        <w:tblLook w:val="0000" w:firstRow="0" w:lastRow="0" w:firstColumn="0" w:lastColumn="0" w:noHBand="0" w:noVBand="0"/>
      </w:tblPr>
      <w:tblGrid>
        <w:gridCol w:w="1822"/>
        <w:gridCol w:w="4726"/>
        <w:gridCol w:w="2834"/>
      </w:tblGrid>
      <w:tr w:rsidR="000A3B2B" w14:paraId="31C47522" w14:textId="77777777">
        <w:trPr>
          <w:tblCellSpacing w:w="0" w:type="dxa"/>
        </w:trPr>
        <w:tc>
          <w:tcPr>
            <w:tcW w:w="1822" w:type="dxa"/>
            <w:tcBorders>
              <w:top w:val="nil"/>
              <w:left w:val="nil"/>
              <w:bottom w:val="nil"/>
              <w:right w:val="nil"/>
            </w:tcBorders>
            <w:vAlign w:val="bottom"/>
          </w:tcPr>
          <w:p w14:paraId="6F2BE0EE" w14:textId="77777777" w:rsidR="000A3B2B" w:rsidRDefault="000A3B2B">
            <w:pPr>
              <w:autoSpaceDE w:val="0"/>
              <w:autoSpaceDN w:val="0"/>
              <w:adjustRightInd w:val="0"/>
              <w:spacing w:after="0" w:line="240" w:lineRule="auto"/>
              <w:rPr>
                <w:rFonts w:ascii="Arial" w:hAnsi="Arial" w:cs="Arial"/>
                <w:color w:val="000000"/>
                <w:sz w:val="18"/>
                <w:szCs w:val="18"/>
                <w:lang w:val="x-none"/>
              </w:rPr>
            </w:pPr>
          </w:p>
        </w:tc>
        <w:tc>
          <w:tcPr>
            <w:tcW w:w="4726" w:type="dxa"/>
            <w:tcBorders>
              <w:top w:val="nil"/>
              <w:left w:val="nil"/>
              <w:bottom w:val="nil"/>
              <w:right w:val="nil"/>
            </w:tcBorders>
            <w:vAlign w:val="bottom"/>
          </w:tcPr>
          <w:p w14:paraId="0160F982" w14:textId="77777777" w:rsidR="000A3B2B" w:rsidRDefault="000A3B2B">
            <w:pPr>
              <w:autoSpaceDE w:val="0"/>
              <w:autoSpaceDN w:val="0"/>
              <w:adjustRightInd w:val="0"/>
              <w:spacing w:after="0" w:line="240" w:lineRule="auto"/>
              <w:rPr>
                <w:rFonts w:ascii="Arial" w:hAnsi="Arial" w:cs="Arial"/>
                <w:b/>
                <w:bCs/>
                <w:color w:val="000000"/>
                <w:sz w:val="24"/>
                <w:szCs w:val="24"/>
                <w:lang w:val="x-none"/>
              </w:rPr>
            </w:pPr>
          </w:p>
        </w:tc>
        <w:tc>
          <w:tcPr>
            <w:tcW w:w="2834" w:type="dxa"/>
            <w:tcBorders>
              <w:top w:val="nil"/>
              <w:left w:val="nil"/>
              <w:bottom w:val="nil"/>
              <w:right w:val="nil"/>
            </w:tcBorders>
            <w:vAlign w:val="bottom"/>
          </w:tcPr>
          <w:p w14:paraId="0050AB33" w14:textId="77777777" w:rsidR="000A3B2B" w:rsidRDefault="000A3B2B">
            <w:pPr>
              <w:autoSpaceDE w:val="0"/>
              <w:autoSpaceDN w:val="0"/>
              <w:adjustRightInd w:val="0"/>
              <w:spacing w:after="0" w:line="240" w:lineRule="auto"/>
              <w:rPr>
                <w:rFonts w:ascii="Arial" w:hAnsi="Arial" w:cs="Arial"/>
                <w:color w:val="000000"/>
                <w:sz w:val="18"/>
                <w:szCs w:val="18"/>
                <w:lang w:val="x-none"/>
              </w:rPr>
            </w:pPr>
          </w:p>
        </w:tc>
      </w:tr>
    </w:tbl>
    <w:p w14:paraId="58CE61C4"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p>
    <w:p w14:paraId="00898A6D" w14:textId="77777777" w:rsidR="000A3B2B" w:rsidRDefault="000A3B2B" w:rsidP="00D661C1">
      <w:pPr>
        <w:pStyle w:val="Styl1"/>
        <w:sectPr w:rsidR="000A3B2B" w:rsidSect="009E5295">
          <w:pgSz w:w="12240" w:h="15840"/>
          <w:pgMar w:top="1417" w:right="1417" w:bottom="1417" w:left="1417" w:header="708" w:footer="708" w:gutter="0"/>
          <w:cols w:space="708"/>
          <w:noEndnote/>
        </w:sectPr>
      </w:pPr>
    </w:p>
    <w:p w14:paraId="3790327E" w14:textId="77777777" w:rsidR="000A3B2B" w:rsidRDefault="000A3B2B" w:rsidP="00D661C1">
      <w:pPr>
        <w:pStyle w:val="Styl1"/>
      </w:pPr>
      <w:r>
        <w:t xml:space="preserve">PRZYGOTOWANIE I MONTAŻ ZBROJENIA </w:t>
      </w:r>
    </w:p>
    <w:p w14:paraId="31EDDCC6" w14:textId="77777777" w:rsidR="000A3B2B" w:rsidRDefault="000A3B2B" w:rsidP="009E5295">
      <w:pPr>
        <w:autoSpaceDE w:val="0"/>
        <w:autoSpaceDN w:val="0"/>
        <w:adjustRightInd w:val="0"/>
        <w:spacing w:after="3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1.</w:t>
      </w:r>
      <w:r>
        <w:rPr>
          <w:rFonts w:ascii="Arial" w:hAnsi="Arial" w:cs="Arial"/>
          <w:b/>
          <w:bCs/>
          <w:color w:val="000000"/>
          <w:sz w:val="18"/>
          <w:szCs w:val="18"/>
          <w:lang w:val="x-none"/>
        </w:rPr>
        <w:tab/>
        <w:t>CZĘŚĆ OGÓLNA</w:t>
      </w:r>
    </w:p>
    <w:p w14:paraId="0D3B646F"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1.1.</w:t>
      </w:r>
      <w:r>
        <w:rPr>
          <w:rFonts w:ascii="Arial" w:hAnsi="Arial" w:cs="Arial"/>
          <w:b/>
          <w:bCs/>
          <w:color w:val="000000"/>
          <w:sz w:val="18"/>
          <w:szCs w:val="18"/>
          <w:lang w:val="x-none"/>
        </w:rPr>
        <w:tab/>
        <w:t>Nazwa nadana zamówieniu przez Zamawiającego</w:t>
      </w:r>
    </w:p>
    <w:p w14:paraId="3A88BB42" w14:textId="77777777" w:rsidR="000A3B2B" w:rsidRDefault="000A3B2B" w:rsidP="009E5295">
      <w:pPr>
        <w:tabs>
          <w:tab w:val="right" w:leader="dot" w:pos="7035"/>
        </w:tabs>
        <w:autoSpaceDE w:val="0"/>
        <w:autoSpaceDN w:val="0"/>
        <w:adjustRightInd w:val="0"/>
        <w:spacing w:after="30" w:line="240" w:lineRule="auto"/>
        <w:jc w:val="both"/>
        <w:rPr>
          <w:rFonts w:ascii="Arial" w:hAnsi="Arial" w:cs="Arial"/>
          <w:color w:val="000000"/>
          <w:sz w:val="18"/>
          <w:szCs w:val="18"/>
          <w:lang w:val="x-none"/>
        </w:rPr>
      </w:pPr>
      <w:r w:rsidRPr="00D8129F">
        <w:rPr>
          <w:rFonts w:ascii="Arial" w:hAnsi="Arial" w:cs="Arial"/>
          <w:noProof/>
          <w:color w:val="000000"/>
          <w:sz w:val="18"/>
          <w:szCs w:val="18"/>
          <w:lang w:val="x-none"/>
        </w:rPr>
        <w:t>Termomodernizacja budynku Szkoły Podstawowej nr 3 przy ul. Marii Konopnickiej 2 w Reszlu.</w:t>
      </w:r>
    </w:p>
    <w:p w14:paraId="2A84B103"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1.2.</w:t>
      </w:r>
      <w:r>
        <w:rPr>
          <w:rFonts w:ascii="Arial" w:hAnsi="Arial" w:cs="Arial"/>
          <w:b/>
          <w:bCs/>
          <w:color w:val="000000"/>
          <w:sz w:val="18"/>
          <w:szCs w:val="18"/>
          <w:lang w:val="x-none"/>
        </w:rPr>
        <w:tab/>
        <w:t>Przedmiot ST</w:t>
      </w:r>
    </w:p>
    <w:p w14:paraId="3F87985B"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Przedmiotem niniejszej standardowej specyfikacji technicznej (ST) są wymagania dotyczące wykonania i odbioru zbrojenia betonu w konstrukcjach żelbetowych wykonywanych na mokro w budynkach oraz obiektach budownictwa inżynieryjnego.</w:t>
      </w:r>
    </w:p>
    <w:p w14:paraId="4FECB3D9"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46BC6F09"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1.3.</w:t>
      </w:r>
      <w:r>
        <w:rPr>
          <w:rFonts w:ascii="Arial" w:hAnsi="Arial" w:cs="Arial"/>
          <w:b/>
          <w:bCs/>
          <w:color w:val="000000"/>
          <w:sz w:val="18"/>
          <w:szCs w:val="18"/>
          <w:lang w:val="x-none"/>
        </w:rPr>
        <w:tab/>
        <w:t>Zakres stosowania ST</w:t>
      </w:r>
    </w:p>
    <w:p w14:paraId="45FC98FE"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Specyfikacja techniczna (ST) stanowi podstawę opracowania szczegółowej specyfikacji technicznej (SST) stosowanej jako dokument przetargowy i kontraktowy przy zlecaniu i realizacji robót wymienionych w pkt. 1.1.</w:t>
      </w:r>
    </w:p>
    <w:p w14:paraId="06861142"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Znaczy to, iż projektant sporządzający dokumentację projektową i odpowiednie szczegółowe specyfikacje techniczne wykonania i odbioru robót budowlanych może wprowadzać do niniejszej standardowej specyfikacji zmiany, uzupełnienia lub uściślenia, odpowiednie dla przewidzianych projektem robót, uwzględniające wymagania Zamawiającego oraz konkretne warunki realizacji robót, które są niezbędne do określania ich standardu i jakości.</w:t>
      </w:r>
    </w:p>
    <w:p w14:paraId="6050C14E"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Odstępstwa od wymagań podanych w niniejszej specyfikacji mogą mieć miejsce tylko w przypadkach małych prostych robót i konstrukcji drugorzędnych o niewielkim znaczeniu, dla których istnieje pewność, że podstawowe wymagania będą spełnione przy zastosowaniu metod wykonania na podstawie doświadczenia i przy przestrzeganiu zasad sztuki budowlanej.</w:t>
      </w:r>
    </w:p>
    <w:p w14:paraId="1514AD3F"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5547108B"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1.4.</w:t>
      </w:r>
      <w:r>
        <w:rPr>
          <w:rFonts w:ascii="Arial" w:hAnsi="Arial" w:cs="Arial"/>
          <w:b/>
          <w:bCs/>
          <w:color w:val="000000"/>
          <w:sz w:val="18"/>
          <w:szCs w:val="18"/>
          <w:lang w:val="x-none"/>
        </w:rPr>
        <w:tab/>
        <w:t>Zakres robót objętych ST</w:t>
      </w:r>
    </w:p>
    <w:p w14:paraId="2252895A"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Ustalenia zawarte w niniejszej Specyfikacji mają zastosowanie przy wykonywaniu zbrojenia konstrukcji budynków oraz obiektów budownictwa inżynieryjnego.</w:t>
      </w:r>
    </w:p>
    <w:p w14:paraId="536C07E7"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Roboty, których dotyczy Specyfikacja, obejmują wszystkie czynności mające na celu wykonanie robót związanych z:</w:t>
      </w:r>
    </w:p>
    <w:p w14:paraId="72780A52"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przygotowaniem zbrojenia,</w:t>
      </w:r>
    </w:p>
    <w:p w14:paraId="0230F117"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montażem zbrojenia,</w:t>
      </w:r>
    </w:p>
    <w:p w14:paraId="2A9DB83A"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kontrolą jakości robót i materiałów.</w:t>
      </w:r>
    </w:p>
    <w:p w14:paraId="7FB15DBD"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Zakres robót obejmuje elementy konstrukcyjne fundamentów, podpór, murów, konstrukcje szkieletowe, płyty, belki, podciągi, gzymsy oraz konstrukcje związane z wyposażeniem i obsługą obiektów.</w:t>
      </w:r>
    </w:p>
    <w:p w14:paraId="5266163E"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317028A8"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1.5.</w:t>
      </w:r>
      <w:r>
        <w:rPr>
          <w:rFonts w:ascii="Arial" w:hAnsi="Arial" w:cs="Arial"/>
          <w:b/>
          <w:bCs/>
          <w:color w:val="000000"/>
          <w:sz w:val="18"/>
          <w:szCs w:val="18"/>
          <w:lang w:val="x-none"/>
        </w:rPr>
        <w:tab/>
        <w:t>Określenia podstawowe i definicje</w:t>
      </w:r>
    </w:p>
    <w:p w14:paraId="36D49098"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Określenia podane w niniejszej Specyfikacji są zgodne z odpowiednimi normami oraz określeniami podanymi w ST „Wymagania ogólne” </w:t>
      </w:r>
      <w:r>
        <w:rPr>
          <w:rFonts w:ascii="Arial" w:hAnsi="Arial" w:cs="Arial"/>
          <w:caps/>
          <w:color w:val="000000"/>
          <w:sz w:val="18"/>
          <w:szCs w:val="18"/>
          <w:lang w:val="x-none"/>
        </w:rPr>
        <w:t>K</w:t>
      </w:r>
      <w:r>
        <w:rPr>
          <w:rFonts w:ascii="Arial" w:hAnsi="Arial" w:cs="Arial"/>
          <w:color w:val="000000"/>
          <w:sz w:val="18"/>
          <w:szCs w:val="18"/>
          <w:lang w:val="x-none"/>
        </w:rPr>
        <w:t>od CPV 45000000-7.</w:t>
      </w:r>
    </w:p>
    <w:p w14:paraId="13BBEFB6"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Pręty stalowe wiotkie</w:t>
      </w:r>
      <w:r>
        <w:rPr>
          <w:rFonts w:ascii="Arial" w:hAnsi="Arial" w:cs="Arial"/>
          <w:color w:val="000000"/>
          <w:sz w:val="18"/>
          <w:szCs w:val="18"/>
          <w:lang w:val="x-none"/>
        </w:rPr>
        <w:t xml:space="preserve"> – pręty stalowe o przekroju kołowym żebrowane o średnicy do 40 mm.</w:t>
      </w:r>
    </w:p>
    <w:p w14:paraId="2BE7E073"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 xml:space="preserve">Zbrojenie </w:t>
      </w:r>
      <w:proofErr w:type="spellStart"/>
      <w:r>
        <w:rPr>
          <w:rFonts w:ascii="Arial" w:hAnsi="Arial" w:cs="Arial"/>
          <w:b/>
          <w:bCs/>
          <w:color w:val="000000"/>
          <w:sz w:val="18"/>
          <w:szCs w:val="18"/>
          <w:lang w:val="x-none"/>
        </w:rPr>
        <w:t>niesprężajace</w:t>
      </w:r>
      <w:proofErr w:type="spellEnd"/>
      <w:r>
        <w:rPr>
          <w:rFonts w:ascii="Arial" w:hAnsi="Arial" w:cs="Arial"/>
          <w:color w:val="000000"/>
          <w:sz w:val="18"/>
          <w:szCs w:val="18"/>
          <w:lang w:val="x-none"/>
        </w:rPr>
        <w:t xml:space="preserve"> – zbrojenie konstrukcji betonowej niewprowadzające do niej </w:t>
      </w:r>
      <w:proofErr w:type="spellStart"/>
      <w:r>
        <w:rPr>
          <w:rFonts w:ascii="Arial" w:hAnsi="Arial" w:cs="Arial"/>
          <w:color w:val="000000"/>
          <w:sz w:val="18"/>
          <w:szCs w:val="18"/>
          <w:lang w:val="x-none"/>
        </w:rPr>
        <w:t>naprężeń</w:t>
      </w:r>
      <w:proofErr w:type="spellEnd"/>
      <w:r>
        <w:rPr>
          <w:rFonts w:ascii="Arial" w:hAnsi="Arial" w:cs="Arial"/>
          <w:color w:val="000000"/>
          <w:sz w:val="18"/>
          <w:szCs w:val="18"/>
          <w:lang w:val="x-none"/>
        </w:rPr>
        <w:t xml:space="preserve"> w sposób czynny.</w:t>
      </w:r>
    </w:p>
    <w:p w14:paraId="799A729E"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352C053F"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1.6.</w:t>
      </w:r>
      <w:r>
        <w:rPr>
          <w:rFonts w:ascii="Arial" w:hAnsi="Arial" w:cs="Arial"/>
          <w:b/>
          <w:bCs/>
          <w:color w:val="000000"/>
          <w:sz w:val="18"/>
          <w:szCs w:val="18"/>
          <w:lang w:val="x-none"/>
        </w:rPr>
        <w:tab/>
        <w:t>Ogólne wymagania dotyczące robót</w:t>
      </w:r>
    </w:p>
    <w:p w14:paraId="74D20073"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Wykonawca robót jest odpowiedzialny za jakość ich wykonania oraz za zgodność z dokumentacją projektową, ST i poleceniami Inspektora nadzoru. Ogólne wymagania dotyczące robót wykonywanych na tej budowie podano w ST „Wymagania ogólne” Kod CPV 45000000-7, pkt 1.5.</w:t>
      </w:r>
    </w:p>
    <w:p w14:paraId="37682F51"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32EC13DD"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1.7.</w:t>
      </w:r>
      <w:r>
        <w:rPr>
          <w:rFonts w:ascii="Arial" w:hAnsi="Arial" w:cs="Arial"/>
          <w:b/>
          <w:bCs/>
          <w:color w:val="000000"/>
          <w:sz w:val="18"/>
          <w:szCs w:val="18"/>
          <w:lang w:val="x-none"/>
        </w:rPr>
        <w:tab/>
        <w:t>Dokumentacja wykonania zbrojenia konstrukcji budynków oraz obiektów budownictwa inżynieryjnego</w:t>
      </w:r>
    </w:p>
    <w:p w14:paraId="25C2CC2B"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Roboty betonowe i żelbetowe należy wykonać na podstawie dokumentacji, której wykaz oraz podstawy prawne ich sporządzania podano w ST „Wymagania ogólne” Kod CPV 45000000-7, pkt 1.6.</w:t>
      </w:r>
    </w:p>
    <w:p w14:paraId="3D1F6104"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77D9B6A8"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1.8.</w:t>
      </w:r>
      <w:r>
        <w:rPr>
          <w:rFonts w:ascii="Arial" w:hAnsi="Arial" w:cs="Arial"/>
          <w:b/>
          <w:bCs/>
          <w:color w:val="000000"/>
          <w:sz w:val="18"/>
          <w:szCs w:val="18"/>
          <w:lang w:val="x-none"/>
        </w:rPr>
        <w:tab/>
        <w:t>Nazwy i kody robót objętych zamówieniem:</w:t>
      </w:r>
    </w:p>
    <w:p w14:paraId="764153EC" w14:textId="77777777" w:rsidR="000A3B2B" w:rsidRDefault="000A3B2B" w:rsidP="009E5295">
      <w:pPr>
        <w:autoSpaceDE w:val="0"/>
        <w:autoSpaceDN w:val="0"/>
        <w:adjustRightInd w:val="0"/>
        <w:spacing w:after="30" w:line="240" w:lineRule="auto"/>
        <w:jc w:val="both"/>
        <w:rPr>
          <w:rFonts w:ascii="Arial" w:hAnsi="Arial" w:cs="Arial"/>
          <w:b/>
          <w:bCs/>
          <w:color w:val="000000"/>
          <w:sz w:val="18"/>
          <w:szCs w:val="18"/>
          <w:lang w:val="x-none"/>
        </w:rPr>
      </w:pPr>
      <w:r>
        <w:rPr>
          <w:rFonts w:ascii="Arial" w:hAnsi="Arial" w:cs="Arial"/>
          <w:b/>
          <w:bCs/>
          <w:color w:val="000000"/>
          <w:sz w:val="18"/>
          <w:szCs w:val="18"/>
          <w:lang w:val="x-none"/>
        </w:rPr>
        <w:t>Grupy robót, klasy robót lub kategorie robót</w:t>
      </w:r>
    </w:p>
    <w:tbl>
      <w:tblPr>
        <w:tblW w:w="0" w:type="auto"/>
        <w:tblCellSpacing w:w="0" w:type="dxa"/>
        <w:tblInd w:w="-8" w:type="dxa"/>
        <w:tblLayout w:type="fixed"/>
        <w:tblCellMar>
          <w:left w:w="0" w:type="dxa"/>
          <w:right w:w="0" w:type="dxa"/>
        </w:tblCellMar>
        <w:tblLook w:val="0000" w:firstRow="0" w:lastRow="0" w:firstColumn="0" w:lastColumn="0" w:noHBand="0" w:noVBand="0"/>
      </w:tblPr>
      <w:tblGrid>
        <w:gridCol w:w="278"/>
        <w:gridCol w:w="180"/>
        <w:gridCol w:w="300"/>
        <w:gridCol w:w="180"/>
        <w:gridCol w:w="300"/>
        <w:gridCol w:w="180"/>
        <w:gridCol w:w="300"/>
        <w:gridCol w:w="180"/>
        <w:gridCol w:w="300"/>
        <w:gridCol w:w="180"/>
        <w:gridCol w:w="300"/>
        <w:gridCol w:w="180"/>
        <w:gridCol w:w="300"/>
        <w:gridCol w:w="180"/>
        <w:gridCol w:w="300"/>
        <w:gridCol w:w="390"/>
        <w:gridCol w:w="300"/>
        <w:gridCol w:w="180"/>
        <w:gridCol w:w="2820"/>
      </w:tblGrid>
      <w:tr w:rsidR="000A3B2B" w14:paraId="3FFE4D25" w14:textId="77777777">
        <w:trPr>
          <w:trHeight w:val="60"/>
          <w:tblCellSpacing w:w="0" w:type="dxa"/>
        </w:trPr>
        <w:tc>
          <w:tcPr>
            <w:tcW w:w="278" w:type="dxa"/>
            <w:tcBorders>
              <w:top w:val="single" w:sz="6" w:space="0" w:color="000000"/>
              <w:left w:val="single" w:sz="6" w:space="0" w:color="000000"/>
              <w:bottom w:val="single" w:sz="6" w:space="0" w:color="000000"/>
              <w:right w:val="single" w:sz="6" w:space="0" w:color="000000"/>
            </w:tcBorders>
          </w:tcPr>
          <w:p w14:paraId="433D7F8B" w14:textId="77777777" w:rsidR="000A3B2B" w:rsidRPr="00624267" w:rsidRDefault="000A3B2B">
            <w:pPr>
              <w:autoSpaceDE w:val="0"/>
              <w:autoSpaceDN w:val="0"/>
              <w:adjustRightInd w:val="0"/>
              <w:spacing w:after="0" w:line="240" w:lineRule="auto"/>
              <w:rPr>
                <w:rFonts w:ascii="Arial" w:hAnsi="Arial" w:cs="Arial"/>
                <w:sz w:val="24"/>
                <w:szCs w:val="24"/>
              </w:rPr>
            </w:pPr>
            <w:r>
              <w:rPr>
                <w:rFonts w:ascii="Arial" w:hAnsi="Arial" w:cs="Arial"/>
                <w:sz w:val="24"/>
                <w:szCs w:val="24"/>
              </w:rPr>
              <w:t>4</w:t>
            </w:r>
          </w:p>
        </w:tc>
        <w:tc>
          <w:tcPr>
            <w:tcW w:w="180" w:type="dxa"/>
            <w:tcBorders>
              <w:top w:val="nil"/>
              <w:left w:val="single" w:sz="6" w:space="0" w:color="000000"/>
              <w:bottom w:val="nil"/>
              <w:right w:val="single" w:sz="6" w:space="0" w:color="000000"/>
            </w:tcBorders>
          </w:tcPr>
          <w:p w14:paraId="2952C63F"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300" w:type="dxa"/>
            <w:tcBorders>
              <w:top w:val="single" w:sz="6" w:space="0" w:color="000000"/>
              <w:left w:val="single" w:sz="6" w:space="0" w:color="000000"/>
              <w:bottom w:val="single" w:sz="6" w:space="0" w:color="000000"/>
              <w:right w:val="single" w:sz="6" w:space="0" w:color="000000"/>
            </w:tcBorders>
          </w:tcPr>
          <w:p w14:paraId="678C350D" w14:textId="77777777" w:rsidR="000A3B2B" w:rsidRPr="00624267" w:rsidRDefault="000A3B2B">
            <w:pPr>
              <w:autoSpaceDE w:val="0"/>
              <w:autoSpaceDN w:val="0"/>
              <w:adjustRightInd w:val="0"/>
              <w:spacing w:after="0" w:line="240" w:lineRule="auto"/>
              <w:rPr>
                <w:rFonts w:ascii="Arial" w:hAnsi="Arial" w:cs="Arial"/>
                <w:sz w:val="24"/>
                <w:szCs w:val="24"/>
              </w:rPr>
            </w:pPr>
            <w:r>
              <w:rPr>
                <w:rFonts w:ascii="Arial" w:hAnsi="Arial" w:cs="Arial"/>
                <w:sz w:val="24"/>
                <w:szCs w:val="24"/>
              </w:rPr>
              <w:t>5</w:t>
            </w:r>
          </w:p>
        </w:tc>
        <w:tc>
          <w:tcPr>
            <w:tcW w:w="180" w:type="dxa"/>
            <w:tcBorders>
              <w:top w:val="nil"/>
              <w:left w:val="single" w:sz="6" w:space="0" w:color="000000"/>
              <w:bottom w:val="nil"/>
              <w:right w:val="single" w:sz="6" w:space="0" w:color="000000"/>
            </w:tcBorders>
          </w:tcPr>
          <w:p w14:paraId="08DC2F95"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300" w:type="dxa"/>
            <w:tcBorders>
              <w:top w:val="single" w:sz="6" w:space="0" w:color="000000"/>
              <w:left w:val="single" w:sz="6" w:space="0" w:color="000000"/>
              <w:bottom w:val="single" w:sz="6" w:space="0" w:color="000000"/>
              <w:right w:val="single" w:sz="6" w:space="0" w:color="000000"/>
            </w:tcBorders>
          </w:tcPr>
          <w:p w14:paraId="021A2446" w14:textId="77777777" w:rsidR="000A3B2B" w:rsidRPr="00624267" w:rsidRDefault="000A3B2B">
            <w:pPr>
              <w:autoSpaceDE w:val="0"/>
              <w:autoSpaceDN w:val="0"/>
              <w:adjustRightInd w:val="0"/>
              <w:spacing w:after="0" w:line="240" w:lineRule="auto"/>
              <w:rPr>
                <w:rFonts w:ascii="Arial" w:hAnsi="Arial" w:cs="Arial"/>
                <w:sz w:val="24"/>
                <w:szCs w:val="24"/>
              </w:rPr>
            </w:pPr>
            <w:r>
              <w:rPr>
                <w:rFonts w:ascii="Arial" w:hAnsi="Arial" w:cs="Arial"/>
                <w:sz w:val="24"/>
                <w:szCs w:val="24"/>
              </w:rPr>
              <w:t>2</w:t>
            </w:r>
          </w:p>
        </w:tc>
        <w:tc>
          <w:tcPr>
            <w:tcW w:w="180" w:type="dxa"/>
            <w:tcBorders>
              <w:top w:val="nil"/>
              <w:left w:val="single" w:sz="6" w:space="0" w:color="000000"/>
              <w:bottom w:val="nil"/>
              <w:right w:val="single" w:sz="6" w:space="0" w:color="000000"/>
            </w:tcBorders>
          </w:tcPr>
          <w:p w14:paraId="3FEE4D4C"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300" w:type="dxa"/>
            <w:tcBorders>
              <w:top w:val="single" w:sz="6" w:space="0" w:color="000000"/>
              <w:left w:val="single" w:sz="6" w:space="0" w:color="000000"/>
              <w:bottom w:val="single" w:sz="6" w:space="0" w:color="000000"/>
              <w:right w:val="single" w:sz="6" w:space="0" w:color="000000"/>
            </w:tcBorders>
          </w:tcPr>
          <w:p w14:paraId="34183B79" w14:textId="77777777" w:rsidR="000A3B2B" w:rsidRPr="00624267" w:rsidRDefault="000A3B2B">
            <w:pPr>
              <w:autoSpaceDE w:val="0"/>
              <w:autoSpaceDN w:val="0"/>
              <w:adjustRightInd w:val="0"/>
              <w:spacing w:after="0" w:line="240" w:lineRule="auto"/>
              <w:rPr>
                <w:rFonts w:ascii="Arial" w:hAnsi="Arial" w:cs="Arial"/>
                <w:sz w:val="24"/>
                <w:szCs w:val="24"/>
              </w:rPr>
            </w:pPr>
            <w:r>
              <w:rPr>
                <w:rFonts w:ascii="Arial" w:hAnsi="Arial" w:cs="Arial"/>
                <w:sz w:val="24"/>
                <w:szCs w:val="24"/>
              </w:rPr>
              <w:t>6</w:t>
            </w:r>
          </w:p>
        </w:tc>
        <w:tc>
          <w:tcPr>
            <w:tcW w:w="180" w:type="dxa"/>
            <w:tcBorders>
              <w:top w:val="nil"/>
              <w:left w:val="single" w:sz="6" w:space="0" w:color="000000"/>
              <w:bottom w:val="nil"/>
              <w:right w:val="single" w:sz="6" w:space="0" w:color="000000"/>
            </w:tcBorders>
          </w:tcPr>
          <w:p w14:paraId="20AE59CA"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300" w:type="dxa"/>
            <w:tcBorders>
              <w:top w:val="single" w:sz="6" w:space="0" w:color="000000"/>
              <w:left w:val="single" w:sz="6" w:space="0" w:color="000000"/>
              <w:bottom w:val="single" w:sz="6" w:space="0" w:color="000000"/>
              <w:right w:val="single" w:sz="6" w:space="0" w:color="000000"/>
            </w:tcBorders>
          </w:tcPr>
          <w:p w14:paraId="5BB76323" w14:textId="77777777" w:rsidR="000A3B2B" w:rsidRPr="00624267" w:rsidRDefault="000A3B2B">
            <w:pPr>
              <w:autoSpaceDE w:val="0"/>
              <w:autoSpaceDN w:val="0"/>
              <w:adjustRightInd w:val="0"/>
              <w:spacing w:after="0" w:line="240" w:lineRule="auto"/>
              <w:rPr>
                <w:rFonts w:ascii="Arial" w:hAnsi="Arial" w:cs="Arial"/>
                <w:sz w:val="24"/>
                <w:szCs w:val="24"/>
              </w:rPr>
            </w:pPr>
            <w:r>
              <w:rPr>
                <w:rFonts w:ascii="Arial" w:hAnsi="Arial" w:cs="Arial"/>
                <w:sz w:val="24"/>
                <w:szCs w:val="24"/>
              </w:rPr>
              <w:t>2</w:t>
            </w:r>
          </w:p>
        </w:tc>
        <w:tc>
          <w:tcPr>
            <w:tcW w:w="180" w:type="dxa"/>
            <w:tcBorders>
              <w:top w:val="nil"/>
              <w:left w:val="single" w:sz="6" w:space="0" w:color="000000"/>
              <w:bottom w:val="nil"/>
              <w:right w:val="single" w:sz="6" w:space="0" w:color="000000"/>
            </w:tcBorders>
          </w:tcPr>
          <w:p w14:paraId="25631DDE"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300" w:type="dxa"/>
            <w:tcBorders>
              <w:top w:val="single" w:sz="6" w:space="0" w:color="000000"/>
              <w:left w:val="single" w:sz="6" w:space="0" w:color="000000"/>
              <w:bottom w:val="single" w:sz="6" w:space="0" w:color="000000"/>
              <w:right w:val="single" w:sz="6" w:space="0" w:color="000000"/>
            </w:tcBorders>
          </w:tcPr>
          <w:p w14:paraId="667D938E" w14:textId="77777777" w:rsidR="000A3B2B" w:rsidRPr="00624267" w:rsidRDefault="000A3B2B">
            <w:pPr>
              <w:autoSpaceDE w:val="0"/>
              <w:autoSpaceDN w:val="0"/>
              <w:adjustRightInd w:val="0"/>
              <w:spacing w:after="0" w:line="240" w:lineRule="auto"/>
              <w:rPr>
                <w:rFonts w:ascii="Arial" w:hAnsi="Arial" w:cs="Arial"/>
                <w:sz w:val="24"/>
                <w:szCs w:val="24"/>
              </w:rPr>
            </w:pPr>
            <w:r>
              <w:rPr>
                <w:rFonts w:ascii="Arial" w:hAnsi="Arial" w:cs="Arial"/>
                <w:sz w:val="24"/>
                <w:szCs w:val="24"/>
              </w:rPr>
              <w:t>3</w:t>
            </w:r>
          </w:p>
        </w:tc>
        <w:tc>
          <w:tcPr>
            <w:tcW w:w="180" w:type="dxa"/>
            <w:tcBorders>
              <w:top w:val="nil"/>
              <w:left w:val="single" w:sz="6" w:space="0" w:color="000000"/>
              <w:bottom w:val="nil"/>
              <w:right w:val="single" w:sz="6" w:space="0" w:color="000000"/>
            </w:tcBorders>
          </w:tcPr>
          <w:p w14:paraId="7A929A7B"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300" w:type="dxa"/>
            <w:tcBorders>
              <w:top w:val="single" w:sz="6" w:space="0" w:color="000000"/>
              <w:left w:val="single" w:sz="6" w:space="0" w:color="000000"/>
              <w:bottom w:val="single" w:sz="6" w:space="0" w:color="000000"/>
              <w:right w:val="single" w:sz="6" w:space="0" w:color="000000"/>
            </w:tcBorders>
          </w:tcPr>
          <w:p w14:paraId="653D501A" w14:textId="77777777" w:rsidR="000A3B2B" w:rsidRPr="00624267" w:rsidRDefault="000A3B2B">
            <w:pPr>
              <w:autoSpaceDE w:val="0"/>
              <w:autoSpaceDN w:val="0"/>
              <w:adjustRightInd w:val="0"/>
              <w:spacing w:after="0" w:line="240" w:lineRule="auto"/>
              <w:rPr>
                <w:rFonts w:ascii="Arial" w:hAnsi="Arial" w:cs="Arial"/>
                <w:sz w:val="24"/>
                <w:szCs w:val="24"/>
              </w:rPr>
            </w:pPr>
            <w:r>
              <w:rPr>
                <w:rFonts w:ascii="Arial" w:hAnsi="Arial" w:cs="Arial"/>
                <w:sz w:val="24"/>
                <w:szCs w:val="24"/>
              </w:rPr>
              <w:t>1</w:t>
            </w:r>
          </w:p>
        </w:tc>
        <w:tc>
          <w:tcPr>
            <w:tcW w:w="180" w:type="dxa"/>
            <w:tcBorders>
              <w:top w:val="nil"/>
              <w:left w:val="single" w:sz="6" w:space="0" w:color="000000"/>
              <w:bottom w:val="nil"/>
              <w:right w:val="single" w:sz="6" w:space="0" w:color="000000"/>
            </w:tcBorders>
          </w:tcPr>
          <w:p w14:paraId="7C36D32D"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300" w:type="dxa"/>
            <w:tcBorders>
              <w:top w:val="single" w:sz="6" w:space="0" w:color="000000"/>
              <w:left w:val="single" w:sz="6" w:space="0" w:color="000000"/>
              <w:bottom w:val="single" w:sz="6" w:space="0" w:color="000000"/>
              <w:right w:val="single" w:sz="6" w:space="0" w:color="000000"/>
            </w:tcBorders>
          </w:tcPr>
          <w:p w14:paraId="5E506E77" w14:textId="77777777" w:rsidR="000A3B2B" w:rsidRPr="00624267" w:rsidRDefault="000A3B2B">
            <w:pPr>
              <w:autoSpaceDE w:val="0"/>
              <w:autoSpaceDN w:val="0"/>
              <w:adjustRightInd w:val="0"/>
              <w:spacing w:after="0" w:line="240" w:lineRule="auto"/>
              <w:rPr>
                <w:rFonts w:ascii="Arial" w:hAnsi="Arial" w:cs="Arial"/>
                <w:sz w:val="24"/>
                <w:szCs w:val="24"/>
              </w:rPr>
            </w:pPr>
            <w:r>
              <w:rPr>
                <w:rFonts w:ascii="Arial" w:hAnsi="Arial" w:cs="Arial"/>
                <w:sz w:val="24"/>
                <w:szCs w:val="24"/>
              </w:rPr>
              <w:t>0</w:t>
            </w:r>
          </w:p>
        </w:tc>
        <w:tc>
          <w:tcPr>
            <w:tcW w:w="390" w:type="dxa"/>
            <w:tcBorders>
              <w:top w:val="nil"/>
              <w:left w:val="single" w:sz="6" w:space="0" w:color="000000"/>
              <w:bottom w:val="nil"/>
              <w:right w:val="single" w:sz="6" w:space="0" w:color="000000"/>
            </w:tcBorders>
            <w:vAlign w:val="center"/>
          </w:tcPr>
          <w:p w14:paraId="4EAAB4A7" w14:textId="77777777" w:rsidR="000A3B2B" w:rsidRDefault="000A3B2B">
            <w:pPr>
              <w:tabs>
                <w:tab w:val="right" w:pos="7035"/>
              </w:tabs>
              <w:autoSpaceDE w:val="0"/>
              <w:autoSpaceDN w:val="0"/>
              <w:adjustRightInd w:val="0"/>
              <w:spacing w:after="0" w:line="288" w:lineRule="auto"/>
              <w:jc w:val="center"/>
              <w:rPr>
                <w:rFonts w:ascii="Times New Roman" w:hAnsi="Times New Roman" w:cs="Times New Roman"/>
                <w:color w:val="000000"/>
                <w:sz w:val="24"/>
                <w:szCs w:val="24"/>
                <w:lang w:val="x-none"/>
              </w:rPr>
            </w:pPr>
            <w:r>
              <w:rPr>
                <w:rFonts w:ascii="Times New Roman" w:hAnsi="Times New Roman" w:cs="Times New Roman"/>
                <w:color w:val="000000"/>
                <w:sz w:val="24"/>
                <w:szCs w:val="24"/>
                <w:lang w:val="x-none"/>
              </w:rPr>
              <w:t>–</w:t>
            </w:r>
          </w:p>
        </w:tc>
        <w:tc>
          <w:tcPr>
            <w:tcW w:w="300" w:type="dxa"/>
            <w:tcBorders>
              <w:top w:val="single" w:sz="6" w:space="0" w:color="000000"/>
              <w:left w:val="single" w:sz="6" w:space="0" w:color="000000"/>
              <w:bottom w:val="single" w:sz="6" w:space="0" w:color="000000"/>
              <w:right w:val="single" w:sz="6" w:space="0" w:color="000000"/>
            </w:tcBorders>
          </w:tcPr>
          <w:p w14:paraId="05E15A51" w14:textId="77777777" w:rsidR="000A3B2B" w:rsidRPr="00624267" w:rsidRDefault="000A3B2B">
            <w:pPr>
              <w:autoSpaceDE w:val="0"/>
              <w:autoSpaceDN w:val="0"/>
              <w:adjustRightInd w:val="0"/>
              <w:spacing w:after="0" w:line="240" w:lineRule="auto"/>
              <w:rPr>
                <w:rFonts w:ascii="Arial" w:hAnsi="Arial" w:cs="Arial"/>
                <w:sz w:val="24"/>
                <w:szCs w:val="24"/>
              </w:rPr>
            </w:pPr>
            <w:r>
              <w:rPr>
                <w:rFonts w:ascii="Arial" w:hAnsi="Arial" w:cs="Arial"/>
                <w:sz w:val="24"/>
                <w:szCs w:val="24"/>
              </w:rPr>
              <w:t>7</w:t>
            </w:r>
          </w:p>
        </w:tc>
        <w:tc>
          <w:tcPr>
            <w:tcW w:w="180" w:type="dxa"/>
            <w:tcBorders>
              <w:top w:val="nil"/>
              <w:left w:val="single" w:sz="6" w:space="0" w:color="000000"/>
              <w:bottom w:val="nil"/>
              <w:right w:val="nil"/>
            </w:tcBorders>
          </w:tcPr>
          <w:p w14:paraId="31527B44"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2820" w:type="dxa"/>
            <w:tcBorders>
              <w:top w:val="nil"/>
              <w:left w:val="nil"/>
              <w:bottom w:val="single" w:sz="6" w:space="0" w:color="auto"/>
              <w:right w:val="nil"/>
            </w:tcBorders>
          </w:tcPr>
          <w:p w14:paraId="444FAF21" w14:textId="77777777" w:rsidR="000A3B2B" w:rsidRPr="00624267" w:rsidRDefault="000A3B2B">
            <w:pPr>
              <w:autoSpaceDE w:val="0"/>
              <w:autoSpaceDN w:val="0"/>
              <w:adjustRightInd w:val="0"/>
              <w:spacing w:after="0" w:line="240" w:lineRule="auto"/>
              <w:rPr>
                <w:rFonts w:ascii="Arial" w:hAnsi="Arial" w:cs="Arial"/>
                <w:sz w:val="24"/>
                <w:szCs w:val="24"/>
              </w:rPr>
            </w:pPr>
            <w:r>
              <w:rPr>
                <w:rFonts w:ascii="Arial" w:hAnsi="Arial" w:cs="Arial"/>
                <w:sz w:val="24"/>
                <w:szCs w:val="24"/>
              </w:rPr>
              <w:t>Zbrojenie</w:t>
            </w:r>
          </w:p>
        </w:tc>
      </w:tr>
    </w:tbl>
    <w:p w14:paraId="19E25B36"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1BD1E722" w14:textId="77777777" w:rsidR="000A3B2B" w:rsidRDefault="000A3B2B" w:rsidP="009E5295">
      <w:pPr>
        <w:autoSpaceDE w:val="0"/>
        <w:autoSpaceDN w:val="0"/>
        <w:adjustRightInd w:val="0"/>
        <w:spacing w:before="165" w:after="12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2.</w:t>
      </w:r>
      <w:r>
        <w:rPr>
          <w:rFonts w:ascii="Arial" w:hAnsi="Arial" w:cs="Arial"/>
          <w:b/>
          <w:bCs/>
          <w:color w:val="000000"/>
          <w:sz w:val="18"/>
          <w:szCs w:val="18"/>
          <w:lang w:val="x-none"/>
        </w:rPr>
        <w:tab/>
        <w:t>WYMAGANIA DOTYCZĄCE MATERIAŁÓW</w:t>
      </w:r>
    </w:p>
    <w:p w14:paraId="5E9CC5E3"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Ogólne wymagania dotyczące materiałów, ich pozyskiwania i składowania podano w ST „Wymagania ogólne” Kod CPV 45000000-7, pkt 2.</w:t>
      </w:r>
    </w:p>
    <w:p w14:paraId="3F607AB1"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Wszystkie materiały wykorzystywane w robotach zbrojarskich powinny być wprowadzone do obrotu lub udostępnione na rynku krajowym zgodnie z właściwymi przepisami, a więc posiadać:</w:t>
      </w:r>
    </w:p>
    <w:p w14:paraId="734FC159"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 xml:space="preserve">– </w:t>
      </w:r>
      <w:r>
        <w:rPr>
          <w:rFonts w:ascii="Arial" w:hAnsi="Arial" w:cs="Arial"/>
          <w:color w:val="000000"/>
          <w:sz w:val="18"/>
          <w:szCs w:val="18"/>
          <w:lang w:val="x-none"/>
        </w:rPr>
        <w:tab/>
        <w:t>oznakowanie znakiem CE co oznacza, że dokonano oceny ich zgodności ze zharmonizowaną normą europejską wprowadzoną do zbioru Polskich Norm lub z europejską oceną techniczną, albo</w:t>
      </w:r>
    </w:p>
    <w:p w14:paraId="55B9667F"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 xml:space="preserve">– </w:t>
      </w:r>
      <w:r>
        <w:rPr>
          <w:rFonts w:ascii="Arial" w:hAnsi="Arial" w:cs="Arial"/>
          <w:color w:val="000000"/>
          <w:sz w:val="18"/>
          <w:szCs w:val="18"/>
          <w:lang w:val="x-none"/>
        </w:rPr>
        <w:tab/>
        <w:t>oznakowanie znakiem budowlanym, co oznacza że są to wyroby nieobjęte normą  zharmonizowaną – dla której zakończył się okres koegzystencji – i dla których nie została wydana europejska ocena techniczna, a dokonano oceny zgodności z Polską Normą lub aprobatą techniczną (do końca okresu ważności tej aprobaty wydanej do 31 grudnia 2016 r., a później krajową oceną techniczną), bądź uznano za „regionalny wyrób budowlany”, albo</w:t>
      </w:r>
    </w:p>
    <w:p w14:paraId="449DF705"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 xml:space="preserve">– </w:t>
      </w:r>
      <w:r>
        <w:rPr>
          <w:rFonts w:ascii="Arial" w:hAnsi="Arial" w:cs="Arial"/>
          <w:color w:val="000000"/>
          <w:sz w:val="18"/>
          <w:szCs w:val="18"/>
          <w:lang w:val="x-none"/>
        </w:rPr>
        <w:tab/>
        <w:t>legalne wprowadzenie do obrotu w innym państwie członkowskim Unii Europejskiej lub w państwie członkowskim Europejskiego Porozumienia o Wolnym Handlu (EFTA) – stronie umowy o Europejskim Obszarze Gospodarczym oraz w Turcji, o ile wyroby budowlane udostępniane na rynku krajowym są nieobjęte zakresem przedmiotowym zharmonizowanych specyfikacji technicznych, o których mowa w art. 2 pkt 10 rozporządzenia Nr 305/2011, a ich właściwości użytkowe umożliwiają spełnienie podstawowych wymagań przez obiekty budowlane zaprojektowane i budowane w sposób określony w przepisach techniczno-budowlanych, oraz zgodnie z zasadami wiedzy technicznej (wraz z wyrobem budowlanym udostępnianym na rynku krajowym dostarcza się informacje o jego właściwościach użytkowych oznaczonych zgodnie z przepisami państwa, w którym wyrób budowlany został wprowadzony do obrotu, instrukcje stosowania, instrukcje obsługi oraz informacje dotyczące zagrożenia dla zdrowia i bezpieczeństwa, jakie ten wyrób stwarza podczas stosowania i użytkowania), albo</w:t>
      </w:r>
    </w:p>
    <w:p w14:paraId="7B1A4F55"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 xml:space="preserve">– </w:t>
      </w:r>
      <w:r>
        <w:rPr>
          <w:rFonts w:ascii="Arial" w:hAnsi="Arial" w:cs="Arial"/>
          <w:color w:val="000000"/>
          <w:sz w:val="18"/>
          <w:szCs w:val="18"/>
          <w:lang w:val="x-none"/>
        </w:rPr>
        <w:tab/>
        <w:t>dopuszczenie do jednostkowego zastosowania w obiekcie budowlanym.</w:t>
      </w:r>
    </w:p>
    <w:p w14:paraId="3B626BE3"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p>
    <w:p w14:paraId="49D1AE9E"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2.1.</w:t>
      </w:r>
      <w:r>
        <w:rPr>
          <w:rFonts w:ascii="Arial" w:hAnsi="Arial" w:cs="Arial"/>
          <w:b/>
          <w:bCs/>
          <w:color w:val="000000"/>
          <w:sz w:val="18"/>
          <w:szCs w:val="18"/>
          <w:lang w:val="x-none"/>
        </w:rPr>
        <w:tab/>
        <w:t>Stal zbrojeniowa</w:t>
      </w:r>
    </w:p>
    <w:p w14:paraId="0C24C45C" w14:textId="77777777" w:rsidR="000A3B2B" w:rsidRDefault="000A3B2B" w:rsidP="009E529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2.1.1. Asortyment stali zbrojeniowej</w:t>
      </w:r>
    </w:p>
    <w:p w14:paraId="798DB28B"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Do zbrojenia konstrukcji żelbetowych prętami wiotkimi w obiektach budowlanych objętych zakresem kontraktu stosuje się stal klas i gatunków wg dokumentacji projektowej, wg normy PN-H-84023/6: AIIIN, gatunku RB500W/BSt500S-O.T.B. oraz stal klasy AI, gatunku St3SX-b.</w:t>
      </w:r>
    </w:p>
    <w:p w14:paraId="4C077662" w14:textId="77777777" w:rsidR="000A3B2B" w:rsidRDefault="000A3B2B" w:rsidP="009E529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2.1.2. Właściwości mechaniczne i technologiczne stali zbrojeniowej</w:t>
      </w:r>
    </w:p>
    <w:p w14:paraId="5555590E"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Pręty okrągłe żebrowane ze stali gatunku RB500W/BSt500S-Q.T.B. o następujących parametrach:</w:t>
      </w:r>
    </w:p>
    <w:p w14:paraId="4646448E" w14:textId="77777777" w:rsidR="000A3B2B" w:rsidRDefault="000A3B2B" w:rsidP="009E5295">
      <w:pPr>
        <w:tabs>
          <w:tab w:val="right" w:pos="6525"/>
        </w:tabs>
        <w:autoSpaceDE w:val="0"/>
        <w:autoSpaceDN w:val="0"/>
        <w:adjustRightInd w:val="0"/>
        <w:spacing w:after="15"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średnica pręta w mm</w:t>
      </w:r>
      <w:r>
        <w:rPr>
          <w:rFonts w:ascii="Arial" w:hAnsi="Arial" w:cs="Arial"/>
          <w:color w:val="000000"/>
          <w:sz w:val="18"/>
          <w:szCs w:val="18"/>
          <w:lang w:val="x-none"/>
        </w:rPr>
        <w:tab/>
        <w:t>8÷10</w:t>
      </w:r>
    </w:p>
    <w:p w14:paraId="10C0C698" w14:textId="77777777" w:rsidR="000A3B2B" w:rsidRDefault="000A3B2B" w:rsidP="009E5295">
      <w:pPr>
        <w:tabs>
          <w:tab w:val="right" w:pos="6525"/>
        </w:tabs>
        <w:autoSpaceDE w:val="0"/>
        <w:autoSpaceDN w:val="0"/>
        <w:adjustRightInd w:val="0"/>
        <w:spacing w:after="15"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granica plastyczności Re (min) w </w:t>
      </w:r>
      <w:proofErr w:type="spellStart"/>
      <w:r>
        <w:rPr>
          <w:rFonts w:ascii="Arial" w:hAnsi="Arial" w:cs="Arial"/>
          <w:color w:val="000000"/>
          <w:sz w:val="18"/>
          <w:szCs w:val="18"/>
          <w:lang w:val="x-none"/>
        </w:rPr>
        <w:t>MPa</w:t>
      </w:r>
      <w:proofErr w:type="spellEnd"/>
      <w:r>
        <w:rPr>
          <w:rFonts w:ascii="Arial" w:hAnsi="Arial" w:cs="Arial"/>
          <w:color w:val="000000"/>
          <w:sz w:val="18"/>
          <w:szCs w:val="18"/>
          <w:lang w:val="x-none"/>
        </w:rPr>
        <w:tab/>
        <w:t>500</w:t>
      </w:r>
    </w:p>
    <w:p w14:paraId="4E8F61E0" w14:textId="77777777" w:rsidR="000A3B2B" w:rsidRDefault="000A3B2B" w:rsidP="009E5295">
      <w:pPr>
        <w:tabs>
          <w:tab w:val="right" w:pos="6525"/>
        </w:tabs>
        <w:autoSpaceDE w:val="0"/>
        <w:autoSpaceDN w:val="0"/>
        <w:adjustRightInd w:val="0"/>
        <w:spacing w:after="15"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wytrzymałość na rozciąganie </w:t>
      </w:r>
      <w:proofErr w:type="spellStart"/>
      <w:r>
        <w:rPr>
          <w:rFonts w:ascii="Arial" w:hAnsi="Arial" w:cs="Arial"/>
          <w:color w:val="000000"/>
          <w:sz w:val="18"/>
          <w:szCs w:val="18"/>
          <w:lang w:val="x-none"/>
        </w:rPr>
        <w:t>Rm</w:t>
      </w:r>
      <w:proofErr w:type="spellEnd"/>
      <w:r>
        <w:rPr>
          <w:rFonts w:ascii="Arial" w:hAnsi="Arial" w:cs="Arial"/>
          <w:color w:val="000000"/>
          <w:sz w:val="18"/>
          <w:szCs w:val="18"/>
          <w:lang w:val="x-none"/>
        </w:rPr>
        <w:t xml:space="preserve"> (min) w </w:t>
      </w:r>
      <w:proofErr w:type="spellStart"/>
      <w:r>
        <w:rPr>
          <w:rFonts w:ascii="Arial" w:hAnsi="Arial" w:cs="Arial"/>
          <w:color w:val="000000"/>
          <w:sz w:val="18"/>
          <w:szCs w:val="18"/>
          <w:lang w:val="x-none"/>
        </w:rPr>
        <w:t>MPa</w:t>
      </w:r>
      <w:proofErr w:type="spellEnd"/>
      <w:r>
        <w:rPr>
          <w:rFonts w:ascii="Arial" w:hAnsi="Arial" w:cs="Arial"/>
          <w:color w:val="000000"/>
          <w:sz w:val="18"/>
          <w:szCs w:val="18"/>
          <w:lang w:val="x-none"/>
        </w:rPr>
        <w:tab/>
        <w:t>550</w:t>
      </w:r>
    </w:p>
    <w:p w14:paraId="6DAAB21A" w14:textId="77777777" w:rsidR="000A3B2B" w:rsidRDefault="000A3B2B" w:rsidP="009E5295">
      <w:pPr>
        <w:tabs>
          <w:tab w:val="right" w:pos="6525"/>
        </w:tabs>
        <w:autoSpaceDE w:val="0"/>
        <w:autoSpaceDN w:val="0"/>
        <w:adjustRightInd w:val="0"/>
        <w:spacing w:after="15"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wytrzymałość charakterystyczna w </w:t>
      </w:r>
      <w:proofErr w:type="spellStart"/>
      <w:r>
        <w:rPr>
          <w:rFonts w:ascii="Arial" w:hAnsi="Arial" w:cs="Arial"/>
          <w:color w:val="000000"/>
          <w:sz w:val="18"/>
          <w:szCs w:val="18"/>
          <w:lang w:val="x-none"/>
        </w:rPr>
        <w:t>MPa</w:t>
      </w:r>
      <w:proofErr w:type="spellEnd"/>
      <w:r>
        <w:rPr>
          <w:rFonts w:ascii="Arial" w:hAnsi="Arial" w:cs="Arial"/>
          <w:color w:val="000000"/>
          <w:sz w:val="18"/>
          <w:szCs w:val="18"/>
          <w:lang w:val="x-none"/>
        </w:rPr>
        <w:tab/>
        <w:t>490</w:t>
      </w:r>
    </w:p>
    <w:p w14:paraId="487F8695" w14:textId="77777777" w:rsidR="000A3B2B" w:rsidRDefault="000A3B2B" w:rsidP="009E5295">
      <w:pPr>
        <w:tabs>
          <w:tab w:val="right" w:pos="6525"/>
        </w:tabs>
        <w:autoSpaceDE w:val="0"/>
        <w:autoSpaceDN w:val="0"/>
        <w:adjustRightInd w:val="0"/>
        <w:spacing w:after="15"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wytrzymałość obliczeniowa w </w:t>
      </w:r>
      <w:proofErr w:type="spellStart"/>
      <w:r>
        <w:rPr>
          <w:rFonts w:ascii="Arial" w:hAnsi="Arial" w:cs="Arial"/>
          <w:color w:val="000000"/>
          <w:sz w:val="18"/>
          <w:szCs w:val="18"/>
          <w:lang w:val="x-none"/>
        </w:rPr>
        <w:t>MPa</w:t>
      </w:r>
      <w:proofErr w:type="spellEnd"/>
      <w:r>
        <w:rPr>
          <w:rFonts w:ascii="Arial" w:hAnsi="Arial" w:cs="Arial"/>
          <w:color w:val="000000"/>
          <w:sz w:val="18"/>
          <w:szCs w:val="18"/>
          <w:lang w:val="x-none"/>
        </w:rPr>
        <w:tab/>
        <w:t>375</w:t>
      </w:r>
    </w:p>
    <w:p w14:paraId="5F5AD4C6" w14:textId="77777777" w:rsidR="000A3B2B" w:rsidRDefault="000A3B2B" w:rsidP="009E5295">
      <w:pPr>
        <w:tabs>
          <w:tab w:val="right" w:pos="6525"/>
        </w:tabs>
        <w:autoSpaceDE w:val="0"/>
        <w:autoSpaceDN w:val="0"/>
        <w:adjustRightInd w:val="0"/>
        <w:spacing w:after="15"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wydłużenie (min) w %</w:t>
      </w:r>
      <w:r>
        <w:rPr>
          <w:rFonts w:ascii="Arial" w:hAnsi="Arial" w:cs="Arial"/>
          <w:color w:val="000000"/>
          <w:sz w:val="18"/>
          <w:szCs w:val="18"/>
          <w:lang w:val="x-none"/>
        </w:rPr>
        <w:tab/>
        <w:t>10</w:t>
      </w:r>
    </w:p>
    <w:p w14:paraId="3AA1972E" w14:textId="77777777" w:rsidR="000A3B2B" w:rsidRDefault="000A3B2B" w:rsidP="009E5295">
      <w:pPr>
        <w:tabs>
          <w:tab w:val="right" w:pos="6525"/>
        </w:tabs>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zginanie do kąta 60°</w:t>
      </w:r>
      <w:r>
        <w:rPr>
          <w:rFonts w:ascii="Arial" w:hAnsi="Arial" w:cs="Arial"/>
          <w:color w:val="000000"/>
          <w:sz w:val="18"/>
          <w:szCs w:val="18"/>
          <w:lang w:val="x-none"/>
        </w:rPr>
        <w:tab/>
        <w:t>brak pęknięć i rys w złączu.</w:t>
      </w:r>
    </w:p>
    <w:p w14:paraId="6431A516"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Pręty okrągłe żebrowane ze stali gatunku 18G2-b wg normy PN-H-84023/06 o następujących parametrach:</w:t>
      </w:r>
    </w:p>
    <w:p w14:paraId="5F9733FA" w14:textId="77777777" w:rsidR="000A3B2B" w:rsidRDefault="000A3B2B" w:rsidP="009E5295">
      <w:pPr>
        <w:tabs>
          <w:tab w:val="right" w:pos="6525"/>
        </w:tabs>
        <w:autoSpaceDE w:val="0"/>
        <w:autoSpaceDN w:val="0"/>
        <w:adjustRightInd w:val="0"/>
        <w:spacing w:after="15"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średnica pręta w mm</w:t>
      </w:r>
      <w:r>
        <w:rPr>
          <w:rFonts w:ascii="Arial" w:hAnsi="Arial" w:cs="Arial"/>
          <w:color w:val="000000"/>
          <w:sz w:val="18"/>
          <w:szCs w:val="18"/>
          <w:lang w:val="x-none"/>
        </w:rPr>
        <w:tab/>
        <w:t>6÷32</w:t>
      </w:r>
    </w:p>
    <w:p w14:paraId="46B1E8BE" w14:textId="77777777" w:rsidR="000A3B2B" w:rsidRDefault="000A3B2B" w:rsidP="009E5295">
      <w:pPr>
        <w:tabs>
          <w:tab w:val="right" w:pos="6525"/>
        </w:tabs>
        <w:autoSpaceDE w:val="0"/>
        <w:autoSpaceDN w:val="0"/>
        <w:adjustRightInd w:val="0"/>
        <w:spacing w:after="15"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granica plastyczności Re (min) w </w:t>
      </w:r>
      <w:proofErr w:type="spellStart"/>
      <w:r>
        <w:rPr>
          <w:rFonts w:ascii="Arial" w:hAnsi="Arial" w:cs="Arial"/>
          <w:color w:val="000000"/>
          <w:sz w:val="18"/>
          <w:szCs w:val="18"/>
          <w:lang w:val="x-none"/>
        </w:rPr>
        <w:t>MPa</w:t>
      </w:r>
      <w:proofErr w:type="spellEnd"/>
      <w:r>
        <w:rPr>
          <w:rFonts w:ascii="Arial" w:hAnsi="Arial" w:cs="Arial"/>
          <w:color w:val="000000"/>
          <w:sz w:val="18"/>
          <w:szCs w:val="18"/>
          <w:lang w:val="x-none"/>
        </w:rPr>
        <w:tab/>
        <w:t>355</w:t>
      </w:r>
    </w:p>
    <w:p w14:paraId="323AA295" w14:textId="77777777" w:rsidR="000A3B2B" w:rsidRDefault="000A3B2B" w:rsidP="009E5295">
      <w:pPr>
        <w:tabs>
          <w:tab w:val="right" w:pos="6525"/>
        </w:tabs>
        <w:autoSpaceDE w:val="0"/>
        <w:autoSpaceDN w:val="0"/>
        <w:adjustRightInd w:val="0"/>
        <w:spacing w:after="15"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wytrzymałość na rozciąganie </w:t>
      </w:r>
      <w:proofErr w:type="spellStart"/>
      <w:r>
        <w:rPr>
          <w:rFonts w:ascii="Arial" w:hAnsi="Arial" w:cs="Arial"/>
          <w:color w:val="000000"/>
          <w:sz w:val="18"/>
          <w:szCs w:val="18"/>
          <w:lang w:val="x-none"/>
        </w:rPr>
        <w:t>Rm</w:t>
      </w:r>
      <w:proofErr w:type="spellEnd"/>
      <w:r>
        <w:rPr>
          <w:rFonts w:ascii="Arial" w:hAnsi="Arial" w:cs="Arial"/>
          <w:color w:val="000000"/>
          <w:sz w:val="18"/>
          <w:szCs w:val="18"/>
          <w:lang w:val="x-none"/>
        </w:rPr>
        <w:t xml:space="preserve"> (min) w </w:t>
      </w:r>
      <w:proofErr w:type="spellStart"/>
      <w:r>
        <w:rPr>
          <w:rFonts w:ascii="Arial" w:hAnsi="Arial" w:cs="Arial"/>
          <w:color w:val="000000"/>
          <w:sz w:val="18"/>
          <w:szCs w:val="18"/>
          <w:lang w:val="x-none"/>
        </w:rPr>
        <w:t>MPa</w:t>
      </w:r>
      <w:proofErr w:type="spellEnd"/>
      <w:r>
        <w:rPr>
          <w:rFonts w:ascii="Arial" w:hAnsi="Arial" w:cs="Arial"/>
          <w:color w:val="000000"/>
          <w:sz w:val="18"/>
          <w:szCs w:val="18"/>
          <w:lang w:val="x-none"/>
        </w:rPr>
        <w:tab/>
        <w:t>490</w:t>
      </w:r>
    </w:p>
    <w:p w14:paraId="0E7BF4A4" w14:textId="77777777" w:rsidR="000A3B2B" w:rsidRDefault="000A3B2B" w:rsidP="009E5295">
      <w:pPr>
        <w:tabs>
          <w:tab w:val="right" w:pos="6525"/>
        </w:tabs>
        <w:autoSpaceDE w:val="0"/>
        <w:autoSpaceDN w:val="0"/>
        <w:adjustRightInd w:val="0"/>
        <w:spacing w:after="15"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wytrzymałość charakterystyczna w </w:t>
      </w:r>
      <w:proofErr w:type="spellStart"/>
      <w:r>
        <w:rPr>
          <w:rFonts w:ascii="Arial" w:hAnsi="Arial" w:cs="Arial"/>
          <w:color w:val="000000"/>
          <w:sz w:val="18"/>
          <w:szCs w:val="18"/>
          <w:lang w:val="x-none"/>
        </w:rPr>
        <w:t>MPa</w:t>
      </w:r>
      <w:proofErr w:type="spellEnd"/>
      <w:r>
        <w:rPr>
          <w:rFonts w:ascii="Arial" w:hAnsi="Arial" w:cs="Arial"/>
          <w:color w:val="000000"/>
          <w:sz w:val="18"/>
          <w:szCs w:val="18"/>
          <w:lang w:val="x-none"/>
        </w:rPr>
        <w:tab/>
        <w:t>355</w:t>
      </w:r>
    </w:p>
    <w:p w14:paraId="4464E822" w14:textId="77777777" w:rsidR="000A3B2B" w:rsidRDefault="000A3B2B" w:rsidP="009E5295">
      <w:pPr>
        <w:tabs>
          <w:tab w:val="right" w:pos="6525"/>
        </w:tabs>
        <w:autoSpaceDE w:val="0"/>
        <w:autoSpaceDN w:val="0"/>
        <w:adjustRightInd w:val="0"/>
        <w:spacing w:after="15"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wytrzymałość obliczeniowa w </w:t>
      </w:r>
      <w:proofErr w:type="spellStart"/>
      <w:r>
        <w:rPr>
          <w:rFonts w:ascii="Arial" w:hAnsi="Arial" w:cs="Arial"/>
          <w:color w:val="000000"/>
          <w:sz w:val="18"/>
          <w:szCs w:val="18"/>
          <w:lang w:val="x-none"/>
        </w:rPr>
        <w:t>MPa</w:t>
      </w:r>
      <w:proofErr w:type="spellEnd"/>
      <w:r>
        <w:rPr>
          <w:rFonts w:ascii="Arial" w:hAnsi="Arial" w:cs="Arial"/>
          <w:color w:val="000000"/>
          <w:sz w:val="18"/>
          <w:szCs w:val="18"/>
          <w:lang w:val="x-none"/>
        </w:rPr>
        <w:tab/>
        <w:t>295</w:t>
      </w:r>
    </w:p>
    <w:p w14:paraId="6E2A2ECD" w14:textId="77777777" w:rsidR="000A3B2B" w:rsidRDefault="000A3B2B" w:rsidP="009E5295">
      <w:pPr>
        <w:tabs>
          <w:tab w:val="right" w:pos="6525"/>
        </w:tabs>
        <w:autoSpaceDE w:val="0"/>
        <w:autoSpaceDN w:val="0"/>
        <w:adjustRightInd w:val="0"/>
        <w:spacing w:after="15"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wydłużenie (min) w %</w:t>
      </w:r>
      <w:r>
        <w:rPr>
          <w:rFonts w:ascii="Arial" w:hAnsi="Arial" w:cs="Arial"/>
          <w:color w:val="000000"/>
          <w:sz w:val="18"/>
          <w:szCs w:val="18"/>
          <w:lang w:val="x-none"/>
        </w:rPr>
        <w:tab/>
        <w:t>20</w:t>
      </w:r>
    </w:p>
    <w:p w14:paraId="63524F21" w14:textId="77777777" w:rsidR="000A3B2B" w:rsidRDefault="000A3B2B" w:rsidP="009E5295">
      <w:pPr>
        <w:tabs>
          <w:tab w:val="right" w:pos="6525"/>
        </w:tabs>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zginanie do kąta 60°</w:t>
      </w:r>
      <w:r>
        <w:rPr>
          <w:rFonts w:ascii="Arial" w:hAnsi="Arial" w:cs="Arial"/>
          <w:color w:val="000000"/>
          <w:sz w:val="18"/>
          <w:szCs w:val="18"/>
          <w:lang w:val="x-none"/>
        </w:rPr>
        <w:tab/>
        <w:t>brak pęknięć i rys w złączu.</w:t>
      </w:r>
    </w:p>
    <w:p w14:paraId="67B28B1D"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Pręty okrągłe żebrowane ze stali gatunkuSt3SX-b wg normy PN-H-84023/01 o następujących parametrach:</w:t>
      </w:r>
    </w:p>
    <w:p w14:paraId="478FC77A" w14:textId="77777777" w:rsidR="000A3B2B" w:rsidRDefault="000A3B2B" w:rsidP="009E5295">
      <w:pPr>
        <w:tabs>
          <w:tab w:val="right" w:pos="6525"/>
        </w:tabs>
        <w:autoSpaceDE w:val="0"/>
        <w:autoSpaceDN w:val="0"/>
        <w:adjustRightInd w:val="0"/>
        <w:spacing w:after="15"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średnica pręta w mm</w:t>
      </w:r>
      <w:r>
        <w:rPr>
          <w:rFonts w:ascii="Arial" w:hAnsi="Arial" w:cs="Arial"/>
          <w:color w:val="000000"/>
          <w:sz w:val="18"/>
          <w:szCs w:val="18"/>
          <w:lang w:val="x-none"/>
        </w:rPr>
        <w:tab/>
        <w:t>5,5÷40</w:t>
      </w:r>
    </w:p>
    <w:p w14:paraId="71E47B65" w14:textId="77777777" w:rsidR="000A3B2B" w:rsidRDefault="000A3B2B" w:rsidP="009E5295">
      <w:pPr>
        <w:tabs>
          <w:tab w:val="right" w:pos="6525"/>
        </w:tabs>
        <w:autoSpaceDE w:val="0"/>
        <w:autoSpaceDN w:val="0"/>
        <w:adjustRightInd w:val="0"/>
        <w:spacing w:after="15"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granica plastyczności Re (min) w </w:t>
      </w:r>
      <w:proofErr w:type="spellStart"/>
      <w:r>
        <w:rPr>
          <w:rFonts w:ascii="Arial" w:hAnsi="Arial" w:cs="Arial"/>
          <w:color w:val="000000"/>
          <w:sz w:val="18"/>
          <w:szCs w:val="18"/>
          <w:lang w:val="x-none"/>
        </w:rPr>
        <w:t>MPa</w:t>
      </w:r>
      <w:proofErr w:type="spellEnd"/>
      <w:r>
        <w:rPr>
          <w:rFonts w:ascii="Arial" w:hAnsi="Arial" w:cs="Arial"/>
          <w:color w:val="000000"/>
          <w:sz w:val="18"/>
          <w:szCs w:val="18"/>
          <w:lang w:val="x-none"/>
        </w:rPr>
        <w:tab/>
        <w:t>240</w:t>
      </w:r>
    </w:p>
    <w:p w14:paraId="655EB6FE" w14:textId="77777777" w:rsidR="000A3B2B" w:rsidRDefault="000A3B2B" w:rsidP="009E5295">
      <w:pPr>
        <w:tabs>
          <w:tab w:val="right" w:pos="6525"/>
        </w:tabs>
        <w:autoSpaceDE w:val="0"/>
        <w:autoSpaceDN w:val="0"/>
        <w:adjustRightInd w:val="0"/>
        <w:spacing w:after="15"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wytrzymałość na rozciąganie </w:t>
      </w:r>
      <w:proofErr w:type="spellStart"/>
      <w:r>
        <w:rPr>
          <w:rFonts w:ascii="Arial" w:hAnsi="Arial" w:cs="Arial"/>
          <w:color w:val="000000"/>
          <w:sz w:val="18"/>
          <w:szCs w:val="18"/>
          <w:lang w:val="x-none"/>
        </w:rPr>
        <w:t>Rm</w:t>
      </w:r>
      <w:proofErr w:type="spellEnd"/>
      <w:r>
        <w:rPr>
          <w:rFonts w:ascii="Arial" w:hAnsi="Arial" w:cs="Arial"/>
          <w:color w:val="000000"/>
          <w:sz w:val="18"/>
          <w:szCs w:val="18"/>
          <w:lang w:val="x-none"/>
        </w:rPr>
        <w:t xml:space="preserve"> (min) w </w:t>
      </w:r>
      <w:proofErr w:type="spellStart"/>
      <w:r>
        <w:rPr>
          <w:rFonts w:ascii="Arial" w:hAnsi="Arial" w:cs="Arial"/>
          <w:color w:val="000000"/>
          <w:sz w:val="18"/>
          <w:szCs w:val="18"/>
          <w:lang w:val="x-none"/>
        </w:rPr>
        <w:t>MPa</w:t>
      </w:r>
      <w:proofErr w:type="spellEnd"/>
      <w:r>
        <w:rPr>
          <w:rFonts w:ascii="Arial" w:hAnsi="Arial" w:cs="Arial"/>
          <w:color w:val="000000"/>
          <w:sz w:val="18"/>
          <w:szCs w:val="18"/>
          <w:lang w:val="x-none"/>
        </w:rPr>
        <w:tab/>
        <w:t>370</w:t>
      </w:r>
    </w:p>
    <w:p w14:paraId="7D9F1E4A" w14:textId="77777777" w:rsidR="000A3B2B" w:rsidRDefault="000A3B2B" w:rsidP="009E5295">
      <w:pPr>
        <w:tabs>
          <w:tab w:val="right" w:pos="6525"/>
        </w:tabs>
        <w:autoSpaceDE w:val="0"/>
        <w:autoSpaceDN w:val="0"/>
        <w:adjustRightInd w:val="0"/>
        <w:spacing w:after="15"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wytrzymałość charakterystyczna w </w:t>
      </w:r>
      <w:proofErr w:type="spellStart"/>
      <w:r>
        <w:rPr>
          <w:rFonts w:ascii="Arial" w:hAnsi="Arial" w:cs="Arial"/>
          <w:color w:val="000000"/>
          <w:sz w:val="18"/>
          <w:szCs w:val="18"/>
          <w:lang w:val="x-none"/>
        </w:rPr>
        <w:t>MPa</w:t>
      </w:r>
      <w:proofErr w:type="spellEnd"/>
      <w:r>
        <w:rPr>
          <w:rFonts w:ascii="Arial" w:hAnsi="Arial" w:cs="Arial"/>
          <w:color w:val="000000"/>
          <w:sz w:val="18"/>
          <w:szCs w:val="18"/>
          <w:lang w:val="x-none"/>
        </w:rPr>
        <w:tab/>
        <w:t>240</w:t>
      </w:r>
    </w:p>
    <w:p w14:paraId="5C59EBED" w14:textId="77777777" w:rsidR="000A3B2B" w:rsidRDefault="000A3B2B" w:rsidP="009E5295">
      <w:pPr>
        <w:tabs>
          <w:tab w:val="right" w:pos="6525"/>
        </w:tabs>
        <w:autoSpaceDE w:val="0"/>
        <w:autoSpaceDN w:val="0"/>
        <w:adjustRightInd w:val="0"/>
        <w:spacing w:after="15"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wytrzymałość obliczeniowa w </w:t>
      </w:r>
      <w:proofErr w:type="spellStart"/>
      <w:r>
        <w:rPr>
          <w:rFonts w:ascii="Arial" w:hAnsi="Arial" w:cs="Arial"/>
          <w:color w:val="000000"/>
          <w:sz w:val="18"/>
          <w:szCs w:val="18"/>
          <w:lang w:val="x-none"/>
        </w:rPr>
        <w:t>MPa</w:t>
      </w:r>
      <w:proofErr w:type="spellEnd"/>
      <w:r>
        <w:rPr>
          <w:rFonts w:ascii="Arial" w:hAnsi="Arial" w:cs="Arial"/>
          <w:color w:val="000000"/>
          <w:sz w:val="18"/>
          <w:szCs w:val="18"/>
          <w:lang w:val="x-none"/>
        </w:rPr>
        <w:tab/>
        <w:t>200</w:t>
      </w:r>
    </w:p>
    <w:p w14:paraId="00BCC46F" w14:textId="77777777" w:rsidR="000A3B2B" w:rsidRDefault="000A3B2B" w:rsidP="009E5295">
      <w:pPr>
        <w:tabs>
          <w:tab w:val="right" w:pos="6525"/>
        </w:tabs>
        <w:autoSpaceDE w:val="0"/>
        <w:autoSpaceDN w:val="0"/>
        <w:adjustRightInd w:val="0"/>
        <w:spacing w:after="15"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wydłużenie (min) w %</w:t>
      </w:r>
      <w:r>
        <w:rPr>
          <w:rFonts w:ascii="Arial" w:hAnsi="Arial" w:cs="Arial"/>
          <w:color w:val="000000"/>
          <w:sz w:val="18"/>
          <w:szCs w:val="18"/>
          <w:lang w:val="x-none"/>
        </w:rPr>
        <w:tab/>
        <w:t>24</w:t>
      </w:r>
    </w:p>
    <w:p w14:paraId="64C887ED" w14:textId="77777777" w:rsidR="000A3B2B" w:rsidRDefault="000A3B2B" w:rsidP="009E5295">
      <w:pPr>
        <w:tabs>
          <w:tab w:val="right" w:pos="6525"/>
        </w:tabs>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zginanie do kąta 180°</w:t>
      </w:r>
      <w:r>
        <w:rPr>
          <w:rFonts w:ascii="Arial" w:hAnsi="Arial" w:cs="Arial"/>
          <w:color w:val="000000"/>
          <w:sz w:val="18"/>
          <w:szCs w:val="18"/>
          <w:lang w:val="x-none"/>
        </w:rPr>
        <w:tab/>
        <w:t>brak pęknięć i rys w złączu.</w:t>
      </w:r>
    </w:p>
    <w:p w14:paraId="7C137260"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Pręty okrągłe gładkie ze stali gatunku St0S-b wg normy PN-H-84023 o następujących parametrach:</w:t>
      </w:r>
    </w:p>
    <w:p w14:paraId="1117CC08" w14:textId="77777777" w:rsidR="000A3B2B" w:rsidRDefault="000A3B2B" w:rsidP="009E5295">
      <w:pPr>
        <w:tabs>
          <w:tab w:val="right" w:pos="6525"/>
        </w:tabs>
        <w:autoSpaceDE w:val="0"/>
        <w:autoSpaceDN w:val="0"/>
        <w:adjustRightInd w:val="0"/>
        <w:spacing w:after="15"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średnica pręta w mm</w:t>
      </w:r>
      <w:r>
        <w:rPr>
          <w:rFonts w:ascii="Arial" w:hAnsi="Arial" w:cs="Arial"/>
          <w:color w:val="000000"/>
          <w:sz w:val="18"/>
          <w:szCs w:val="18"/>
          <w:lang w:val="x-none"/>
        </w:rPr>
        <w:tab/>
        <w:t>5,5÷40</w:t>
      </w:r>
    </w:p>
    <w:p w14:paraId="58FB0BD2" w14:textId="77777777" w:rsidR="000A3B2B" w:rsidRDefault="000A3B2B" w:rsidP="009E5295">
      <w:pPr>
        <w:tabs>
          <w:tab w:val="right" w:pos="6525"/>
        </w:tabs>
        <w:autoSpaceDE w:val="0"/>
        <w:autoSpaceDN w:val="0"/>
        <w:adjustRightInd w:val="0"/>
        <w:spacing w:after="15"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granica plastyczności Re (min) w </w:t>
      </w:r>
      <w:proofErr w:type="spellStart"/>
      <w:r>
        <w:rPr>
          <w:rFonts w:ascii="Arial" w:hAnsi="Arial" w:cs="Arial"/>
          <w:color w:val="000000"/>
          <w:sz w:val="18"/>
          <w:szCs w:val="18"/>
          <w:lang w:val="x-none"/>
        </w:rPr>
        <w:t>MPa</w:t>
      </w:r>
      <w:proofErr w:type="spellEnd"/>
      <w:r>
        <w:rPr>
          <w:rFonts w:ascii="Arial" w:hAnsi="Arial" w:cs="Arial"/>
          <w:color w:val="000000"/>
          <w:sz w:val="18"/>
          <w:szCs w:val="18"/>
          <w:lang w:val="x-none"/>
        </w:rPr>
        <w:tab/>
        <w:t>220</w:t>
      </w:r>
    </w:p>
    <w:p w14:paraId="32016AFB" w14:textId="77777777" w:rsidR="000A3B2B" w:rsidRDefault="000A3B2B" w:rsidP="009E5295">
      <w:pPr>
        <w:tabs>
          <w:tab w:val="right" w:pos="6525"/>
        </w:tabs>
        <w:autoSpaceDE w:val="0"/>
        <w:autoSpaceDN w:val="0"/>
        <w:adjustRightInd w:val="0"/>
        <w:spacing w:after="15"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wytrzymałość na rozciąganie </w:t>
      </w:r>
      <w:proofErr w:type="spellStart"/>
      <w:r>
        <w:rPr>
          <w:rFonts w:ascii="Arial" w:hAnsi="Arial" w:cs="Arial"/>
          <w:color w:val="000000"/>
          <w:sz w:val="18"/>
          <w:szCs w:val="18"/>
          <w:lang w:val="x-none"/>
        </w:rPr>
        <w:t>Rm</w:t>
      </w:r>
      <w:proofErr w:type="spellEnd"/>
      <w:r>
        <w:rPr>
          <w:rFonts w:ascii="Arial" w:hAnsi="Arial" w:cs="Arial"/>
          <w:color w:val="000000"/>
          <w:sz w:val="18"/>
          <w:szCs w:val="18"/>
          <w:lang w:val="x-none"/>
        </w:rPr>
        <w:t xml:space="preserve"> (min) w </w:t>
      </w:r>
      <w:proofErr w:type="spellStart"/>
      <w:r>
        <w:rPr>
          <w:rFonts w:ascii="Arial" w:hAnsi="Arial" w:cs="Arial"/>
          <w:color w:val="000000"/>
          <w:sz w:val="18"/>
          <w:szCs w:val="18"/>
          <w:lang w:val="x-none"/>
        </w:rPr>
        <w:t>MPa</w:t>
      </w:r>
      <w:proofErr w:type="spellEnd"/>
      <w:r>
        <w:rPr>
          <w:rFonts w:ascii="Arial" w:hAnsi="Arial" w:cs="Arial"/>
          <w:color w:val="000000"/>
          <w:sz w:val="18"/>
          <w:szCs w:val="18"/>
          <w:lang w:val="x-none"/>
        </w:rPr>
        <w:tab/>
        <w:t>310</w:t>
      </w:r>
    </w:p>
    <w:p w14:paraId="7B71E40A" w14:textId="77777777" w:rsidR="000A3B2B" w:rsidRDefault="000A3B2B" w:rsidP="009E5295">
      <w:pPr>
        <w:tabs>
          <w:tab w:val="right" w:pos="6525"/>
        </w:tabs>
        <w:autoSpaceDE w:val="0"/>
        <w:autoSpaceDN w:val="0"/>
        <w:adjustRightInd w:val="0"/>
        <w:spacing w:after="15"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wydłużenie (min) w %</w:t>
      </w:r>
      <w:r>
        <w:rPr>
          <w:rFonts w:ascii="Arial" w:hAnsi="Arial" w:cs="Arial"/>
          <w:color w:val="000000"/>
          <w:sz w:val="18"/>
          <w:szCs w:val="18"/>
          <w:lang w:val="x-none"/>
        </w:rPr>
        <w:tab/>
        <w:t>22</w:t>
      </w:r>
    </w:p>
    <w:p w14:paraId="5B465110" w14:textId="77777777" w:rsidR="000A3B2B" w:rsidRDefault="000A3B2B" w:rsidP="009E5295">
      <w:pPr>
        <w:tabs>
          <w:tab w:val="right" w:pos="6525"/>
        </w:tabs>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zginanie do kąta 180°</w:t>
      </w:r>
      <w:r>
        <w:rPr>
          <w:rFonts w:ascii="Arial" w:hAnsi="Arial" w:cs="Arial"/>
          <w:color w:val="000000"/>
          <w:sz w:val="18"/>
          <w:szCs w:val="18"/>
          <w:lang w:val="x-none"/>
        </w:rPr>
        <w:tab/>
        <w:t>brak pęknięć i rys w złączu.</w:t>
      </w:r>
    </w:p>
    <w:p w14:paraId="33A0AF5A"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Powierzchnia walcówki i prętów powinna być bez pęknięć, pęcherzy i naderwań.</w:t>
      </w:r>
    </w:p>
    <w:p w14:paraId="3673CFAF"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Na powierzchni czołowej prętów niedopuszczone są jamy usadowe, rozwarstwienia, pęknięcia widoczne gołym okiem.</w:t>
      </w:r>
    </w:p>
    <w:p w14:paraId="13F34B10" w14:textId="77777777" w:rsidR="000A3B2B" w:rsidRDefault="000A3B2B" w:rsidP="009E529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2.1.3. Wymagania przy odbiorze</w:t>
      </w:r>
    </w:p>
    <w:p w14:paraId="77935A29"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Pręty stalowe do zbrojenia betonu powinny odpowiadać wymaganiom normy PN-H-93215.</w:t>
      </w:r>
    </w:p>
    <w:p w14:paraId="6AF6BD52"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Przeznaczona do odbioru na budowie partia prętów musi być zaopatrzona w atest, w którym mają być podane:</w:t>
      </w:r>
    </w:p>
    <w:p w14:paraId="16C9D852"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nazwa wytwórcy,</w:t>
      </w:r>
    </w:p>
    <w:p w14:paraId="587C7A0F"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oznaczenie wyrobu wg normy PN-H-93215,</w:t>
      </w:r>
    </w:p>
    <w:p w14:paraId="3A637B19"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numer wytopu lub numer partii,</w:t>
      </w:r>
    </w:p>
    <w:p w14:paraId="15764C45"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wszystkie wyniki przeprowadzonych badań oraz skład chemiczny według analizy wytopowej,</w:t>
      </w:r>
    </w:p>
    <w:p w14:paraId="7658B2E7"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masa partii,</w:t>
      </w:r>
    </w:p>
    <w:p w14:paraId="43D43ED4"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rodzaj obróbki cieplnej.</w:t>
      </w:r>
    </w:p>
    <w:p w14:paraId="407B2F0C"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Na przywieszkach metalowych przymocowanych do każdej wiązki prętów lub kręgu prętów (po dwie do każdej wiązki) muszą znajdować się następujące informacje:</w:t>
      </w:r>
    </w:p>
    <w:p w14:paraId="50C8A5A4"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znak wytwórcy,</w:t>
      </w:r>
    </w:p>
    <w:p w14:paraId="3C876CF4"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średnica nominalna,</w:t>
      </w:r>
    </w:p>
    <w:p w14:paraId="326BA774"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znak stali,</w:t>
      </w:r>
    </w:p>
    <w:p w14:paraId="6703ECAC"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numer wytopu lub numer partii,</w:t>
      </w:r>
    </w:p>
    <w:p w14:paraId="1C9B7307"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znak obróbki cieplnej.</w:t>
      </w:r>
    </w:p>
    <w:p w14:paraId="1298A6A4"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p>
    <w:p w14:paraId="053DA5EB"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2.2.</w:t>
      </w:r>
      <w:r>
        <w:rPr>
          <w:rFonts w:ascii="Arial" w:hAnsi="Arial" w:cs="Arial"/>
          <w:b/>
          <w:bCs/>
          <w:color w:val="000000"/>
          <w:sz w:val="18"/>
          <w:szCs w:val="18"/>
          <w:lang w:val="x-none"/>
        </w:rPr>
        <w:tab/>
        <w:t>Drut montażowy</w:t>
      </w:r>
    </w:p>
    <w:p w14:paraId="2912CEA9"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Do montażu prętów zbrojenia należy używać wyżarzonego drutu stalowego, tzw. </w:t>
      </w:r>
      <w:proofErr w:type="spellStart"/>
      <w:r>
        <w:rPr>
          <w:rFonts w:ascii="Arial" w:hAnsi="Arial" w:cs="Arial"/>
          <w:color w:val="000000"/>
          <w:sz w:val="18"/>
          <w:szCs w:val="18"/>
          <w:lang w:val="x-none"/>
        </w:rPr>
        <w:t>wiązałkowego</w:t>
      </w:r>
      <w:proofErr w:type="spellEnd"/>
      <w:r>
        <w:rPr>
          <w:rFonts w:ascii="Arial" w:hAnsi="Arial" w:cs="Arial"/>
          <w:color w:val="000000"/>
          <w:sz w:val="18"/>
          <w:szCs w:val="18"/>
          <w:lang w:val="x-none"/>
        </w:rPr>
        <w:t>.</w:t>
      </w:r>
    </w:p>
    <w:p w14:paraId="518EFC44"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7570927E"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2.3.</w:t>
      </w:r>
      <w:r>
        <w:rPr>
          <w:rFonts w:ascii="Arial" w:hAnsi="Arial" w:cs="Arial"/>
          <w:b/>
          <w:bCs/>
          <w:color w:val="000000"/>
          <w:sz w:val="18"/>
          <w:szCs w:val="18"/>
          <w:lang w:val="x-none"/>
        </w:rPr>
        <w:tab/>
        <w:t>Podkładki dystansowe</w:t>
      </w:r>
    </w:p>
    <w:p w14:paraId="7AB0EB26"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Dopuszcza się stosowanie stabilizatorów i podkładek dystansowych z betonu, stali, oraz z tworzyw sztucznych. Podkładki dystansowe powinny być mocowane do prętów zbrojenia.</w:t>
      </w:r>
    </w:p>
    <w:p w14:paraId="703A08EA"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7D74D970" w14:textId="77777777" w:rsidR="000A3B2B" w:rsidRDefault="000A3B2B" w:rsidP="009E5295">
      <w:pPr>
        <w:autoSpaceDE w:val="0"/>
        <w:autoSpaceDN w:val="0"/>
        <w:adjustRightInd w:val="0"/>
        <w:spacing w:before="225" w:after="12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3.</w:t>
      </w:r>
      <w:r>
        <w:rPr>
          <w:rFonts w:ascii="Arial" w:hAnsi="Arial" w:cs="Arial"/>
          <w:b/>
          <w:bCs/>
          <w:color w:val="000000"/>
          <w:sz w:val="18"/>
          <w:szCs w:val="18"/>
          <w:lang w:val="x-none"/>
        </w:rPr>
        <w:tab/>
        <w:t>WYMAGANIA DOTYCZĄCE SPRZĘTU, MASZYN I NARZĘDZI</w:t>
      </w:r>
    </w:p>
    <w:p w14:paraId="06C69534" w14:textId="77777777" w:rsidR="000A3B2B" w:rsidRDefault="000A3B2B" w:rsidP="009E5295">
      <w:pPr>
        <w:autoSpaceDE w:val="0"/>
        <w:autoSpaceDN w:val="0"/>
        <w:adjustRightInd w:val="0"/>
        <w:spacing w:after="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3.1.</w:t>
      </w:r>
      <w:r>
        <w:rPr>
          <w:rFonts w:ascii="Arial" w:hAnsi="Arial" w:cs="Arial"/>
          <w:b/>
          <w:bCs/>
          <w:color w:val="000000"/>
          <w:sz w:val="18"/>
          <w:szCs w:val="18"/>
          <w:lang w:val="x-none"/>
        </w:rPr>
        <w:tab/>
        <w:t>Ogólne wymagania dotyczące sprzętu podano w ST „Wymagania ogólne” Kod CPV 45000000-7, pkt 3</w:t>
      </w:r>
    </w:p>
    <w:p w14:paraId="0B569495" w14:textId="77777777" w:rsidR="000A3B2B" w:rsidRDefault="000A3B2B" w:rsidP="009E5295">
      <w:pPr>
        <w:autoSpaceDE w:val="0"/>
        <w:autoSpaceDN w:val="0"/>
        <w:adjustRightInd w:val="0"/>
        <w:spacing w:after="0" w:line="240" w:lineRule="auto"/>
        <w:ind w:left="390" w:hanging="390"/>
        <w:jc w:val="both"/>
        <w:rPr>
          <w:rFonts w:ascii="Arial" w:hAnsi="Arial" w:cs="Arial"/>
          <w:b/>
          <w:bCs/>
          <w:color w:val="000000"/>
          <w:sz w:val="18"/>
          <w:szCs w:val="18"/>
          <w:lang w:val="x-none"/>
        </w:rPr>
      </w:pPr>
    </w:p>
    <w:p w14:paraId="138EBD72" w14:textId="77777777" w:rsidR="000A3B2B" w:rsidRDefault="000A3B2B" w:rsidP="009E5295">
      <w:pPr>
        <w:autoSpaceDE w:val="0"/>
        <w:autoSpaceDN w:val="0"/>
        <w:adjustRightInd w:val="0"/>
        <w:spacing w:after="60" w:line="240" w:lineRule="auto"/>
        <w:ind w:left="390" w:hanging="390"/>
        <w:jc w:val="both"/>
        <w:rPr>
          <w:rFonts w:ascii="Arial" w:hAnsi="Arial" w:cs="Arial"/>
          <w:color w:val="000000"/>
          <w:sz w:val="18"/>
          <w:szCs w:val="18"/>
          <w:lang w:val="x-none"/>
        </w:rPr>
      </w:pPr>
      <w:r>
        <w:rPr>
          <w:rFonts w:ascii="Arial" w:hAnsi="Arial" w:cs="Arial"/>
          <w:b/>
          <w:bCs/>
          <w:color w:val="000000"/>
          <w:sz w:val="18"/>
          <w:szCs w:val="18"/>
          <w:lang w:val="x-none"/>
        </w:rPr>
        <w:t xml:space="preserve">3.2.  </w:t>
      </w:r>
      <w:r>
        <w:rPr>
          <w:rFonts w:ascii="Arial" w:hAnsi="Arial" w:cs="Arial"/>
          <w:color w:val="000000"/>
          <w:sz w:val="18"/>
          <w:szCs w:val="18"/>
          <w:lang w:val="x-none"/>
        </w:rPr>
        <w:t xml:space="preserve">Sprzęt używany przy przygotowaniu i montażu zbrojenia wiotkiego w konstrukcjach budowlanych powinien spełniać wymagania obowiązujące w budownictwie ogólnym. W szczególności wszystkie rodzaje sprzętu, jak: giętarki, </w:t>
      </w:r>
      <w:proofErr w:type="spellStart"/>
      <w:r>
        <w:rPr>
          <w:rFonts w:ascii="Arial" w:hAnsi="Arial" w:cs="Arial"/>
          <w:color w:val="000000"/>
          <w:sz w:val="18"/>
          <w:szCs w:val="18"/>
          <w:lang w:val="x-none"/>
        </w:rPr>
        <w:t>prościarki</w:t>
      </w:r>
      <w:proofErr w:type="spellEnd"/>
      <w:r>
        <w:rPr>
          <w:rFonts w:ascii="Arial" w:hAnsi="Arial" w:cs="Arial"/>
          <w:color w:val="000000"/>
          <w:sz w:val="18"/>
          <w:szCs w:val="18"/>
          <w:lang w:val="x-none"/>
        </w:rPr>
        <w:t>, zgrzewarki, spawarki powinny być sprawne oraz posiadać fabryczną gwarancję i instrukcję obsługi. Sprzęt powinien spełniać wymagania BHP, jak przykładowo osłony zębatych i pasowych urządzeń mechanicznych. Miejsca lub elementy szczególnie niebezpieczne dla obsługi powinny być specjalnie oznaczone. Sprzęt ten powinien podlegać kontroli osoby odpowiedzialnej za BHP na budowie. Osoby obsługujące sprzęt powinny być odpowiednio przeszkolone.</w:t>
      </w:r>
    </w:p>
    <w:p w14:paraId="6606836C"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22ECAB3D" w14:textId="77777777" w:rsidR="000A3B2B" w:rsidRDefault="000A3B2B" w:rsidP="009E5295">
      <w:pPr>
        <w:autoSpaceDE w:val="0"/>
        <w:autoSpaceDN w:val="0"/>
        <w:adjustRightInd w:val="0"/>
        <w:spacing w:before="225" w:after="12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4.</w:t>
      </w:r>
      <w:r>
        <w:rPr>
          <w:rFonts w:ascii="Arial" w:hAnsi="Arial" w:cs="Arial"/>
          <w:b/>
          <w:bCs/>
          <w:color w:val="000000"/>
          <w:sz w:val="18"/>
          <w:szCs w:val="18"/>
          <w:lang w:val="x-none"/>
        </w:rPr>
        <w:tab/>
        <w:t>WYMAGANIA DOTYCZĄCE TRANSPORTU</w:t>
      </w:r>
    </w:p>
    <w:p w14:paraId="6C72174D"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 xml:space="preserve">4.1.  Ogólne wymagania dotyczące sprzętu podano w ST „Wymagania ogólne” </w:t>
      </w:r>
      <w:r>
        <w:rPr>
          <w:rFonts w:ascii="Arial" w:hAnsi="Arial" w:cs="Arial"/>
          <w:b/>
          <w:bCs/>
          <w:caps/>
          <w:color w:val="000000"/>
          <w:sz w:val="18"/>
          <w:szCs w:val="18"/>
          <w:lang w:val="x-none"/>
        </w:rPr>
        <w:t>K</w:t>
      </w:r>
      <w:r>
        <w:rPr>
          <w:rFonts w:ascii="Arial" w:hAnsi="Arial" w:cs="Arial"/>
          <w:b/>
          <w:bCs/>
          <w:color w:val="000000"/>
          <w:sz w:val="18"/>
          <w:szCs w:val="18"/>
          <w:lang w:val="x-none"/>
        </w:rPr>
        <w:t>od CPV 45000000-7, pkt 4</w:t>
      </w:r>
    </w:p>
    <w:p w14:paraId="6FF4E47F"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p>
    <w:p w14:paraId="20EEE256" w14:textId="77777777" w:rsidR="000A3B2B" w:rsidRDefault="000A3B2B" w:rsidP="009E5295">
      <w:pPr>
        <w:autoSpaceDE w:val="0"/>
        <w:autoSpaceDN w:val="0"/>
        <w:adjustRightInd w:val="0"/>
        <w:spacing w:after="30" w:line="240" w:lineRule="auto"/>
        <w:ind w:left="390" w:hanging="390"/>
        <w:jc w:val="both"/>
        <w:rPr>
          <w:rFonts w:ascii="Arial" w:hAnsi="Arial" w:cs="Arial"/>
          <w:color w:val="000000"/>
          <w:sz w:val="18"/>
          <w:szCs w:val="18"/>
          <w:lang w:val="x-none"/>
        </w:rPr>
      </w:pPr>
      <w:r>
        <w:rPr>
          <w:rFonts w:ascii="Arial" w:hAnsi="Arial" w:cs="Arial"/>
          <w:b/>
          <w:bCs/>
          <w:color w:val="000000"/>
          <w:sz w:val="18"/>
          <w:szCs w:val="18"/>
          <w:lang w:val="x-none"/>
        </w:rPr>
        <w:t>4.2.</w:t>
      </w:r>
      <w:r>
        <w:rPr>
          <w:rFonts w:ascii="Arial" w:hAnsi="Arial" w:cs="Arial"/>
          <w:color w:val="000000"/>
          <w:sz w:val="18"/>
          <w:szCs w:val="18"/>
          <w:lang w:val="x-none"/>
        </w:rPr>
        <w:tab/>
        <w:t>Pręty do zbrojenia powinny być przewożone odpowiednimi środkami transportu, w sposób zapewniający uniknięcie trwałych odkształceń oraz zgodnie z przepisami BHP i ruchu drogowego.</w:t>
      </w:r>
    </w:p>
    <w:p w14:paraId="076DBD03"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17F8BF4F" w14:textId="77777777" w:rsidR="000A3B2B" w:rsidRDefault="000A3B2B" w:rsidP="009E5295">
      <w:pPr>
        <w:autoSpaceDE w:val="0"/>
        <w:autoSpaceDN w:val="0"/>
        <w:adjustRightInd w:val="0"/>
        <w:spacing w:before="225" w:after="12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5.</w:t>
      </w:r>
      <w:r>
        <w:rPr>
          <w:rFonts w:ascii="Arial" w:hAnsi="Arial" w:cs="Arial"/>
          <w:b/>
          <w:bCs/>
          <w:color w:val="000000"/>
          <w:sz w:val="18"/>
          <w:szCs w:val="18"/>
          <w:lang w:val="x-none"/>
        </w:rPr>
        <w:tab/>
        <w:t>WYMAGANIA DOTYCZĄCE WYKONANIA ROBÓT</w:t>
      </w:r>
    </w:p>
    <w:p w14:paraId="3CCFFB69"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5.1.</w:t>
      </w:r>
      <w:r>
        <w:rPr>
          <w:rFonts w:ascii="Arial" w:hAnsi="Arial" w:cs="Arial"/>
          <w:b/>
          <w:bCs/>
          <w:color w:val="000000"/>
          <w:sz w:val="18"/>
          <w:szCs w:val="18"/>
          <w:lang w:val="x-none"/>
        </w:rPr>
        <w:tab/>
        <w:t xml:space="preserve">Ogólne zasady wykonania robót podano w ST „Wymagania ogólne” </w:t>
      </w:r>
      <w:r>
        <w:rPr>
          <w:rFonts w:ascii="Arial" w:hAnsi="Arial" w:cs="Arial"/>
          <w:b/>
          <w:bCs/>
          <w:caps/>
          <w:color w:val="000000"/>
          <w:sz w:val="18"/>
          <w:szCs w:val="18"/>
          <w:lang w:val="x-none"/>
        </w:rPr>
        <w:t>K</w:t>
      </w:r>
      <w:r>
        <w:rPr>
          <w:rFonts w:ascii="Arial" w:hAnsi="Arial" w:cs="Arial"/>
          <w:b/>
          <w:bCs/>
          <w:color w:val="000000"/>
          <w:sz w:val="18"/>
          <w:szCs w:val="18"/>
          <w:lang w:val="x-none"/>
        </w:rPr>
        <w:t>od CPV 45000000-7, pkt 5</w:t>
      </w:r>
    </w:p>
    <w:p w14:paraId="11ECD073"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4505956F"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5.2.</w:t>
      </w:r>
      <w:r>
        <w:rPr>
          <w:rFonts w:ascii="Arial" w:hAnsi="Arial" w:cs="Arial"/>
          <w:b/>
          <w:bCs/>
          <w:color w:val="000000"/>
          <w:sz w:val="18"/>
          <w:szCs w:val="18"/>
          <w:lang w:val="x-none"/>
        </w:rPr>
        <w:tab/>
        <w:t>Organizacja robót</w:t>
      </w:r>
    </w:p>
    <w:p w14:paraId="02428C02"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Wykonawca przedstawi Inspektorowi nadzoru do akceptacji projekt organizacji i harmonogram robót uwzględniający wszystkie warunki, w jakich będą wykonywane roboty zbrojarskie.</w:t>
      </w:r>
    </w:p>
    <w:p w14:paraId="4E01E38B"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39833BE4"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5.3.</w:t>
      </w:r>
      <w:r>
        <w:rPr>
          <w:rFonts w:ascii="Arial" w:hAnsi="Arial" w:cs="Arial"/>
          <w:b/>
          <w:bCs/>
          <w:color w:val="000000"/>
          <w:sz w:val="18"/>
          <w:szCs w:val="18"/>
          <w:lang w:val="x-none"/>
        </w:rPr>
        <w:tab/>
        <w:t>Przygotowanie zbrojenia</w:t>
      </w:r>
    </w:p>
    <w:p w14:paraId="7A9D75FD" w14:textId="77777777" w:rsidR="000A3B2B" w:rsidRDefault="000A3B2B" w:rsidP="009E529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5.3.1.</w:t>
      </w:r>
      <w:r>
        <w:rPr>
          <w:rFonts w:ascii="Arial" w:hAnsi="Arial" w:cs="Arial"/>
          <w:b/>
          <w:bCs/>
          <w:color w:val="000000"/>
          <w:sz w:val="18"/>
          <w:szCs w:val="18"/>
          <w:lang w:val="x-none"/>
        </w:rPr>
        <w:tab/>
        <w:t>Przygotowanie, montaż i odbiór zbrojenia powinien odpowiadać wymaganiom normy PN 91/5-10042, a klasy i gatunki stali winny być zgodne z dokumentacją projektową.</w:t>
      </w:r>
    </w:p>
    <w:p w14:paraId="05C454CA" w14:textId="77777777" w:rsidR="000A3B2B" w:rsidRDefault="000A3B2B" w:rsidP="009E529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5.3.2.</w:t>
      </w:r>
      <w:r>
        <w:rPr>
          <w:rFonts w:ascii="Arial" w:hAnsi="Arial" w:cs="Arial"/>
          <w:b/>
          <w:bCs/>
          <w:color w:val="000000"/>
          <w:sz w:val="18"/>
          <w:szCs w:val="18"/>
          <w:lang w:val="x-none"/>
        </w:rPr>
        <w:tab/>
        <w:t>Czyszczenie prętów</w:t>
      </w:r>
    </w:p>
    <w:p w14:paraId="57F56FD2"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Pręty przed ich użyciem do zbrojenia konstrukcji należy oczyścić z zendry, luźnych płatków rdzy, kurzu i błota. Pręty zbrojenia zatłuszczone lub zabrudzone farbą olejną można opalać lampami benzynowymi lub czyścić preparatami rozpuszczającymi tłuszcze.</w:t>
      </w:r>
    </w:p>
    <w:p w14:paraId="7DCFAC18"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Stal narażoną na choćby chwilowe działanie słonej wody należy zmyć wodą słodką.</w:t>
      </w:r>
    </w:p>
    <w:p w14:paraId="230A08A3"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Stal pokrytą łuszczącą się rdzą i zabłoconą oczyszcza się szczotkami drucianymi ręcznie lub mechanicznie bądź też przez piaskowanie. Po oczyszczeniu należy sprawdzić wymiary przekroju poprzecznego prętów.</w:t>
      </w:r>
    </w:p>
    <w:p w14:paraId="52FA08B1"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Stal tylko zabrudzoną można zmyć strumieniem wody.</w:t>
      </w:r>
    </w:p>
    <w:p w14:paraId="5D2C3FF9"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Pręty oblodzone odmraża się strumieniem ciepłej wody.</w:t>
      </w:r>
    </w:p>
    <w:p w14:paraId="059F0CDA"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Możliwe są również inne sposoby czyszczenia stali zbrojeniowej akceptowane przez Inspektora nadzoru.</w:t>
      </w:r>
    </w:p>
    <w:p w14:paraId="41BCAF0F" w14:textId="77777777" w:rsidR="000A3B2B" w:rsidRDefault="000A3B2B" w:rsidP="009E529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5.3.3.</w:t>
      </w:r>
      <w:r>
        <w:rPr>
          <w:rFonts w:ascii="Arial" w:hAnsi="Arial" w:cs="Arial"/>
          <w:b/>
          <w:bCs/>
          <w:color w:val="000000"/>
          <w:sz w:val="18"/>
          <w:szCs w:val="18"/>
          <w:lang w:val="x-none"/>
        </w:rPr>
        <w:tab/>
        <w:t>Prostowanie prętów</w:t>
      </w:r>
    </w:p>
    <w:p w14:paraId="7E949E33"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Dopuszcza się prostowanie prętów za pomocą kluczy, młotków, ścianek. Dopuszczalna wielkość miejscowego odchylenia od linii prostej wynosi 4 mm.</w:t>
      </w:r>
    </w:p>
    <w:p w14:paraId="2685FCDF" w14:textId="77777777" w:rsidR="000A3B2B" w:rsidRDefault="000A3B2B" w:rsidP="009E529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5.3.4.</w:t>
      </w:r>
      <w:r>
        <w:rPr>
          <w:rFonts w:ascii="Arial" w:hAnsi="Arial" w:cs="Arial"/>
          <w:b/>
          <w:bCs/>
          <w:color w:val="000000"/>
          <w:sz w:val="18"/>
          <w:szCs w:val="18"/>
          <w:lang w:val="x-none"/>
        </w:rPr>
        <w:tab/>
        <w:t>Cięcie prętów zbrojeniowych</w:t>
      </w:r>
    </w:p>
    <w:p w14:paraId="7D42B1AD"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Cięcie prętów należy wykonywać przy maksymalnym wykorzystaniu materiału. Wskazane jest sporządzenie w tym celu planu cięcia. Cięcia przeprowadza się przy użyciu mechanicznych noży. Dopuszcza się również cięcie palnikiem acetylenowym.</w:t>
      </w:r>
    </w:p>
    <w:p w14:paraId="02A742AC" w14:textId="77777777" w:rsidR="000A3B2B" w:rsidRDefault="000A3B2B" w:rsidP="009E529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5.3.5.</w:t>
      </w:r>
      <w:r>
        <w:rPr>
          <w:rFonts w:ascii="Arial" w:hAnsi="Arial" w:cs="Arial"/>
          <w:b/>
          <w:bCs/>
          <w:color w:val="000000"/>
          <w:sz w:val="18"/>
          <w:szCs w:val="18"/>
          <w:lang w:val="x-none"/>
        </w:rPr>
        <w:tab/>
        <w:t>Odgięcia prętów, haki</w:t>
      </w:r>
    </w:p>
    <w:p w14:paraId="65B567AB"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Minimalne średnice trzpieni używanych przy wykonywaniu haków zbrojenia podaje norma PN-EN 1992-2:2010. Minimalna odległość od krzywizny pręta do miejsca, gdzie można na nim położyć spoinę, wynosi 10d dla stali A-III i A-II lub 5d dla stali A-I. Na zimno na budowie można wykonywać odgięcia prętów o średnicy d ≤ 12 mm. Pręty o średnicy d &gt; 12 mm powinny być odginane z kontrolowanym podgrzewaniem.</w:t>
      </w:r>
    </w:p>
    <w:p w14:paraId="7B570B3F"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 miejscach zagięć i załamań elementów konstrukcji, w których zagięciu ulegają jednocześnie wszystkie pręty zbrojenia rozciąganego, należy stosować średnicę zagięcia równą co najmniej 20d.</w:t>
      </w:r>
    </w:p>
    <w:p w14:paraId="555777F5"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Wewnętrzna średnica odgięcia strzemion i prętów montażowych powinna spełniać warunki podane dla haków. Przy odbiorze haków i odgięć prętów należy zwrócić szczególną uwagę na ich zewnętrzną stronę. Niedopuszczalne są tam pęknięcia powstałe podczas wyginania.</w:t>
      </w:r>
    </w:p>
    <w:p w14:paraId="17A1C673"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 </w:t>
      </w:r>
    </w:p>
    <w:p w14:paraId="3446F874"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5.4.</w:t>
      </w:r>
      <w:r>
        <w:rPr>
          <w:rFonts w:ascii="Arial" w:hAnsi="Arial" w:cs="Arial"/>
          <w:b/>
          <w:bCs/>
          <w:color w:val="000000"/>
          <w:sz w:val="18"/>
          <w:szCs w:val="18"/>
          <w:lang w:val="x-none"/>
        </w:rPr>
        <w:tab/>
        <w:t>Montaż zbrojenia</w:t>
      </w:r>
    </w:p>
    <w:p w14:paraId="21B64958" w14:textId="77777777" w:rsidR="000A3B2B" w:rsidRDefault="000A3B2B" w:rsidP="009E529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5.4.1.</w:t>
      </w:r>
      <w:r>
        <w:rPr>
          <w:rFonts w:ascii="Arial" w:hAnsi="Arial" w:cs="Arial"/>
          <w:b/>
          <w:bCs/>
          <w:color w:val="000000"/>
          <w:sz w:val="18"/>
          <w:szCs w:val="18"/>
          <w:lang w:val="x-none"/>
        </w:rPr>
        <w:tab/>
        <w:t>Wymagania ogólne</w:t>
      </w:r>
    </w:p>
    <w:p w14:paraId="69286838"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Układ zbrojenia w konstrukcji musi umożliwiać jego dokładne otoczenie przez jednorodny beton. Po ułożeniu zbrojenia w deskowaniu rozmieszczenie prętów względem siebie i względem deskowania nie może ulec zmianie. W konstrukcję można wbudować stal pokrytą co najwyżej nalotem niełuszczącej się rdzy.</w:t>
      </w:r>
    </w:p>
    <w:p w14:paraId="4E330F79"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Nie można wbudować stali zatłuszczonej smarami lub innymi środkami chemicznymi, zabrudzonej farbami, zabłoconej i oblodzonej, stali, która była wystawiona na działanie słonej wody.</w:t>
      </w:r>
    </w:p>
    <w:p w14:paraId="17E57AB6"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Minimalna grubość otuliny zewnętrznej w świetle prętów i powierzchni przekroju elementu żelbetowego powinna wynosić co najmniej:</w:t>
      </w:r>
    </w:p>
    <w:p w14:paraId="59A16538"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0,07 m – dla zbrojenia głównego fundamentów i podpór masywnych,</w:t>
      </w:r>
    </w:p>
    <w:p w14:paraId="1FB4EBAA"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0,055 m – dla strzemion fundamentów i podpór masywnych,</w:t>
      </w:r>
    </w:p>
    <w:p w14:paraId="7AC195D2"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0,05 m – dla prętów głównych lekkich podpór i pali,</w:t>
      </w:r>
    </w:p>
    <w:p w14:paraId="6F9D9AEA"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0,03 m – dla zbrojenia głównego ram, belek, pociągów, gzymsów,</w:t>
      </w:r>
    </w:p>
    <w:p w14:paraId="0C4CE624"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0,025 m – dla strzemion ram, belek, podciągów i zbrojenia płyt, gzymsów.</w:t>
      </w:r>
    </w:p>
    <w:p w14:paraId="7D25B28A"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Układanie zbrojenia bezpośrednio na deskowaniu i podnoszenie na odpowiednią wysokość w trakcie betonowania jest niedopuszczalne.</w:t>
      </w:r>
    </w:p>
    <w:p w14:paraId="2A3F5291"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Niedopuszczalne jest chodzenie po wykonanym szkielecie zbrojeniowym.</w:t>
      </w:r>
    </w:p>
    <w:p w14:paraId="5A4F5705" w14:textId="77777777" w:rsidR="000A3B2B" w:rsidRDefault="000A3B2B" w:rsidP="009E529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5.4.2.</w:t>
      </w:r>
      <w:r>
        <w:rPr>
          <w:rFonts w:ascii="Arial" w:hAnsi="Arial" w:cs="Arial"/>
          <w:b/>
          <w:bCs/>
          <w:color w:val="000000"/>
          <w:sz w:val="18"/>
          <w:szCs w:val="18"/>
          <w:lang w:val="x-none"/>
        </w:rPr>
        <w:tab/>
        <w:t>Montowanie zbrojenia</w:t>
      </w:r>
    </w:p>
    <w:p w14:paraId="30CA4C8F"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Pręty zbrojenia należy łączyć w sposób określony w dokumentacji projektowej.</w:t>
      </w:r>
    </w:p>
    <w:p w14:paraId="5BE7D972"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 xml:space="preserve">Skrzyżowania prętów należy wiązać drutem </w:t>
      </w:r>
      <w:proofErr w:type="spellStart"/>
      <w:r>
        <w:rPr>
          <w:rFonts w:ascii="Arial" w:hAnsi="Arial" w:cs="Arial"/>
          <w:color w:val="000000"/>
          <w:sz w:val="18"/>
          <w:szCs w:val="18"/>
          <w:lang w:val="x-none"/>
        </w:rPr>
        <w:t>wiązałkowym</w:t>
      </w:r>
      <w:proofErr w:type="spellEnd"/>
      <w:r>
        <w:rPr>
          <w:rFonts w:ascii="Arial" w:hAnsi="Arial" w:cs="Arial"/>
          <w:color w:val="000000"/>
          <w:sz w:val="18"/>
          <w:szCs w:val="18"/>
          <w:lang w:val="x-none"/>
        </w:rPr>
        <w:t xml:space="preserve">, zgrzewać lub łączyć tzw. słupkami dystansowymi. Drut </w:t>
      </w:r>
      <w:proofErr w:type="spellStart"/>
      <w:r>
        <w:rPr>
          <w:rFonts w:ascii="Arial" w:hAnsi="Arial" w:cs="Arial"/>
          <w:color w:val="000000"/>
          <w:sz w:val="18"/>
          <w:szCs w:val="18"/>
          <w:lang w:val="x-none"/>
        </w:rPr>
        <w:t>wiązałkowy</w:t>
      </w:r>
      <w:proofErr w:type="spellEnd"/>
      <w:r>
        <w:rPr>
          <w:rFonts w:ascii="Arial" w:hAnsi="Arial" w:cs="Arial"/>
          <w:color w:val="000000"/>
          <w:sz w:val="18"/>
          <w:szCs w:val="18"/>
          <w:lang w:val="x-none"/>
        </w:rPr>
        <w:t>, wyżarzony o średnicy 1 mm, używa się do łączenia prętów o średnicy do 12 m, przy średnicach większych należy stosować drut o średnicy 1,5 mm.</w:t>
      </w:r>
    </w:p>
    <w:p w14:paraId="688DDFE6"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 szkieletach zbrojenia belek i słupów należy łączyć wszystkie skrzyżowania prętów narożnych ze strzemionami, a pozostałych prętów – na przemian.</w:t>
      </w:r>
    </w:p>
    <w:p w14:paraId="25D37391"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3C054290" w14:textId="77777777" w:rsidR="000A3B2B" w:rsidRDefault="000A3B2B" w:rsidP="009E5295">
      <w:pPr>
        <w:autoSpaceDE w:val="0"/>
        <w:autoSpaceDN w:val="0"/>
        <w:adjustRightInd w:val="0"/>
        <w:spacing w:before="225" w:after="12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6.</w:t>
      </w:r>
      <w:r>
        <w:rPr>
          <w:rFonts w:ascii="Arial" w:hAnsi="Arial" w:cs="Arial"/>
          <w:b/>
          <w:bCs/>
          <w:color w:val="000000"/>
          <w:sz w:val="18"/>
          <w:szCs w:val="18"/>
          <w:lang w:val="x-none"/>
        </w:rPr>
        <w:tab/>
        <w:t>KONTROLA JAKOŚCI ROBÓT</w:t>
      </w:r>
    </w:p>
    <w:p w14:paraId="30D773B1"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6.1.</w:t>
      </w:r>
      <w:r>
        <w:rPr>
          <w:rFonts w:ascii="Arial" w:hAnsi="Arial" w:cs="Arial"/>
          <w:b/>
          <w:bCs/>
          <w:color w:val="000000"/>
          <w:sz w:val="18"/>
          <w:szCs w:val="18"/>
          <w:lang w:val="x-none"/>
        </w:rPr>
        <w:tab/>
        <w:t xml:space="preserve">Ogólne zasady kontroli jakości robót podano w ST „Wymagania ogólne” </w:t>
      </w:r>
      <w:r>
        <w:rPr>
          <w:rFonts w:ascii="Arial" w:hAnsi="Arial" w:cs="Arial"/>
          <w:b/>
          <w:bCs/>
          <w:caps/>
          <w:color w:val="000000"/>
          <w:sz w:val="18"/>
          <w:szCs w:val="18"/>
          <w:lang w:val="x-none"/>
        </w:rPr>
        <w:t>K</w:t>
      </w:r>
      <w:r>
        <w:rPr>
          <w:rFonts w:ascii="Arial" w:hAnsi="Arial" w:cs="Arial"/>
          <w:b/>
          <w:bCs/>
          <w:color w:val="000000"/>
          <w:sz w:val="18"/>
          <w:szCs w:val="18"/>
          <w:lang w:val="x-none"/>
        </w:rPr>
        <w:t>od CPV 45000000-7, pkt 6</w:t>
      </w:r>
    </w:p>
    <w:p w14:paraId="547E1DEC"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p>
    <w:p w14:paraId="054ED1A9" w14:textId="77777777" w:rsidR="000A3B2B" w:rsidRDefault="000A3B2B" w:rsidP="009E5295">
      <w:pPr>
        <w:autoSpaceDE w:val="0"/>
        <w:autoSpaceDN w:val="0"/>
        <w:adjustRightInd w:val="0"/>
        <w:spacing w:after="60" w:line="240" w:lineRule="auto"/>
        <w:ind w:left="390" w:hanging="390"/>
        <w:jc w:val="both"/>
        <w:rPr>
          <w:rFonts w:ascii="Arial" w:hAnsi="Arial" w:cs="Arial"/>
          <w:color w:val="000000"/>
          <w:sz w:val="18"/>
          <w:szCs w:val="18"/>
          <w:lang w:val="x-none"/>
        </w:rPr>
      </w:pPr>
      <w:r>
        <w:rPr>
          <w:rFonts w:ascii="Arial" w:hAnsi="Arial" w:cs="Arial"/>
          <w:b/>
          <w:bCs/>
          <w:color w:val="000000"/>
          <w:sz w:val="18"/>
          <w:szCs w:val="18"/>
          <w:lang w:val="x-none"/>
        </w:rPr>
        <w:t>6.2.</w:t>
      </w:r>
      <w:r>
        <w:rPr>
          <w:rFonts w:ascii="Arial" w:hAnsi="Arial" w:cs="Arial"/>
          <w:b/>
          <w:bCs/>
          <w:color w:val="000000"/>
          <w:sz w:val="18"/>
          <w:szCs w:val="18"/>
          <w:lang w:val="x-none"/>
        </w:rPr>
        <w:tab/>
      </w:r>
      <w:r>
        <w:rPr>
          <w:rFonts w:ascii="Arial" w:hAnsi="Arial" w:cs="Arial"/>
          <w:color w:val="000000"/>
          <w:sz w:val="18"/>
          <w:szCs w:val="18"/>
          <w:lang w:val="x-none"/>
        </w:rPr>
        <w:t>Kontrola jakości robót wykonania zbrojenia polega na sprawdzeniu zgodności z dokumentacją projektową oraz podanymi powyżej wymaganiami. Zbrojenie podlega odbiorowi przed betonowaniem.</w:t>
      </w:r>
    </w:p>
    <w:p w14:paraId="3BCDFB97"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Przy odbiorze stali dostarczonej na budowę należy przeprowadzić następujące badania:</w:t>
      </w:r>
    </w:p>
    <w:p w14:paraId="6839965C"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sprawdzenie zgodności przywieszek z zamówieniem,</w:t>
      </w:r>
    </w:p>
    <w:p w14:paraId="044A44B5"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sprawdzenie stanu powierzchni wg normy PN-H-93215,</w:t>
      </w:r>
    </w:p>
    <w:p w14:paraId="303A7BD8"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sprawdzenie wymiarów wg normy PN-H-93215,</w:t>
      </w:r>
    </w:p>
    <w:p w14:paraId="4EADC7C3"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sprawdzenie masy wg normy PN-H-93215,</w:t>
      </w:r>
    </w:p>
    <w:p w14:paraId="7BD569D0"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próba rozciągania wg normy PN-EN ISO 6892-1:2016-09 </w:t>
      </w:r>
      <w:r>
        <w:rPr>
          <w:rFonts w:ascii="Arial" w:hAnsi="Arial" w:cs="Arial"/>
          <w:i/>
          <w:iCs/>
          <w:color w:val="000000"/>
          <w:sz w:val="18"/>
          <w:szCs w:val="18"/>
          <w:lang w:val="x-none"/>
        </w:rPr>
        <w:t>(wersja angielska)</w:t>
      </w:r>
      <w:r>
        <w:rPr>
          <w:rFonts w:ascii="Arial" w:hAnsi="Arial" w:cs="Arial"/>
          <w:color w:val="000000"/>
          <w:sz w:val="18"/>
          <w:szCs w:val="18"/>
          <w:lang w:val="x-none"/>
        </w:rPr>
        <w:t>,</w:t>
      </w:r>
    </w:p>
    <w:p w14:paraId="454958EF"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próba zginania na zimno wg normy PN-EN ISO 7438:2016-03.</w:t>
      </w:r>
    </w:p>
    <w:p w14:paraId="29E592C8"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Do badania należy pobrać minimum 3 próbki z każdego kręgu lub wiązki. Próbki należy pobrać z różnych miejsc kręgu.</w:t>
      </w:r>
    </w:p>
    <w:p w14:paraId="673CC0D8"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Jakość prętów należy ocenić pozytywnie, jeżeli wszystkie badania odbiorcze dadzą wynik pozytywny.</w:t>
      </w:r>
    </w:p>
    <w:p w14:paraId="20BF1588"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Dopuszczalne tolerancje wymiarów w zakresie cięcia, gięcia i rozmieszczenia zbrojenia podano poniżej.</w:t>
      </w:r>
    </w:p>
    <w:p w14:paraId="5DA9CDEF"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Usytuowanie prętów:</w:t>
      </w:r>
    </w:p>
    <w:p w14:paraId="564E2742"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otulenie wkładek według projektu zwiększone maksymalnie 5 mm, nie przewiduje się zmniejszenia grubości otuliny,</w:t>
      </w:r>
    </w:p>
    <w:p w14:paraId="0F44FC3A"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rozstaw prętów w świetle: 10 mm,</w:t>
      </w:r>
    </w:p>
    <w:p w14:paraId="648CEA1A"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odstęp od czoła elementu lub konstrukcji: ±10 mm,</w:t>
      </w:r>
    </w:p>
    <w:p w14:paraId="0CFDC7A8"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długość pręta między odgięciami: ±10 mm,</w:t>
      </w:r>
    </w:p>
    <w:p w14:paraId="7EE13432"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miejscowe wykrzywienie: ±5 mm.</w:t>
      </w:r>
    </w:p>
    <w:p w14:paraId="209C5CE6"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Poprzeczki pod kable należy wykonać z dokładnością: ±1 mm (wzajemne odległości mierzone w przekroju poprzecznym).</w:t>
      </w:r>
    </w:p>
    <w:p w14:paraId="29A4AB6A"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Niezależnie od tolerancji podanych powyżej obowiązują następujące wymagania:</w:t>
      </w:r>
    </w:p>
    <w:p w14:paraId="2D50BC67"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dopuszczalne odchylenie strzemion od linii prostopadłej do zbrojenia głównego nie powinno przekraczać 3%,</w:t>
      </w:r>
    </w:p>
    <w:p w14:paraId="0D588C6B"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liczba uszkodzonych skrzyżowań na jednym pręcie nie może przekraczać 25% ogólnej ich liczby na tym pręcie,</w:t>
      </w:r>
    </w:p>
    <w:p w14:paraId="190FA5E9"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różnica w rozstawie między prętami głównymi nie powinna przekraczać ±0,5 cm,</w:t>
      </w:r>
    </w:p>
    <w:p w14:paraId="085CA89A"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różnice w rozstawie strzemion nie powinny przekraczać ±2 cm.</w:t>
      </w:r>
    </w:p>
    <w:p w14:paraId="65BCBDF6"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14D0720B" w14:textId="77777777" w:rsidR="000A3B2B" w:rsidRDefault="000A3B2B" w:rsidP="009E5295">
      <w:pPr>
        <w:autoSpaceDE w:val="0"/>
        <w:autoSpaceDN w:val="0"/>
        <w:adjustRightInd w:val="0"/>
        <w:spacing w:before="225" w:after="12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7.</w:t>
      </w:r>
      <w:r>
        <w:rPr>
          <w:rFonts w:ascii="Arial" w:hAnsi="Arial" w:cs="Arial"/>
          <w:b/>
          <w:bCs/>
          <w:color w:val="000000"/>
          <w:sz w:val="18"/>
          <w:szCs w:val="18"/>
          <w:lang w:val="x-none"/>
        </w:rPr>
        <w:tab/>
        <w:t xml:space="preserve">WYMAGANIA DOTYCZĄCE PRZEDMIARU I OBMIARU ROBÓT </w:t>
      </w:r>
    </w:p>
    <w:p w14:paraId="1BB3C426"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7.1.</w:t>
      </w:r>
      <w:r>
        <w:rPr>
          <w:rFonts w:ascii="Arial" w:hAnsi="Arial" w:cs="Arial"/>
          <w:b/>
          <w:bCs/>
          <w:color w:val="000000"/>
          <w:sz w:val="18"/>
          <w:szCs w:val="18"/>
          <w:lang w:val="x-none"/>
        </w:rPr>
        <w:tab/>
        <w:t xml:space="preserve">Ogólne zasady obmiaru robót podano w ST „Wymagania ogólne” </w:t>
      </w:r>
      <w:r>
        <w:rPr>
          <w:rFonts w:ascii="Arial" w:hAnsi="Arial" w:cs="Arial"/>
          <w:b/>
          <w:bCs/>
          <w:caps/>
          <w:color w:val="000000"/>
          <w:sz w:val="18"/>
          <w:szCs w:val="18"/>
          <w:lang w:val="x-none"/>
        </w:rPr>
        <w:t>K</w:t>
      </w:r>
      <w:r>
        <w:rPr>
          <w:rFonts w:ascii="Arial" w:hAnsi="Arial" w:cs="Arial"/>
          <w:b/>
          <w:bCs/>
          <w:color w:val="000000"/>
          <w:sz w:val="18"/>
          <w:szCs w:val="18"/>
          <w:lang w:val="x-none"/>
        </w:rPr>
        <w:t>od CPV 45000000-7, pkt 7</w:t>
      </w:r>
    </w:p>
    <w:p w14:paraId="5A78A977"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620A14E4"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7.2.</w:t>
      </w:r>
      <w:r>
        <w:rPr>
          <w:rFonts w:ascii="Arial" w:hAnsi="Arial" w:cs="Arial"/>
          <w:b/>
          <w:bCs/>
          <w:color w:val="000000"/>
          <w:sz w:val="18"/>
          <w:szCs w:val="18"/>
          <w:lang w:val="x-none"/>
        </w:rPr>
        <w:tab/>
        <w:t>Jednostka obmiarowa</w:t>
      </w:r>
    </w:p>
    <w:p w14:paraId="37D066CA"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Jednostką obmiarową jest 1 kilogram. Do obliczania należności przyjmuje się teoretyczną ilość (kg) zmontowanego uzbrojenia, tj. łączną długość prętów poszczególnych średnic pomnożoną odpowiednio przez ich masę jednostkową (kg/m). Nie dolicza się stali użytej na zakłady przy łączeniu prętów, przekładek montażowych ani drutu </w:t>
      </w:r>
      <w:proofErr w:type="spellStart"/>
      <w:r>
        <w:rPr>
          <w:rFonts w:ascii="Arial" w:hAnsi="Arial" w:cs="Arial"/>
          <w:color w:val="000000"/>
          <w:sz w:val="18"/>
          <w:szCs w:val="18"/>
          <w:lang w:val="x-none"/>
        </w:rPr>
        <w:t>wiązałkowego</w:t>
      </w:r>
      <w:proofErr w:type="spellEnd"/>
      <w:r>
        <w:rPr>
          <w:rFonts w:ascii="Arial" w:hAnsi="Arial" w:cs="Arial"/>
          <w:color w:val="000000"/>
          <w:sz w:val="18"/>
          <w:szCs w:val="18"/>
          <w:lang w:val="x-none"/>
        </w:rPr>
        <w:t>. Nie uwzględnia się też zwiększonej ilości materiału w wyniku stosowania przez Wykonawcę prętów o średnicach większych od wymaganych w dokumentacji projektowej.</w:t>
      </w:r>
    </w:p>
    <w:p w14:paraId="510425CE"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272B222F" w14:textId="77777777" w:rsidR="000A3B2B" w:rsidRDefault="000A3B2B" w:rsidP="009E5295">
      <w:pPr>
        <w:autoSpaceDE w:val="0"/>
        <w:autoSpaceDN w:val="0"/>
        <w:adjustRightInd w:val="0"/>
        <w:spacing w:before="225" w:after="12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8.</w:t>
      </w:r>
      <w:r>
        <w:rPr>
          <w:rFonts w:ascii="Arial" w:hAnsi="Arial" w:cs="Arial"/>
          <w:b/>
          <w:bCs/>
          <w:color w:val="000000"/>
          <w:sz w:val="18"/>
          <w:szCs w:val="18"/>
          <w:lang w:val="x-none"/>
        </w:rPr>
        <w:tab/>
        <w:t>SPOSÓB ODBIORU ROBÓT</w:t>
      </w:r>
    </w:p>
    <w:p w14:paraId="3CCB3074"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8.1.</w:t>
      </w:r>
      <w:r>
        <w:rPr>
          <w:rFonts w:ascii="Arial" w:hAnsi="Arial" w:cs="Arial"/>
          <w:b/>
          <w:bCs/>
          <w:color w:val="000000"/>
          <w:sz w:val="18"/>
          <w:szCs w:val="18"/>
          <w:lang w:val="x-none"/>
        </w:rPr>
        <w:tab/>
        <w:t xml:space="preserve">Ogólne zasady odbioru robót podano w ST „Wymagania ogólne” </w:t>
      </w:r>
      <w:r>
        <w:rPr>
          <w:rFonts w:ascii="Arial" w:hAnsi="Arial" w:cs="Arial"/>
          <w:b/>
          <w:bCs/>
          <w:caps/>
          <w:color w:val="000000"/>
          <w:sz w:val="18"/>
          <w:szCs w:val="18"/>
          <w:lang w:val="x-none"/>
        </w:rPr>
        <w:t>K</w:t>
      </w:r>
      <w:r>
        <w:rPr>
          <w:rFonts w:ascii="Arial" w:hAnsi="Arial" w:cs="Arial"/>
          <w:b/>
          <w:bCs/>
          <w:color w:val="000000"/>
          <w:sz w:val="18"/>
          <w:szCs w:val="18"/>
          <w:lang w:val="x-none"/>
        </w:rPr>
        <w:t>od CPV 45000000-7, pkt 8.</w:t>
      </w:r>
    </w:p>
    <w:p w14:paraId="5A0EA1A3"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7E5BDFB3"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8.2.</w:t>
      </w:r>
      <w:r>
        <w:rPr>
          <w:rFonts w:ascii="Arial" w:hAnsi="Arial" w:cs="Arial"/>
          <w:b/>
          <w:bCs/>
          <w:color w:val="000000"/>
          <w:sz w:val="18"/>
          <w:szCs w:val="18"/>
          <w:lang w:val="x-none"/>
        </w:rPr>
        <w:tab/>
        <w:t>Zgodność robót z dokumentacją projektową i ST</w:t>
      </w:r>
    </w:p>
    <w:p w14:paraId="25A1CF0A"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Roboty powinny być wykonane zgodnie z dokumentacją projektową i ST oraz pisemnymi poleceniami Inspektora nadzoru.</w:t>
      </w:r>
    </w:p>
    <w:p w14:paraId="4B907398"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7FAF7A90"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8.3.</w:t>
      </w:r>
      <w:r>
        <w:rPr>
          <w:rFonts w:ascii="Arial" w:hAnsi="Arial" w:cs="Arial"/>
          <w:b/>
          <w:bCs/>
          <w:color w:val="000000"/>
          <w:sz w:val="18"/>
          <w:szCs w:val="18"/>
          <w:lang w:val="x-none"/>
        </w:rPr>
        <w:tab/>
        <w:t>Odbiór robót zanikających i ulegających zakryciu</w:t>
      </w:r>
    </w:p>
    <w:p w14:paraId="09FDD92E" w14:textId="77777777" w:rsidR="000A3B2B" w:rsidRDefault="000A3B2B" w:rsidP="009E529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8.3.1.</w:t>
      </w:r>
      <w:r>
        <w:rPr>
          <w:rFonts w:ascii="Arial" w:hAnsi="Arial" w:cs="Arial"/>
          <w:b/>
          <w:bCs/>
          <w:color w:val="000000"/>
          <w:sz w:val="18"/>
          <w:szCs w:val="18"/>
          <w:lang w:val="x-none"/>
        </w:rPr>
        <w:tab/>
        <w:t>Dokumenty i dane</w:t>
      </w:r>
    </w:p>
    <w:p w14:paraId="6A817EB8"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Podstawą odbioru robót zanikających lub ulegających zakryciu są:</w:t>
      </w:r>
    </w:p>
    <w:p w14:paraId="04E73DDA"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pisemne stwierdzenie Inspektora nadzoru w dzienniku budowy o wykonaniu robót zgodnie z dokumentacją projektową i ST,</w:t>
      </w:r>
    </w:p>
    <w:p w14:paraId="363C81FA"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inne pisemne stwierdzenia Inspektora nadzoru o wykonaniu robót.</w:t>
      </w:r>
    </w:p>
    <w:p w14:paraId="4A532CFC" w14:textId="77777777" w:rsidR="000A3B2B" w:rsidRDefault="000A3B2B" w:rsidP="009E529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8.3.2.</w:t>
      </w:r>
      <w:r>
        <w:rPr>
          <w:rFonts w:ascii="Arial" w:hAnsi="Arial" w:cs="Arial"/>
          <w:b/>
          <w:bCs/>
          <w:color w:val="000000"/>
          <w:sz w:val="18"/>
          <w:szCs w:val="18"/>
          <w:lang w:val="x-none"/>
        </w:rPr>
        <w:tab/>
        <w:t>Zakres robót</w:t>
      </w:r>
    </w:p>
    <w:p w14:paraId="73F19F3A"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Zakres robót zanikających lub ulegających zakryciu określają pisemne stwierdzenia Inspektora nadzoru lub inne potwierdzone przez niego dokumenty.</w:t>
      </w:r>
    </w:p>
    <w:p w14:paraId="1776728D"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36155614"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8.4.</w:t>
      </w:r>
      <w:r>
        <w:rPr>
          <w:rFonts w:ascii="Arial" w:hAnsi="Arial" w:cs="Arial"/>
          <w:b/>
          <w:bCs/>
          <w:color w:val="000000"/>
          <w:sz w:val="18"/>
          <w:szCs w:val="18"/>
          <w:lang w:val="x-none"/>
        </w:rPr>
        <w:tab/>
        <w:t>Odbiór końcowy</w:t>
      </w:r>
    </w:p>
    <w:p w14:paraId="6B940259"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Odbiór końcowy odbywa się po pisemnym stwierdzeniu przez Inspektora nadzoru w dzienniku budowy zakończenia robót zbrojarskich i pisemnego zezwolenia Inspektora nadzoru na rozpoczęcie betonowania elementów, których zbrojenie podlega odbiorowi.</w:t>
      </w:r>
    </w:p>
    <w:p w14:paraId="282AFC4E"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Odbiór powinien polegać na sprawdzeniu:</w:t>
      </w:r>
    </w:p>
    <w:p w14:paraId="141E0C70"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zgodności wykonania zbrojenia z dokumentacją projektową,</w:t>
      </w:r>
    </w:p>
    <w:p w14:paraId="5FCFDED5"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zgodności z dokumentacją projektową liczby prętów w poszczególnych przekrojach,</w:t>
      </w:r>
    </w:p>
    <w:p w14:paraId="44A4696B"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rozstawu strzemion,</w:t>
      </w:r>
    </w:p>
    <w:p w14:paraId="726D181E"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prawidłowości wykonania haków, złącz i długości zakotwień prętów,</w:t>
      </w:r>
    </w:p>
    <w:p w14:paraId="5E432677"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zachowania wymaganej projektem otuliny zbrojenia.</w:t>
      </w:r>
    </w:p>
    <w:p w14:paraId="51278EE7"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 xml:space="preserve">Do odbioru robót mają zastosowanie postanowienia zawarte w ST „Wymagania ogólne” </w:t>
      </w:r>
      <w:r>
        <w:rPr>
          <w:rFonts w:ascii="Arial" w:hAnsi="Arial" w:cs="Arial"/>
          <w:caps/>
          <w:color w:val="000000"/>
          <w:sz w:val="18"/>
          <w:szCs w:val="18"/>
          <w:lang w:val="x-none"/>
        </w:rPr>
        <w:t>K</w:t>
      </w:r>
      <w:r>
        <w:rPr>
          <w:rFonts w:ascii="Arial" w:hAnsi="Arial" w:cs="Arial"/>
          <w:color w:val="000000"/>
          <w:sz w:val="18"/>
          <w:szCs w:val="18"/>
          <w:lang w:val="x-none"/>
        </w:rPr>
        <w:t>od CPV 45000000-7, pkt 8.</w:t>
      </w:r>
    </w:p>
    <w:p w14:paraId="75A20E6E"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 </w:t>
      </w:r>
    </w:p>
    <w:p w14:paraId="65107BFC" w14:textId="77777777" w:rsidR="000A3B2B" w:rsidRDefault="000A3B2B" w:rsidP="009E5295">
      <w:pPr>
        <w:autoSpaceDE w:val="0"/>
        <w:autoSpaceDN w:val="0"/>
        <w:adjustRightInd w:val="0"/>
        <w:spacing w:before="225" w:after="12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9.</w:t>
      </w:r>
      <w:r>
        <w:rPr>
          <w:rFonts w:ascii="Arial" w:hAnsi="Arial" w:cs="Arial"/>
          <w:b/>
          <w:bCs/>
          <w:color w:val="000000"/>
          <w:sz w:val="18"/>
          <w:szCs w:val="18"/>
          <w:lang w:val="x-none"/>
        </w:rPr>
        <w:tab/>
        <w:t>PODSTAWA ROZLICZENIA ROBÓT</w:t>
      </w:r>
    </w:p>
    <w:p w14:paraId="44714D49"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9.1.</w:t>
      </w:r>
      <w:r>
        <w:rPr>
          <w:rFonts w:ascii="Arial" w:hAnsi="Arial" w:cs="Arial"/>
          <w:b/>
          <w:bCs/>
          <w:color w:val="000000"/>
          <w:sz w:val="18"/>
          <w:szCs w:val="18"/>
          <w:lang w:val="x-none"/>
        </w:rPr>
        <w:tab/>
        <w:t xml:space="preserve">Ogólne ustalenia dotyczące podstawy płatności podano w ST „Wymagania ogólne” </w:t>
      </w:r>
      <w:r>
        <w:rPr>
          <w:rFonts w:ascii="Arial" w:hAnsi="Arial" w:cs="Arial"/>
          <w:b/>
          <w:bCs/>
          <w:caps/>
          <w:color w:val="000000"/>
          <w:sz w:val="18"/>
          <w:szCs w:val="18"/>
          <w:lang w:val="x-none"/>
        </w:rPr>
        <w:t>K</w:t>
      </w:r>
      <w:r>
        <w:rPr>
          <w:rFonts w:ascii="Arial" w:hAnsi="Arial" w:cs="Arial"/>
          <w:b/>
          <w:bCs/>
          <w:color w:val="000000"/>
          <w:sz w:val="18"/>
          <w:szCs w:val="18"/>
          <w:lang w:val="x-none"/>
        </w:rPr>
        <w:t>od CPV 45000000-7, pkt 9</w:t>
      </w:r>
    </w:p>
    <w:p w14:paraId="49AEC216"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5058944B"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9.2.</w:t>
      </w:r>
      <w:r>
        <w:rPr>
          <w:rFonts w:ascii="Arial" w:hAnsi="Arial" w:cs="Arial"/>
          <w:b/>
          <w:bCs/>
          <w:color w:val="000000"/>
          <w:sz w:val="18"/>
          <w:szCs w:val="18"/>
          <w:lang w:val="x-none"/>
        </w:rPr>
        <w:tab/>
        <w:t>Cena jednostkowa</w:t>
      </w:r>
    </w:p>
    <w:p w14:paraId="713DD3F7"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Cena jednostkowa obejmuje:</w:t>
      </w:r>
    </w:p>
    <w:p w14:paraId="6BF998F3"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zapewnienie niezbędnych czynników produkcji,</w:t>
      </w:r>
    </w:p>
    <w:p w14:paraId="616D839C"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oczyszczenie i wyprostowanie, wygięcie, przycinanie prętów stalowych,</w:t>
      </w:r>
    </w:p>
    <w:p w14:paraId="415ECFB6"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łączenie prętów, w tym spawane „na styk” lub „na zakład”,</w:t>
      </w:r>
    </w:p>
    <w:p w14:paraId="6D53635D"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montaż zbrojenia przy użyciu drutu </w:t>
      </w:r>
      <w:proofErr w:type="spellStart"/>
      <w:r>
        <w:rPr>
          <w:rFonts w:ascii="Arial" w:hAnsi="Arial" w:cs="Arial"/>
          <w:color w:val="000000"/>
          <w:sz w:val="18"/>
          <w:szCs w:val="18"/>
          <w:lang w:val="x-none"/>
        </w:rPr>
        <w:t>wiązałkowego</w:t>
      </w:r>
      <w:proofErr w:type="spellEnd"/>
      <w:r>
        <w:rPr>
          <w:rFonts w:ascii="Arial" w:hAnsi="Arial" w:cs="Arial"/>
          <w:color w:val="000000"/>
          <w:sz w:val="18"/>
          <w:szCs w:val="18"/>
          <w:lang w:val="x-none"/>
        </w:rPr>
        <w:t xml:space="preserve"> w deskowaniu zgodnie z dokumentacją projektową i niniejszą ST,</w:t>
      </w:r>
    </w:p>
    <w:p w14:paraId="3317D65B"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wykonanie badań i pomiarów,</w:t>
      </w:r>
    </w:p>
    <w:p w14:paraId="3487265E"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oczyszczenie terenu robót z odpadów zbrojenia, stanowiących własność Wykonawcy i usunięcie ich poza teren budowy.</w:t>
      </w:r>
    </w:p>
    <w:p w14:paraId="3FD7BEAA"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p>
    <w:p w14:paraId="52BA436B" w14:textId="77777777" w:rsidR="000A3B2B" w:rsidRDefault="000A3B2B" w:rsidP="009E5295">
      <w:pPr>
        <w:autoSpaceDE w:val="0"/>
        <w:autoSpaceDN w:val="0"/>
        <w:adjustRightInd w:val="0"/>
        <w:spacing w:before="225" w:after="12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10.</w:t>
      </w:r>
      <w:r>
        <w:rPr>
          <w:rFonts w:ascii="Arial" w:hAnsi="Arial" w:cs="Arial"/>
          <w:b/>
          <w:bCs/>
          <w:color w:val="000000"/>
          <w:sz w:val="18"/>
          <w:szCs w:val="18"/>
          <w:lang w:val="x-none"/>
        </w:rPr>
        <w:tab/>
        <w:t xml:space="preserve"> DOKUMENTY ODNIESIENIA </w:t>
      </w:r>
    </w:p>
    <w:p w14:paraId="4EB93A89"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10.1. Normy</w:t>
      </w:r>
    </w:p>
    <w:tbl>
      <w:tblPr>
        <w:tblW w:w="0" w:type="auto"/>
        <w:tblCellSpacing w:w="0" w:type="dxa"/>
        <w:tblLayout w:type="fixed"/>
        <w:tblCellMar>
          <w:left w:w="0" w:type="dxa"/>
          <w:right w:w="0" w:type="dxa"/>
        </w:tblCellMar>
        <w:tblLook w:val="0000" w:firstRow="0" w:lastRow="0" w:firstColumn="0" w:lastColumn="0" w:noHBand="0" w:noVBand="0"/>
      </w:tblPr>
      <w:tblGrid>
        <w:gridCol w:w="382"/>
        <w:gridCol w:w="2640"/>
        <w:gridCol w:w="6286"/>
      </w:tblGrid>
      <w:tr w:rsidR="000A3B2B" w14:paraId="566DE757" w14:textId="77777777">
        <w:trPr>
          <w:trHeight w:val="60"/>
          <w:tblCellSpacing w:w="0" w:type="dxa"/>
        </w:trPr>
        <w:tc>
          <w:tcPr>
            <w:tcW w:w="382" w:type="dxa"/>
            <w:tcBorders>
              <w:top w:val="nil"/>
              <w:left w:val="nil"/>
              <w:bottom w:val="nil"/>
              <w:right w:val="nil"/>
            </w:tcBorders>
          </w:tcPr>
          <w:p w14:paraId="33076B5E"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1.</w:t>
            </w:r>
          </w:p>
        </w:tc>
        <w:tc>
          <w:tcPr>
            <w:tcW w:w="2640" w:type="dxa"/>
            <w:tcBorders>
              <w:top w:val="nil"/>
              <w:left w:val="nil"/>
              <w:bottom w:val="nil"/>
              <w:right w:val="nil"/>
            </w:tcBorders>
          </w:tcPr>
          <w:p w14:paraId="3EAEC792"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PN-ISO 6935-1:1998</w:t>
            </w:r>
          </w:p>
        </w:tc>
        <w:tc>
          <w:tcPr>
            <w:tcW w:w="6286" w:type="dxa"/>
            <w:tcBorders>
              <w:top w:val="nil"/>
              <w:left w:val="nil"/>
              <w:bottom w:val="nil"/>
              <w:right w:val="nil"/>
            </w:tcBorders>
          </w:tcPr>
          <w:p w14:paraId="522AFE62"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Stal do zbrojenia betonu. Pręty gładkie.</w:t>
            </w:r>
          </w:p>
        </w:tc>
      </w:tr>
      <w:tr w:rsidR="000A3B2B" w14:paraId="5F7D7FA9" w14:textId="77777777">
        <w:trPr>
          <w:trHeight w:val="60"/>
          <w:tblCellSpacing w:w="0" w:type="dxa"/>
        </w:trPr>
        <w:tc>
          <w:tcPr>
            <w:tcW w:w="382" w:type="dxa"/>
            <w:tcBorders>
              <w:top w:val="nil"/>
              <w:left w:val="nil"/>
              <w:bottom w:val="nil"/>
              <w:right w:val="nil"/>
            </w:tcBorders>
          </w:tcPr>
          <w:p w14:paraId="5150EA78"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2.</w:t>
            </w:r>
          </w:p>
        </w:tc>
        <w:tc>
          <w:tcPr>
            <w:tcW w:w="2640" w:type="dxa"/>
            <w:tcBorders>
              <w:top w:val="nil"/>
              <w:left w:val="nil"/>
              <w:bottom w:val="nil"/>
              <w:right w:val="nil"/>
            </w:tcBorders>
          </w:tcPr>
          <w:p w14:paraId="283FCCB8"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PN-ISO 6935-1/AK:1998</w:t>
            </w:r>
          </w:p>
        </w:tc>
        <w:tc>
          <w:tcPr>
            <w:tcW w:w="6286" w:type="dxa"/>
            <w:tcBorders>
              <w:top w:val="nil"/>
              <w:left w:val="nil"/>
              <w:bottom w:val="nil"/>
              <w:right w:val="nil"/>
            </w:tcBorders>
          </w:tcPr>
          <w:p w14:paraId="329D817E"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Stal do zbrojenia betonu. Pręty gładkie. Dodatkowe wymagania stosowane w kraju.</w:t>
            </w:r>
          </w:p>
        </w:tc>
      </w:tr>
      <w:tr w:rsidR="000A3B2B" w14:paraId="192CEC00" w14:textId="77777777">
        <w:trPr>
          <w:trHeight w:val="60"/>
          <w:tblCellSpacing w:w="0" w:type="dxa"/>
        </w:trPr>
        <w:tc>
          <w:tcPr>
            <w:tcW w:w="382" w:type="dxa"/>
            <w:tcBorders>
              <w:top w:val="nil"/>
              <w:left w:val="nil"/>
              <w:bottom w:val="nil"/>
              <w:right w:val="nil"/>
            </w:tcBorders>
          </w:tcPr>
          <w:p w14:paraId="6C975BC5"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3.</w:t>
            </w:r>
          </w:p>
        </w:tc>
        <w:tc>
          <w:tcPr>
            <w:tcW w:w="2640" w:type="dxa"/>
            <w:tcBorders>
              <w:top w:val="nil"/>
              <w:left w:val="nil"/>
              <w:bottom w:val="nil"/>
              <w:right w:val="nil"/>
            </w:tcBorders>
          </w:tcPr>
          <w:p w14:paraId="05A88B8E"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PN-ISO 6935-2:1998</w:t>
            </w:r>
          </w:p>
        </w:tc>
        <w:tc>
          <w:tcPr>
            <w:tcW w:w="6286" w:type="dxa"/>
            <w:tcBorders>
              <w:top w:val="nil"/>
              <w:left w:val="nil"/>
              <w:bottom w:val="nil"/>
              <w:right w:val="nil"/>
            </w:tcBorders>
          </w:tcPr>
          <w:p w14:paraId="2DFE8B26"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Stal do zbrojenia betonu. Pręty żebrowane.</w:t>
            </w:r>
          </w:p>
        </w:tc>
      </w:tr>
      <w:tr w:rsidR="000A3B2B" w14:paraId="558A4C7C" w14:textId="77777777">
        <w:trPr>
          <w:trHeight w:val="60"/>
          <w:tblCellSpacing w:w="0" w:type="dxa"/>
        </w:trPr>
        <w:tc>
          <w:tcPr>
            <w:tcW w:w="382" w:type="dxa"/>
            <w:tcBorders>
              <w:top w:val="nil"/>
              <w:left w:val="nil"/>
              <w:bottom w:val="nil"/>
              <w:right w:val="nil"/>
            </w:tcBorders>
          </w:tcPr>
          <w:p w14:paraId="6B668281"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4.</w:t>
            </w:r>
          </w:p>
        </w:tc>
        <w:tc>
          <w:tcPr>
            <w:tcW w:w="2640" w:type="dxa"/>
            <w:tcBorders>
              <w:top w:val="nil"/>
              <w:left w:val="nil"/>
              <w:bottom w:val="nil"/>
              <w:right w:val="nil"/>
            </w:tcBorders>
          </w:tcPr>
          <w:p w14:paraId="56A98C24"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PN-ISO 6935-2/AK:1998</w:t>
            </w:r>
            <w:r>
              <w:rPr>
                <w:rFonts w:ascii="Arial" w:hAnsi="Arial" w:cs="Arial"/>
                <w:color w:val="000000"/>
                <w:sz w:val="18"/>
                <w:szCs w:val="18"/>
                <w:lang w:val="x-none"/>
              </w:rPr>
              <w:br/>
              <w:t>AK:1998/Ap1:1999</w:t>
            </w:r>
          </w:p>
        </w:tc>
        <w:tc>
          <w:tcPr>
            <w:tcW w:w="6286" w:type="dxa"/>
            <w:tcBorders>
              <w:top w:val="nil"/>
              <w:left w:val="nil"/>
              <w:bottom w:val="nil"/>
              <w:right w:val="nil"/>
            </w:tcBorders>
          </w:tcPr>
          <w:p w14:paraId="417235E4"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Stal do zbrojenia betonu. Pręty żebrowane. Dodatkowe wymagania stosowane w kraju.</w:t>
            </w:r>
          </w:p>
        </w:tc>
      </w:tr>
      <w:tr w:rsidR="000A3B2B" w14:paraId="064B8AE3" w14:textId="77777777">
        <w:trPr>
          <w:trHeight w:val="240"/>
          <w:tblCellSpacing w:w="0" w:type="dxa"/>
        </w:trPr>
        <w:tc>
          <w:tcPr>
            <w:tcW w:w="382" w:type="dxa"/>
            <w:tcBorders>
              <w:top w:val="nil"/>
              <w:left w:val="nil"/>
              <w:bottom w:val="nil"/>
              <w:right w:val="nil"/>
            </w:tcBorders>
          </w:tcPr>
          <w:p w14:paraId="35A51706"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5.</w:t>
            </w:r>
          </w:p>
        </w:tc>
        <w:tc>
          <w:tcPr>
            <w:tcW w:w="2640" w:type="dxa"/>
            <w:tcBorders>
              <w:top w:val="nil"/>
              <w:left w:val="nil"/>
              <w:bottom w:val="nil"/>
              <w:right w:val="nil"/>
            </w:tcBorders>
          </w:tcPr>
          <w:p w14:paraId="19712330"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 xml:space="preserve">PN-EN 1992-2:2010 </w:t>
            </w:r>
          </w:p>
        </w:tc>
        <w:tc>
          <w:tcPr>
            <w:tcW w:w="6286" w:type="dxa"/>
            <w:tcBorders>
              <w:top w:val="nil"/>
              <w:left w:val="nil"/>
              <w:bottom w:val="nil"/>
              <w:right w:val="nil"/>
            </w:tcBorders>
          </w:tcPr>
          <w:p w14:paraId="245FB265"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Projektowanie konstrukcji z betonu – Część 2: Mosty z betonu – Obliczanie i reguły konstrukcyjne. </w:t>
            </w:r>
          </w:p>
        </w:tc>
      </w:tr>
      <w:tr w:rsidR="000A3B2B" w14:paraId="7B418C91" w14:textId="77777777">
        <w:trPr>
          <w:trHeight w:val="240"/>
          <w:tblCellSpacing w:w="0" w:type="dxa"/>
        </w:trPr>
        <w:tc>
          <w:tcPr>
            <w:tcW w:w="382" w:type="dxa"/>
            <w:tcBorders>
              <w:top w:val="nil"/>
              <w:left w:val="nil"/>
              <w:bottom w:val="nil"/>
              <w:right w:val="nil"/>
            </w:tcBorders>
          </w:tcPr>
          <w:p w14:paraId="1B1BD0CD"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6.</w:t>
            </w:r>
          </w:p>
        </w:tc>
        <w:tc>
          <w:tcPr>
            <w:tcW w:w="2640" w:type="dxa"/>
            <w:tcBorders>
              <w:top w:val="nil"/>
              <w:left w:val="nil"/>
              <w:bottom w:val="nil"/>
              <w:right w:val="nil"/>
            </w:tcBorders>
          </w:tcPr>
          <w:p w14:paraId="15261401"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PN-B-06251</w:t>
            </w:r>
          </w:p>
        </w:tc>
        <w:tc>
          <w:tcPr>
            <w:tcW w:w="6286" w:type="dxa"/>
            <w:tcBorders>
              <w:top w:val="nil"/>
              <w:left w:val="nil"/>
              <w:bottom w:val="nil"/>
              <w:right w:val="nil"/>
            </w:tcBorders>
          </w:tcPr>
          <w:p w14:paraId="70DA216F" w14:textId="77777777" w:rsidR="000A3B2B" w:rsidRDefault="000A3B2B">
            <w:pPr>
              <w:autoSpaceDE w:val="0"/>
              <w:autoSpaceDN w:val="0"/>
              <w:adjustRightInd w:val="0"/>
              <w:spacing w:after="30" w:line="240" w:lineRule="auto"/>
              <w:jc w:val="both"/>
              <w:rPr>
                <w:rFonts w:ascii="Arial" w:hAnsi="Arial" w:cs="Arial"/>
                <w:i/>
                <w:iCs/>
                <w:color w:val="000000"/>
                <w:sz w:val="18"/>
                <w:szCs w:val="18"/>
                <w:lang w:val="x-none"/>
              </w:rPr>
            </w:pPr>
            <w:r>
              <w:rPr>
                <w:rFonts w:ascii="Arial" w:hAnsi="Arial" w:cs="Arial"/>
                <w:color w:val="000000"/>
                <w:sz w:val="18"/>
                <w:szCs w:val="18"/>
                <w:lang w:val="x-none"/>
              </w:rPr>
              <w:t xml:space="preserve">Roboty betonowe i żelbetowe. Wymagania techniczne </w:t>
            </w:r>
            <w:r>
              <w:rPr>
                <w:rFonts w:ascii="Arial" w:hAnsi="Arial" w:cs="Arial"/>
                <w:i/>
                <w:iCs/>
                <w:color w:val="000000"/>
                <w:sz w:val="18"/>
                <w:szCs w:val="18"/>
                <w:lang w:val="x-none"/>
              </w:rPr>
              <w:t>(norma wycofana).</w:t>
            </w:r>
          </w:p>
        </w:tc>
      </w:tr>
      <w:tr w:rsidR="000A3B2B" w14:paraId="6C610EDA" w14:textId="77777777">
        <w:trPr>
          <w:trHeight w:val="60"/>
          <w:tblCellSpacing w:w="0" w:type="dxa"/>
        </w:trPr>
        <w:tc>
          <w:tcPr>
            <w:tcW w:w="382" w:type="dxa"/>
            <w:tcBorders>
              <w:top w:val="nil"/>
              <w:left w:val="nil"/>
              <w:bottom w:val="nil"/>
              <w:right w:val="nil"/>
            </w:tcBorders>
          </w:tcPr>
          <w:p w14:paraId="1CBA9096"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7.</w:t>
            </w:r>
          </w:p>
        </w:tc>
        <w:tc>
          <w:tcPr>
            <w:tcW w:w="2640" w:type="dxa"/>
            <w:tcBorders>
              <w:top w:val="nil"/>
              <w:left w:val="nil"/>
              <w:bottom w:val="nil"/>
              <w:right w:val="nil"/>
            </w:tcBorders>
          </w:tcPr>
          <w:p w14:paraId="3C499259"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ISO 7438:2016-03</w:t>
            </w:r>
          </w:p>
        </w:tc>
        <w:tc>
          <w:tcPr>
            <w:tcW w:w="6286" w:type="dxa"/>
            <w:tcBorders>
              <w:top w:val="nil"/>
              <w:left w:val="nil"/>
              <w:bottom w:val="nil"/>
              <w:right w:val="nil"/>
            </w:tcBorders>
          </w:tcPr>
          <w:p w14:paraId="6D804196" w14:textId="77777777" w:rsidR="000A3B2B" w:rsidRDefault="000A3B2B">
            <w:pPr>
              <w:autoSpaceDE w:val="0"/>
              <w:autoSpaceDN w:val="0"/>
              <w:adjustRightInd w:val="0"/>
              <w:spacing w:after="30" w:line="240" w:lineRule="auto"/>
              <w:jc w:val="both"/>
              <w:rPr>
                <w:rFonts w:ascii="Arial" w:hAnsi="Arial" w:cs="Arial"/>
                <w:i/>
                <w:iCs/>
                <w:color w:val="000000"/>
                <w:sz w:val="18"/>
                <w:szCs w:val="18"/>
                <w:lang w:val="x-none"/>
              </w:rPr>
            </w:pPr>
            <w:r>
              <w:rPr>
                <w:rFonts w:ascii="Arial" w:hAnsi="Arial" w:cs="Arial"/>
                <w:color w:val="000000"/>
                <w:sz w:val="18"/>
                <w:szCs w:val="18"/>
                <w:lang w:val="x-none"/>
              </w:rPr>
              <w:t xml:space="preserve">Metale. Próba zginania </w:t>
            </w:r>
            <w:r>
              <w:rPr>
                <w:rFonts w:ascii="Arial" w:hAnsi="Arial" w:cs="Arial"/>
                <w:i/>
                <w:iCs/>
                <w:color w:val="000000"/>
                <w:sz w:val="18"/>
                <w:szCs w:val="18"/>
                <w:lang w:val="x-none"/>
              </w:rPr>
              <w:t>(wersja angielska).</w:t>
            </w:r>
          </w:p>
        </w:tc>
      </w:tr>
      <w:tr w:rsidR="000A3B2B" w14:paraId="0ED0B993" w14:textId="77777777">
        <w:trPr>
          <w:trHeight w:val="60"/>
          <w:tblCellSpacing w:w="0" w:type="dxa"/>
        </w:trPr>
        <w:tc>
          <w:tcPr>
            <w:tcW w:w="382" w:type="dxa"/>
            <w:tcBorders>
              <w:top w:val="nil"/>
              <w:left w:val="nil"/>
              <w:bottom w:val="nil"/>
              <w:right w:val="nil"/>
            </w:tcBorders>
          </w:tcPr>
          <w:p w14:paraId="6283A8AB"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8.</w:t>
            </w:r>
          </w:p>
        </w:tc>
        <w:tc>
          <w:tcPr>
            <w:tcW w:w="2640" w:type="dxa"/>
            <w:tcBorders>
              <w:top w:val="nil"/>
              <w:left w:val="nil"/>
              <w:bottom w:val="nil"/>
              <w:right w:val="nil"/>
            </w:tcBorders>
          </w:tcPr>
          <w:p w14:paraId="6FEAA27A"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 xml:space="preserve">PN-EN ISO 6892-1:2016-09 </w:t>
            </w:r>
          </w:p>
        </w:tc>
        <w:tc>
          <w:tcPr>
            <w:tcW w:w="6286" w:type="dxa"/>
            <w:tcBorders>
              <w:top w:val="nil"/>
              <w:left w:val="nil"/>
              <w:bottom w:val="nil"/>
              <w:right w:val="nil"/>
            </w:tcBorders>
          </w:tcPr>
          <w:p w14:paraId="176813EA" w14:textId="77777777" w:rsidR="000A3B2B" w:rsidRDefault="000A3B2B">
            <w:pPr>
              <w:autoSpaceDE w:val="0"/>
              <w:autoSpaceDN w:val="0"/>
              <w:adjustRightInd w:val="0"/>
              <w:spacing w:after="30" w:line="240" w:lineRule="auto"/>
              <w:jc w:val="both"/>
              <w:rPr>
                <w:rFonts w:ascii="Arial" w:hAnsi="Arial" w:cs="Arial"/>
                <w:i/>
                <w:iCs/>
                <w:color w:val="000000"/>
                <w:sz w:val="18"/>
                <w:szCs w:val="18"/>
                <w:lang w:val="x-none"/>
              </w:rPr>
            </w:pPr>
            <w:r>
              <w:rPr>
                <w:rFonts w:ascii="Arial" w:hAnsi="Arial" w:cs="Arial"/>
                <w:color w:val="000000"/>
                <w:sz w:val="18"/>
                <w:szCs w:val="18"/>
                <w:lang w:val="x-none"/>
              </w:rPr>
              <w:t xml:space="preserve">Metale: Próba rozciągania. Metoda badania w temperaturze pokojowej </w:t>
            </w:r>
            <w:r>
              <w:rPr>
                <w:rFonts w:ascii="Arial" w:hAnsi="Arial" w:cs="Arial"/>
                <w:i/>
                <w:iCs/>
                <w:color w:val="000000"/>
                <w:sz w:val="18"/>
                <w:szCs w:val="18"/>
                <w:lang w:val="x-none"/>
              </w:rPr>
              <w:t>(wersja angielska).</w:t>
            </w:r>
          </w:p>
        </w:tc>
      </w:tr>
      <w:tr w:rsidR="000A3B2B" w14:paraId="59503C2C" w14:textId="77777777">
        <w:trPr>
          <w:trHeight w:val="510"/>
          <w:tblCellSpacing w:w="0" w:type="dxa"/>
        </w:trPr>
        <w:tc>
          <w:tcPr>
            <w:tcW w:w="382" w:type="dxa"/>
            <w:tcBorders>
              <w:top w:val="nil"/>
              <w:left w:val="nil"/>
              <w:bottom w:val="nil"/>
              <w:right w:val="nil"/>
            </w:tcBorders>
          </w:tcPr>
          <w:p w14:paraId="786BED67"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9.</w:t>
            </w:r>
          </w:p>
        </w:tc>
        <w:tc>
          <w:tcPr>
            <w:tcW w:w="2640" w:type="dxa"/>
            <w:tcBorders>
              <w:top w:val="nil"/>
              <w:left w:val="nil"/>
              <w:bottom w:val="nil"/>
              <w:right w:val="nil"/>
            </w:tcBorders>
          </w:tcPr>
          <w:p w14:paraId="5F7F80AD"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1992-1-1:2008</w:t>
            </w:r>
          </w:p>
        </w:tc>
        <w:tc>
          <w:tcPr>
            <w:tcW w:w="6286" w:type="dxa"/>
            <w:tcBorders>
              <w:top w:val="nil"/>
              <w:left w:val="nil"/>
              <w:bottom w:val="nil"/>
              <w:right w:val="nil"/>
            </w:tcBorders>
          </w:tcPr>
          <w:p w14:paraId="39785B38"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Projektowanie konstrukcji z betonu – Reguły ogólne i reguły dla budynków</w:t>
            </w:r>
          </w:p>
        </w:tc>
      </w:tr>
    </w:tbl>
    <w:p w14:paraId="7621531A"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777DF498"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10.2. Inne dokumenty i instrukcje</w:t>
      </w:r>
    </w:p>
    <w:p w14:paraId="361D57A4"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Instrukcje Instytutu Techniki Budowlanej:</w:t>
      </w:r>
    </w:p>
    <w:p w14:paraId="1EB80220"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Instrukcja zabezpieczenia przed korozją konstrukcji,</w:t>
      </w:r>
    </w:p>
    <w:p w14:paraId="14364D69"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Warunki techniczne wykonania i odbioru robót budowlanych.</w:t>
      </w:r>
    </w:p>
    <w:p w14:paraId="02446913" w14:textId="77777777" w:rsidR="000A3B2B" w:rsidRDefault="000A3B2B" w:rsidP="00624267">
      <w:pPr>
        <w:pStyle w:val="Styl1"/>
        <w:sectPr w:rsidR="000A3B2B" w:rsidSect="009E5295">
          <w:pgSz w:w="12240" w:h="15840"/>
          <w:pgMar w:top="1417" w:right="1417" w:bottom="1417" w:left="1417" w:header="708" w:footer="708" w:gutter="0"/>
          <w:cols w:space="708"/>
          <w:noEndnote/>
        </w:sectPr>
      </w:pPr>
    </w:p>
    <w:p w14:paraId="157FACA9" w14:textId="77777777" w:rsidR="000A3B2B" w:rsidRDefault="000A3B2B" w:rsidP="00624267">
      <w:pPr>
        <w:pStyle w:val="Styl1"/>
      </w:pPr>
      <w:r>
        <w:t>BEZSPOINOWE SYSTEMY OCIEPLANIA ŚCIAN BUDYNKÓW</w:t>
      </w:r>
    </w:p>
    <w:p w14:paraId="5E0F900F" w14:textId="77777777" w:rsidR="000A3B2B" w:rsidRDefault="000A3B2B" w:rsidP="009E5295">
      <w:pPr>
        <w:autoSpaceDE w:val="0"/>
        <w:autoSpaceDN w:val="0"/>
        <w:adjustRightInd w:val="0"/>
        <w:spacing w:after="3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1.</w:t>
      </w:r>
      <w:r>
        <w:rPr>
          <w:rFonts w:ascii="Arial" w:hAnsi="Arial" w:cs="Arial"/>
          <w:b/>
          <w:bCs/>
          <w:color w:val="000000"/>
          <w:sz w:val="18"/>
          <w:szCs w:val="18"/>
          <w:lang w:val="x-none"/>
        </w:rPr>
        <w:tab/>
        <w:t>CZĘŚĆ OGÓLNA</w:t>
      </w:r>
    </w:p>
    <w:p w14:paraId="161676EE"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1.1.</w:t>
      </w:r>
      <w:r>
        <w:rPr>
          <w:rFonts w:ascii="Arial" w:hAnsi="Arial" w:cs="Arial"/>
          <w:b/>
          <w:bCs/>
          <w:color w:val="000000"/>
          <w:sz w:val="18"/>
          <w:szCs w:val="18"/>
          <w:lang w:val="x-none"/>
        </w:rPr>
        <w:tab/>
        <w:t>Nazwa nadana zamówieniu przez Zamawiającego</w:t>
      </w:r>
    </w:p>
    <w:p w14:paraId="76DD3604" w14:textId="77777777" w:rsidR="000A3B2B" w:rsidRDefault="000A3B2B" w:rsidP="009E5295">
      <w:pPr>
        <w:tabs>
          <w:tab w:val="right" w:leader="dot" w:pos="7035"/>
        </w:tabs>
        <w:autoSpaceDE w:val="0"/>
        <w:autoSpaceDN w:val="0"/>
        <w:adjustRightInd w:val="0"/>
        <w:spacing w:after="30" w:line="240" w:lineRule="auto"/>
        <w:jc w:val="both"/>
        <w:rPr>
          <w:rFonts w:ascii="Arial" w:hAnsi="Arial" w:cs="Arial"/>
          <w:color w:val="000000"/>
          <w:sz w:val="18"/>
          <w:szCs w:val="18"/>
          <w:lang w:val="x-none"/>
        </w:rPr>
      </w:pPr>
      <w:r w:rsidRPr="00D8129F">
        <w:rPr>
          <w:rFonts w:ascii="Arial" w:hAnsi="Arial" w:cs="Arial"/>
          <w:noProof/>
          <w:color w:val="000000"/>
          <w:sz w:val="18"/>
          <w:szCs w:val="18"/>
          <w:lang w:val="x-none"/>
        </w:rPr>
        <w:t>Termomodernizacja budynku Szkoły Podstawowej nr 3 przy ul. Marii Konopnickiej 2 w Reszlu.</w:t>
      </w:r>
    </w:p>
    <w:p w14:paraId="1F6E2214" w14:textId="77777777" w:rsidR="000A3B2B" w:rsidRDefault="000A3B2B" w:rsidP="009E5295">
      <w:pPr>
        <w:tabs>
          <w:tab w:val="right" w:leader="dot" w:pos="7035"/>
        </w:tabs>
        <w:autoSpaceDE w:val="0"/>
        <w:autoSpaceDN w:val="0"/>
        <w:adjustRightInd w:val="0"/>
        <w:spacing w:after="30" w:line="240" w:lineRule="auto"/>
        <w:jc w:val="both"/>
        <w:rPr>
          <w:rFonts w:ascii="Arial" w:hAnsi="Arial" w:cs="Arial"/>
          <w:color w:val="000000"/>
          <w:sz w:val="18"/>
          <w:szCs w:val="18"/>
          <w:lang w:val="x-none"/>
        </w:rPr>
      </w:pPr>
    </w:p>
    <w:p w14:paraId="5F1E1F06"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1.2.</w:t>
      </w:r>
      <w:r>
        <w:rPr>
          <w:rFonts w:ascii="Arial" w:hAnsi="Arial" w:cs="Arial"/>
          <w:b/>
          <w:bCs/>
          <w:color w:val="000000"/>
          <w:sz w:val="18"/>
          <w:szCs w:val="18"/>
          <w:lang w:val="x-none"/>
        </w:rPr>
        <w:tab/>
        <w:t>Przedmiot ST</w:t>
      </w:r>
    </w:p>
    <w:p w14:paraId="21990724"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Przedmiotem niniejszej standardowej specyfikacji technicznej (ST) są wymagania dotyczące wykonania i odbioru robót – wykonania </w:t>
      </w:r>
      <w:proofErr w:type="spellStart"/>
      <w:r>
        <w:rPr>
          <w:rFonts w:ascii="Arial" w:hAnsi="Arial" w:cs="Arial"/>
          <w:color w:val="000000"/>
          <w:sz w:val="18"/>
          <w:szCs w:val="18"/>
          <w:lang w:val="x-none"/>
        </w:rPr>
        <w:t>bezspoinowych</w:t>
      </w:r>
      <w:proofErr w:type="spellEnd"/>
      <w:r>
        <w:rPr>
          <w:rFonts w:ascii="Arial" w:hAnsi="Arial" w:cs="Arial"/>
          <w:color w:val="000000"/>
          <w:sz w:val="18"/>
          <w:szCs w:val="18"/>
          <w:lang w:val="x-none"/>
        </w:rPr>
        <w:t xml:space="preserve"> systemów </w:t>
      </w:r>
      <w:proofErr w:type="spellStart"/>
      <w:r>
        <w:rPr>
          <w:rFonts w:ascii="Arial" w:hAnsi="Arial" w:cs="Arial"/>
          <w:color w:val="000000"/>
          <w:sz w:val="18"/>
          <w:szCs w:val="18"/>
          <w:lang w:val="x-none"/>
        </w:rPr>
        <w:t>ociepleniowych</w:t>
      </w:r>
      <w:proofErr w:type="spellEnd"/>
      <w:r>
        <w:rPr>
          <w:rFonts w:ascii="Arial" w:hAnsi="Arial" w:cs="Arial"/>
          <w:color w:val="000000"/>
          <w:sz w:val="18"/>
          <w:szCs w:val="18"/>
          <w:lang w:val="x-none"/>
        </w:rPr>
        <w:t xml:space="preserve"> (BSO) ścian budynków. </w:t>
      </w:r>
    </w:p>
    <w:p w14:paraId="06B3C161"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p>
    <w:p w14:paraId="390E5CC9"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1.3.</w:t>
      </w:r>
      <w:r>
        <w:rPr>
          <w:rFonts w:ascii="Arial" w:hAnsi="Arial" w:cs="Arial"/>
          <w:b/>
          <w:bCs/>
          <w:color w:val="000000"/>
          <w:sz w:val="18"/>
          <w:szCs w:val="18"/>
          <w:lang w:val="x-none"/>
        </w:rPr>
        <w:tab/>
        <w:t>Zakres stosowania ST</w:t>
      </w:r>
    </w:p>
    <w:p w14:paraId="770A6DD9"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Standardowa specyfikacja techniczna (ST) stanowi podstawę opracowania szczegółowej specyfikacji technicznej (SST), stosowanej jako dokument przetargowy i kontraktowy przy zlecaniu i realizacji robót wymienionych w pkt. 1.2.</w:t>
      </w:r>
    </w:p>
    <w:p w14:paraId="66250E13"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3699CCA3"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Odstępstwa od wymagań podanych w niniejszej specyfikacji mogą mieć miejsce tylko w przypadkach prostych robót o niewielkim znaczeniu, dla których istnieje pewność, że podstawowe wymagania będą spełnione przy zastosowaniu metod wykonania, wynikających z doświadczenia oraz uznanych reguł i zasad sztuki budowlanej.</w:t>
      </w:r>
    </w:p>
    <w:p w14:paraId="454C6BF8"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p>
    <w:p w14:paraId="1FD6F25F"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1.4.</w:t>
      </w:r>
      <w:r>
        <w:rPr>
          <w:rFonts w:ascii="Arial" w:hAnsi="Arial" w:cs="Arial"/>
          <w:b/>
          <w:bCs/>
          <w:color w:val="000000"/>
          <w:sz w:val="18"/>
          <w:szCs w:val="18"/>
          <w:lang w:val="x-none"/>
        </w:rPr>
        <w:tab/>
        <w:t>Przedmiot i zakres robót objętych ST</w:t>
      </w:r>
    </w:p>
    <w:p w14:paraId="141CE1DC"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Specyfikacja dotyczy wszystkich czynności, mających na celu wykonanie </w:t>
      </w:r>
      <w:proofErr w:type="spellStart"/>
      <w:r>
        <w:rPr>
          <w:rFonts w:ascii="Arial" w:hAnsi="Arial" w:cs="Arial"/>
          <w:color w:val="000000"/>
          <w:sz w:val="18"/>
          <w:szCs w:val="18"/>
          <w:lang w:val="x-none"/>
        </w:rPr>
        <w:t>bezspoinowych</w:t>
      </w:r>
      <w:proofErr w:type="spellEnd"/>
      <w:r>
        <w:rPr>
          <w:rFonts w:ascii="Arial" w:hAnsi="Arial" w:cs="Arial"/>
          <w:color w:val="000000"/>
          <w:sz w:val="18"/>
          <w:szCs w:val="18"/>
          <w:lang w:val="x-none"/>
        </w:rPr>
        <w:t xml:space="preserve"> systemów </w:t>
      </w:r>
      <w:proofErr w:type="spellStart"/>
      <w:r>
        <w:rPr>
          <w:rFonts w:ascii="Arial" w:hAnsi="Arial" w:cs="Arial"/>
          <w:color w:val="000000"/>
          <w:sz w:val="18"/>
          <w:szCs w:val="18"/>
          <w:lang w:val="x-none"/>
        </w:rPr>
        <w:t>ociepleniowych</w:t>
      </w:r>
      <w:proofErr w:type="spellEnd"/>
      <w:r>
        <w:rPr>
          <w:rFonts w:ascii="Arial" w:hAnsi="Arial" w:cs="Arial"/>
          <w:color w:val="000000"/>
          <w:sz w:val="18"/>
          <w:szCs w:val="18"/>
          <w:lang w:val="x-none"/>
        </w:rPr>
        <w:t xml:space="preserve"> (BSO), wykonywanych na zewnętrznych powierzchniach ścian (przegród) budynków nowobudowanych oraz istniejących, w ramach robót termomodernizacyjnych.</w:t>
      </w:r>
    </w:p>
    <w:p w14:paraId="33116301"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 xml:space="preserve">Przedmiotem opracowania jest określenie wymagań odnośnie właściwości materiałów, wymagań w zakresie sposobów oceny i przygotowania podłoży i wymagań dotyczących wykonania </w:t>
      </w:r>
      <w:proofErr w:type="spellStart"/>
      <w:r>
        <w:rPr>
          <w:rFonts w:ascii="Arial" w:hAnsi="Arial" w:cs="Arial"/>
          <w:color w:val="000000"/>
          <w:sz w:val="18"/>
          <w:szCs w:val="18"/>
          <w:lang w:val="x-none"/>
        </w:rPr>
        <w:t>bezspoinowych</w:t>
      </w:r>
      <w:proofErr w:type="spellEnd"/>
      <w:r>
        <w:rPr>
          <w:rFonts w:ascii="Arial" w:hAnsi="Arial" w:cs="Arial"/>
          <w:color w:val="000000"/>
          <w:sz w:val="18"/>
          <w:szCs w:val="18"/>
          <w:lang w:val="x-none"/>
        </w:rPr>
        <w:t xml:space="preserve"> systemów </w:t>
      </w:r>
      <w:proofErr w:type="spellStart"/>
      <w:r>
        <w:rPr>
          <w:rFonts w:ascii="Arial" w:hAnsi="Arial" w:cs="Arial"/>
          <w:color w:val="000000"/>
          <w:sz w:val="18"/>
          <w:szCs w:val="18"/>
          <w:lang w:val="x-none"/>
        </w:rPr>
        <w:t>ociepleniowych</w:t>
      </w:r>
      <w:proofErr w:type="spellEnd"/>
      <w:r>
        <w:rPr>
          <w:rFonts w:ascii="Arial" w:hAnsi="Arial" w:cs="Arial"/>
          <w:color w:val="000000"/>
          <w:sz w:val="18"/>
          <w:szCs w:val="18"/>
          <w:lang w:val="x-none"/>
        </w:rPr>
        <w:t xml:space="preserve"> oraz ich odbiorów.</w:t>
      </w:r>
    </w:p>
    <w:p w14:paraId="3D0FEC0A"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26DF0AD5"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1.5. Określenia podstawowe, definicje</w:t>
      </w:r>
    </w:p>
    <w:p w14:paraId="55AF66FE"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Określenia podane w niniejszej ST są zgodne z odpowiednimi normami oraz określeniami podanymi w ST „Wymagania ogólne” Kod CPV 45000000-7, pkt 1.7.</w:t>
      </w:r>
    </w:p>
    <w:p w14:paraId="450F0167"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proofErr w:type="spellStart"/>
      <w:r>
        <w:rPr>
          <w:rFonts w:ascii="Arial" w:hAnsi="Arial" w:cs="Arial"/>
          <w:color w:val="000000"/>
          <w:sz w:val="18"/>
          <w:szCs w:val="18"/>
          <w:lang w:val="x-none"/>
        </w:rPr>
        <w:t>Bezspoinowy</w:t>
      </w:r>
      <w:proofErr w:type="spellEnd"/>
      <w:r>
        <w:rPr>
          <w:rFonts w:ascii="Arial" w:hAnsi="Arial" w:cs="Arial"/>
          <w:color w:val="000000"/>
          <w:sz w:val="18"/>
          <w:szCs w:val="18"/>
          <w:lang w:val="x-none"/>
        </w:rPr>
        <w:t xml:space="preserve"> system ocieplania ścian zewnętrznych (BSO), obecnie stosowana jest również często nazwa System ETICS (</w:t>
      </w:r>
      <w:proofErr w:type="spellStart"/>
      <w:r>
        <w:rPr>
          <w:rFonts w:ascii="Arial" w:hAnsi="Arial" w:cs="Arial"/>
          <w:color w:val="000000"/>
          <w:sz w:val="18"/>
          <w:szCs w:val="18"/>
          <w:lang w:val="x-none"/>
        </w:rPr>
        <w:t>External</w:t>
      </w:r>
      <w:proofErr w:type="spellEnd"/>
      <w:r>
        <w:rPr>
          <w:rFonts w:ascii="Arial" w:hAnsi="Arial" w:cs="Arial"/>
          <w:color w:val="000000"/>
          <w:sz w:val="18"/>
          <w:szCs w:val="18"/>
          <w:lang w:val="x-none"/>
        </w:rPr>
        <w:t xml:space="preserve"> </w:t>
      </w:r>
      <w:proofErr w:type="spellStart"/>
      <w:r>
        <w:rPr>
          <w:rFonts w:ascii="Arial" w:hAnsi="Arial" w:cs="Arial"/>
          <w:color w:val="000000"/>
          <w:sz w:val="18"/>
          <w:szCs w:val="18"/>
          <w:lang w:val="x-none"/>
        </w:rPr>
        <w:t>Thermal</w:t>
      </w:r>
      <w:proofErr w:type="spellEnd"/>
      <w:r>
        <w:rPr>
          <w:rFonts w:ascii="Arial" w:hAnsi="Arial" w:cs="Arial"/>
          <w:color w:val="000000"/>
          <w:sz w:val="18"/>
          <w:szCs w:val="18"/>
          <w:lang w:val="x-none"/>
        </w:rPr>
        <w:t xml:space="preserve"> </w:t>
      </w:r>
      <w:proofErr w:type="spellStart"/>
      <w:r>
        <w:rPr>
          <w:rFonts w:ascii="Arial" w:hAnsi="Arial" w:cs="Arial"/>
          <w:color w:val="000000"/>
          <w:sz w:val="18"/>
          <w:szCs w:val="18"/>
          <w:lang w:val="x-none"/>
        </w:rPr>
        <w:t>Insulation</w:t>
      </w:r>
      <w:proofErr w:type="spellEnd"/>
      <w:r>
        <w:rPr>
          <w:rFonts w:ascii="Arial" w:hAnsi="Arial" w:cs="Arial"/>
          <w:color w:val="000000"/>
          <w:sz w:val="18"/>
          <w:szCs w:val="18"/>
          <w:lang w:val="x-none"/>
        </w:rPr>
        <w:t xml:space="preserve"> </w:t>
      </w:r>
      <w:proofErr w:type="spellStart"/>
      <w:r>
        <w:rPr>
          <w:rFonts w:ascii="Arial" w:hAnsi="Arial" w:cs="Arial"/>
          <w:color w:val="000000"/>
          <w:sz w:val="18"/>
          <w:szCs w:val="18"/>
          <w:lang w:val="x-none"/>
        </w:rPr>
        <w:t>Composite</w:t>
      </w:r>
      <w:proofErr w:type="spellEnd"/>
      <w:r>
        <w:rPr>
          <w:rFonts w:ascii="Arial" w:hAnsi="Arial" w:cs="Arial"/>
          <w:color w:val="000000"/>
          <w:sz w:val="18"/>
          <w:szCs w:val="18"/>
          <w:lang w:val="x-none"/>
        </w:rPr>
        <w:t xml:space="preserve"> System) stanowi złożony system zewnętrznej izolacji cieplnej, czyli zestaw wyrobów produkowanych fabrycznie, dostarczany jako kompletny zestaw składający się, minimum, z następujących składników:</w:t>
      </w:r>
    </w:p>
    <w:p w14:paraId="6BB5B22B"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zaprawy klejącej i łączników mechanicznych systemu,</w:t>
      </w:r>
    </w:p>
    <w:p w14:paraId="34810F16"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materiału do izolacji cieplnej,</w:t>
      </w:r>
    </w:p>
    <w:p w14:paraId="562C9562"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jednej lub większej liczby określonych warstw systemu, w których co najmniej jedna warstwa zawiera zbrojenie,</w:t>
      </w:r>
    </w:p>
    <w:p w14:paraId="076BBB01"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warstwy wykończeniowej systemu.</w:t>
      </w:r>
    </w:p>
    <w:p w14:paraId="4AF1C624"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Wszystkie składniki są dobrane przez producenta odpowiednio dla konkretnego systemu oraz dedykowane do konkretnego podłoża. Systemy BSO można podzielić ze względu na:</w:t>
      </w:r>
    </w:p>
    <w:p w14:paraId="384B366F"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rodzaj zastosowanej izolacji termicznej – styropian, wełna mineralna (zwykła, </w:t>
      </w:r>
      <w:proofErr w:type="spellStart"/>
      <w:r>
        <w:rPr>
          <w:rFonts w:ascii="Arial" w:hAnsi="Arial" w:cs="Arial"/>
          <w:color w:val="000000"/>
          <w:sz w:val="18"/>
          <w:szCs w:val="18"/>
          <w:lang w:val="x-none"/>
        </w:rPr>
        <w:t>lamelowa</w:t>
      </w:r>
      <w:proofErr w:type="spellEnd"/>
      <w:r>
        <w:rPr>
          <w:rFonts w:ascii="Arial" w:hAnsi="Arial" w:cs="Arial"/>
          <w:color w:val="000000"/>
          <w:sz w:val="18"/>
          <w:szCs w:val="18"/>
          <w:lang w:val="x-none"/>
        </w:rPr>
        <w:t>),</w:t>
      </w:r>
    </w:p>
    <w:p w14:paraId="3874149F"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sposób mocowania – klejenie, klejenie i mocowanie mechaniczne, mocowanie mechaniczne,</w:t>
      </w:r>
    </w:p>
    <w:p w14:paraId="5847D880"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rodzaj warstwy wykończeniowej – tynk cienkowarstwowy (mineralny, polimerowy, krzemianowy, silikonowy),</w:t>
      </w:r>
    </w:p>
    <w:p w14:paraId="57497DF1"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stopień rozprzestrzeniania ognia – nierozprzestrzeniające, słabo rozprzestrzeniające, silnie rozprzestrzeniające. </w:t>
      </w:r>
    </w:p>
    <w:p w14:paraId="39715F6B"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Dodatkowo w Specyfikacji używane są następujące terminy:</w:t>
      </w:r>
    </w:p>
    <w:p w14:paraId="4D664FAE"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Podłoże</w:t>
      </w:r>
      <w:r>
        <w:rPr>
          <w:rFonts w:ascii="Arial" w:hAnsi="Arial" w:cs="Arial"/>
          <w:color w:val="000000"/>
          <w:sz w:val="18"/>
          <w:szCs w:val="18"/>
          <w:lang w:val="x-none"/>
        </w:rPr>
        <w:t xml:space="preserve"> – powierzchnia nowej lub istniejącej ściany lub stropu. Może być w stanie surowym, pokryta tynkiem mineralnym, organicznym i powłokami farb.</w:t>
      </w:r>
    </w:p>
    <w:p w14:paraId="690BAECF"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 xml:space="preserve">Środek gruntujący </w:t>
      </w:r>
      <w:r>
        <w:rPr>
          <w:rFonts w:ascii="Arial" w:hAnsi="Arial" w:cs="Arial"/>
          <w:color w:val="000000"/>
          <w:sz w:val="18"/>
          <w:szCs w:val="18"/>
          <w:lang w:val="x-none"/>
        </w:rPr>
        <w:t xml:space="preserve">– materiał nanoszony na podłoże lub › warstwę zbrojoną, celem regulacji (wyrównania, redukcji) nasiąkliwości lub zwiększenia przyczepności. </w:t>
      </w:r>
    </w:p>
    <w:p w14:paraId="003E2AEC"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Izolacja cieplna</w:t>
      </w:r>
      <w:r>
        <w:rPr>
          <w:rFonts w:ascii="Arial" w:hAnsi="Arial" w:cs="Arial"/>
          <w:color w:val="000000"/>
          <w:sz w:val="18"/>
          <w:szCs w:val="18"/>
          <w:lang w:val="x-none"/>
        </w:rPr>
        <w:t xml:space="preserve"> – materiał o niskiej wartości współczynnika przewodzenia ciepła, jako składnik BSO mocowany w formie płyt na ścianach (przegrodach) zewnętrznych i nadający im wymagane parametry termoizolacyjne.</w:t>
      </w:r>
    </w:p>
    <w:p w14:paraId="6C014C8A"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 xml:space="preserve">Zaprawa (masa) klejąca </w:t>
      </w:r>
      <w:r>
        <w:rPr>
          <w:rFonts w:ascii="Arial" w:hAnsi="Arial" w:cs="Arial"/>
          <w:color w:val="000000"/>
          <w:sz w:val="18"/>
          <w:szCs w:val="18"/>
          <w:lang w:val="x-none"/>
        </w:rPr>
        <w:t>– materiał systemu do przyklejania materiału izolacyjnego do podłoża.</w:t>
      </w:r>
    </w:p>
    <w:p w14:paraId="08E23BCE"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Łączniki mechaniczne</w:t>
      </w:r>
      <w:r>
        <w:rPr>
          <w:rFonts w:ascii="Arial" w:hAnsi="Arial" w:cs="Arial"/>
          <w:color w:val="000000"/>
          <w:sz w:val="18"/>
          <w:szCs w:val="18"/>
          <w:lang w:val="x-none"/>
        </w:rPr>
        <w:t xml:space="preserve"> – określone łączniki do mocowania systemów izolacji cieplnej do podłoża, na przykład kołki rozporowe i profile. </w:t>
      </w:r>
    </w:p>
    <w:p w14:paraId="6A1CFE76"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 xml:space="preserve">Warstwa zbrojona </w:t>
      </w:r>
      <w:r>
        <w:rPr>
          <w:rFonts w:ascii="Arial" w:hAnsi="Arial" w:cs="Arial"/>
          <w:color w:val="000000"/>
          <w:sz w:val="18"/>
          <w:szCs w:val="18"/>
          <w:lang w:val="x-none"/>
        </w:rPr>
        <w:t>– określona warstwa systemu stosowana bezpośrednio na powierzchni materiału do izolacji cieplnej. Zawiera zbrojenie. Warstwa zbrojona ma największy wpływ na właściwości mechaniczne systemu.</w:t>
      </w:r>
    </w:p>
    <w:p w14:paraId="755AF0A5"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Siatki z włókna szklanego</w:t>
      </w:r>
      <w:r>
        <w:rPr>
          <w:rFonts w:ascii="Arial" w:hAnsi="Arial" w:cs="Arial"/>
          <w:color w:val="000000"/>
          <w:sz w:val="18"/>
          <w:szCs w:val="18"/>
          <w:lang w:val="x-none"/>
        </w:rPr>
        <w:t xml:space="preserve"> – określone tkaniny systemu składające się z przędzy z ciągłych włókien szklanych w obu kierunkach wątku i osnowy, z wykończeniem odpornym na działanie alkaliów.</w:t>
      </w:r>
    </w:p>
    <w:p w14:paraId="3CCEECD7"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Zbrojenie</w:t>
      </w:r>
      <w:r>
        <w:rPr>
          <w:rFonts w:ascii="Arial" w:hAnsi="Arial" w:cs="Arial"/>
          <w:color w:val="000000"/>
          <w:sz w:val="18"/>
          <w:szCs w:val="18"/>
          <w:lang w:val="x-none"/>
        </w:rPr>
        <w:t xml:space="preserve"> – określone materiały systemu osadzane w warstwie zbrojonej w celu zwiększenia jej wytrzymałości mechanicznej. Zbrojeniem są zazwyczaj siatki z włókien szklanych lub siatki metalowe. </w:t>
      </w:r>
    </w:p>
    <w:p w14:paraId="6960DA88"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Warstwa wykończeniowa</w:t>
      </w:r>
      <w:r>
        <w:rPr>
          <w:rFonts w:ascii="Arial" w:hAnsi="Arial" w:cs="Arial"/>
          <w:color w:val="000000"/>
          <w:sz w:val="18"/>
          <w:szCs w:val="18"/>
          <w:lang w:val="x-none"/>
        </w:rPr>
        <w:t xml:space="preserve"> – określony materiał mineralny, organiczny i/lub nieorganiczny systemu, tworzący jego wierzchnią warstwę. Warstwa wykończeniowa w połączeniu z warstwą zbrojoną stanowi zabezpieczenie przed oddziaływaniem warunków atmosferycznych; nadaje również systemowi fakturę i barwę. </w:t>
      </w:r>
    </w:p>
    <w:p w14:paraId="43AC78DC"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 xml:space="preserve">Systemowe elementy uzupełniające </w:t>
      </w:r>
      <w:r>
        <w:rPr>
          <w:rFonts w:ascii="Arial" w:hAnsi="Arial" w:cs="Arial"/>
          <w:color w:val="000000"/>
          <w:sz w:val="18"/>
          <w:szCs w:val="18"/>
          <w:lang w:val="x-none"/>
        </w:rPr>
        <w:t>– listwy (profile) cokołowe (startowe), kątowniki narożne (ochronne), profile dylatacyjne, profile i elementy dekoracyjne, podokienniki – służą do zapewnienia funkcji technicznych BSO i ukształtowania jego powierzchni.</w:t>
      </w:r>
    </w:p>
    <w:p w14:paraId="4AA56783"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p>
    <w:p w14:paraId="4680F364"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1.6. Ogólne wymagania dotyczące robót</w:t>
      </w:r>
    </w:p>
    <w:p w14:paraId="5C062542"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Wykonawca robót jest odpowiedzialny za jakość ich wykonania oraz za zgodność z dokumentacją projektową, specyfikacjami technicznymi i poleceniami Inspektora nadzoru. </w:t>
      </w:r>
    </w:p>
    <w:p w14:paraId="72D03E53"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39F3DED4"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 xml:space="preserve">1.7. Dokumentacja robót </w:t>
      </w:r>
      <w:proofErr w:type="spellStart"/>
      <w:r>
        <w:rPr>
          <w:rFonts w:ascii="Arial" w:hAnsi="Arial" w:cs="Arial"/>
          <w:b/>
          <w:bCs/>
          <w:color w:val="000000"/>
          <w:sz w:val="18"/>
          <w:szCs w:val="18"/>
          <w:lang w:val="x-none"/>
        </w:rPr>
        <w:t>ociepleniowych</w:t>
      </w:r>
      <w:proofErr w:type="spellEnd"/>
    </w:p>
    <w:p w14:paraId="5BB83B6A"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Dokumentację robót </w:t>
      </w:r>
      <w:proofErr w:type="spellStart"/>
      <w:r>
        <w:rPr>
          <w:rFonts w:ascii="Arial" w:hAnsi="Arial" w:cs="Arial"/>
          <w:color w:val="000000"/>
          <w:sz w:val="18"/>
          <w:szCs w:val="18"/>
          <w:lang w:val="x-none"/>
        </w:rPr>
        <w:t>ociepleniowych</w:t>
      </w:r>
      <w:proofErr w:type="spellEnd"/>
      <w:r>
        <w:rPr>
          <w:rFonts w:ascii="Arial" w:hAnsi="Arial" w:cs="Arial"/>
          <w:color w:val="000000"/>
          <w:sz w:val="18"/>
          <w:szCs w:val="18"/>
          <w:lang w:val="x-none"/>
        </w:rPr>
        <w:t xml:space="preserve"> stanowią:</w:t>
      </w:r>
    </w:p>
    <w:p w14:paraId="45CC2787"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dokumentacja projektowa (projekt budowlany lub/i wykonawczy),</w:t>
      </w:r>
    </w:p>
    <w:p w14:paraId="44152D99"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specyfikacje techniczne wykonania i odbioru robót jeśli zostały opracowane.</w:t>
      </w:r>
    </w:p>
    <w:p w14:paraId="7B833253"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 xml:space="preserve">Roboty dociepleniowe należy wykonywać na podstawie dokumentacji projektowej i szczegółowej specyfikacji technicznej wykonania i odbioru robót </w:t>
      </w:r>
      <w:proofErr w:type="spellStart"/>
      <w:r>
        <w:rPr>
          <w:rFonts w:ascii="Arial" w:hAnsi="Arial" w:cs="Arial"/>
          <w:color w:val="000000"/>
          <w:sz w:val="18"/>
          <w:szCs w:val="18"/>
          <w:lang w:val="x-none"/>
        </w:rPr>
        <w:t>ociepleniowych</w:t>
      </w:r>
      <w:proofErr w:type="spellEnd"/>
      <w:r>
        <w:rPr>
          <w:rFonts w:ascii="Arial" w:hAnsi="Arial" w:cs="Arial"/>
          <w:color w:val="000000"/>
          <w:sz w:val="18"/>
          <w:szCs w:val="18"/>
          <w:lang w:val="x-none"/>
        </w:rPr>
        <w:t>, opracowanej dla konkretnego przedmiotu zamówienia. Projekt ocieplenia poza podstawowymi informacjami dotyczącymi rodzaju i grubości warstwy materiału termoizolacyjnego oraz rodzaju i koloru tynku zewnętrznego winem zawierać:</w:t>
      </w:r>
    </w:p>
    <w:p w14:paraId="732EA1FF"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określenie miejsc ewentualnych przerw technologicznych w trakcie wykonywania wyprawy tynkarskiej i warstwy zbrojonej ocieplenia,</w:t>
      </w:r>
    </w:p>
    <w:p w14:paraId="5F09999D"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określenie rodzaju, liczby i rozmieszczenia łączników mechanicznych oraz sposobu klejenia izolacji do podłoża,</w:t>
      </w:r>
    </w:p>
    <w:p w14:paraId="0E56FE1F"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wskazanie sposobu zapewnienia szczelności połączeń na przenikanie powietrza i wody,</w:t>
      </w:r>
    </w:p>
    <w:p w14:paraId="3A5F95D2"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określenie sposobu wykonania dylatacji, montażu szyldów, bilbordów, anten (najlepiej za pomocą specjalnych łączników mechanicznych z izolacją cieplną),</w:t>
      </w:r>
    </w:p>
    <w:p w14:paraId="000379BA"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dobranie rodzaju wyprawy tynkarskiej, faktury, koloru do warunków środowiskowych,</w:t>
      </w:r>
    </w:p>
    <w:p w14:paraId="20617F48"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wskazanie tam, gdzie jest to konieczne, dodatkowych zabezpieczeń warstwy ocieplającej w pasie najniższej kondygnacji, np. zalecenie zastosowania wyrobów dostosowanych do większego obciążenia i zawilgocenia, dodatkowego zbrojenia, ewentualnego pokrycia środkiem typu „anty-graffiti” itp.,</w:t>
      </w:r>
    </w:p>
    <w:p w14:paraId="575CB52A"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 zalecenia eksploatacyjne dotyczące konserwacji warstwy ocieplającej.</w:t>
      </w:r>
    </w:p>
    <w:p w14:paraId="1A9EE2EA"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Część rysunkowa dokumentacji projektowej powinna zawierać co najmniej:</w:t>
      </w:r>
    </w:p>
    <w:p w14:paraId="5C73F449"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widoki elewacji, wraz z ewentualnym rozmieszczeniem elementów i profili dekoracyjnych, linii zmian kolorystyki i faktury powierzchni; w przypadkach bardziej złożonych – rozwinięcia poszczególnych elewacji, </w:t>
      </w:r>
    </w:p>
    <w:p w14:paraId="676F8715"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rzut kondygnacji (kondygnacji powtarzalnej) i przekroje poprzeczne budynku,</w:t>
      </w:r>
    </w:p>
    <w:p w14:paraId="3C9E266B"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rzut dachu, zawierający rozmieszczenie rur spustowych,</w:t>
      </w:r>
    </w:p>
    <w:p w14:paraId="1A349F08"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niezbędne rysunki detali architektonicznych – na przykład szczegółów połączeń ocieplenia powierzchni ścian ze stolarką, podokiennikami, okapem dachu, płytami balkonu, profilami dylatacyjnymi i innymi elementami elewacyjnymi.</w:t>
      </w:r>
    </w:p>
    <w:p w14:paraId="6FC5A64F"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 przypadku stosowania systemu ociepleń na prefabrykowanych ścianach żelbetowych warstwowych, w projekcie winna znaleźć się ocena ich stanu technicznego. Dotyczy to zarówno stanu metalowych łączników (wieszaków, szpilek, prętów) jak i sposobu ich połączenia i współpracy z elementami ściany. W razie potrzeby należy zaprojektować  dodatkowe połączenia warstwy elewacyjnej z warstwą konstrukcyjną ściany.</w:t>
      </w:r>
    </w:p>
    <w:p w14:paraId="0C8A0B94"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p>
    <w:p w14:paraId="26EAEF61"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1.8.</w:t>
      </w:r>
      <w:r>
        <w:rPr>
          <w:rFonts w:ascii="Arial" w:hAnsi="Arial" w:cs="Arial"/>
          <w:b/>
          <w:bCs/>
          <w:color w:val="000000"/>
          <w:sz w:val="18"/>
          <w:szCs w:val="18"/>
          <w:lang w:val="x-none"/>
        </w:rPr>
        <w:tab/>
        <w:t>Nazwy i kody robót objętych zamówieniem:</w:t>
      </w:r>
    </w:p>
    <w:p w14:paraId="1DEE2213" w14:textId="77777777" w:rsidR="000A3B2B" w:rsidRDefault="000A3B2B" w:rsidP="009E5295">
      <w:pPr>
        <w:autoSpaceDE w:val="0"/>
        <w:autoSpaceDN w:val="0"/>
        <w:adjustRightInd w:val="0"/>
        <w:spacing w:after="30" w:line="240" w:lineRule="auto"/>
        <w:jc w:val="both"/>
        <w:rPr>
          <w:rFonts w:ascii="Arial" w:hAnsi="Arial" w:cs="Arial"/>
          <w:b/>
          <w:bCs/>
          <w:color w:val="000000"/>
          <w:sz w:val="18"/>
          <w:szCs w:val="18"/>
          <w:lang w:val="x-none"/>
        </w:rPr>
      </w:pPr>
      <w:r>
        <w:rPr>
          <w:rFonts w:ascii="Arial" w:hAnsi="Arial" w:cs="Arial"/>
          <w:b/>
          <w:bCs/>
          <w:color w:val="000000"/>
          <w:sz w:val="18"/>
          <w:szCs w:val="18"/>
          <w:lang w:val="x-none"/>
        </w:rPr>
        <w:t>Grupy robót, klasy robót lub kategorie robót</w:t>
      </w:r>
    </w:p>
    <w:tbl>
      <w:tblPr>
        <w:tblW w:w="0" w:type="auto"/>
        <w:tblCellSpacing w:w="0" w:type="dxa"/>
        <w:tblInd w:w="-8" w:type="dxa"/>
        <w:tblLayout w:type="fixed"/>
        <w:tblCellMar>
          <w:left w:w="0" w:type="dxa"/>
          <w:right w:w="0" w:type="dxa"/>
        </w:tblCellMar>
        <w:tblLook w:val="0000" w:firstRow="0" w:lastRow="0" w:firstColumn="0" w:lastColumn="0" w:noHBand="0" w:noVBand="0"/>
      </w:tblPr>
      <w:tblGrid>
        <w:gridCol w:w="278"/>
        <w:gridCol w:w="180"/>
        <w:gridCol w:w="300"/>
        <w:gridCol w:w="180"/>
        <w:gridCol w:w="300"/>
        <w:gridCol w:w="180"/>
        <w:gridCol w:w="300"/>
        <w:gridCol w:w="180"/>
        <w:gridCol w:w="300"/>
        <w:gridCol w:w="180"/>
        <w:gridCol w:w="300"/>
        <w:gridCol w:w="180"/>
        <w:gridCol w:w="300"/>
        <w:gridCol w:w="180"/>
        <w:gridCol w:w="300"/>
        <w:gridCol w:w="390"/>
        <w:gridCol w:w="300"/>
        <w:gridCol w:w="180"/>
        <w:gridCol w:w="2820"/>
      </w:tblGrid>
      <w:tr w:rsidR="000A3B2B" w14:paraId="4E6A5DC0" w14:textId="77777777" w:rsidTr="006904B4">
        <w:trPr>
          <w:trHeight w:val="60"/>
          <w:tblCellSpacing w:w="0" w:type="dxa"/>
        </w:trPr>
        <w:tc>
          <w:tcPr>
            <w:tcW w:w="278" w:type="dxa"/>
            <w:tcBorders>
              <w:top w:val="single" w:sz="6" w:space="0" w:color="000000"/>
              <w:left w:val="single" w:sz="6" w:space="0" w:color="000000"/>
              <w:bottom w:val="single" w:sz="6" w:space="0" w:color="000000"/>
              <w:right w:val="single" w:sz="6" w:space="0" w:color="000000"/>
            </w:tcBorders>
          </w:tcPr>
          <w:p w14:paraId="539DF177" w14:textId="77777777" w:rsidR="000A3B2B" w:rsidRDefault="000A3B2B" w:rsidP="006904B4">
            <w:pPr>
              <w:autoSpaceDE w:val="0"/>
              <w:autoSpaceDN w:val="0"/>
              <w:adjustRightInd w:val="0"/>
              <w:spacing w:after="0" w:line="240" w:lineRule="auto"/>
              <w:rPr>
                <w:rFonts w:ascii="Arial" w:hAnsi="Arial" w:cs="Arial"/>
                <w:sz w:val="24"/>
                <w:szCs w:val="24"/>
                <w:lang w:val="x-none"/>
              </w:rPr>
            </w:pPr>
            <w:r>
              <w:rPr>
                <w:rFonts w:ascii="Arial" w:hAnsi="Arial" w:cs="Arial"/>
                <w:sz w:val="24"/>
                <w:szCs w:val="24"/>
              </w:rPr>
              <w:t>4</w:t>
            </w:r>
          </w:p>
        </w:tc>
        <w:tc>
          <w:tcPr>
            <w:tcW w:w="180" w:type="dxa"/>
            <w:tcBorders>
              <w:top w:val="nil"/>
              <w:left w:val="single" w:sz="6" w:space="0" w:color="000000"/>
              <w:bottom w:val="nil"/>
              <w:right w:val="single" w:sz="6" w:space="0" w:color="000000"/>
            </w:tcBorders>
          </w:tcPr>
          <w:p w14:paraId="6D4555C4" w14:textId="77777777" w:rsidR="000A3B2B" w:rsidRDefault="000A3B2B" w:rsidP="006904B4">
            <w:pPr>
              <w:autoSpaceDE w:val="0"/>
              <w:autoSpaceDN w:val="0"/>
              <w:adjustRightInd w:val="0"/>
              <w:spacing w:after="0" w:line="240" w:lineRule="auto"/>
              <w:rPr>
                <w:rFonts w:ascii="Arial" w:hAnsi="Arial" w:cs="Arial"/>
                <w:sz w:val="24"/>
                <w:szCs w:val="24"/>
                <w:lang w:val="x-none"/>
              </w:rPr>
            </w:pPr>
          </w:p>
        </w:tc>
        <w:tc>
          <w:tcPr>
            <w:tcW w:w="300" w:type="dxa"/>
            <w:tcBorders>
              <w:top w:val="single" w:sz="6" w:space="0" w:color="000000"/>
              <w:left w:val="single" w:sz="6" w:space="0" w:color="000000"/>
              <w:bottom w:val="single" w:sz="6" w:space="0" w:color="000000"/>
              <w:right w:val="single" w:sz="6" w:space="0" w:color="000000"/>
            </w:tcBorders>
          </w:tcPr>
          <w:p w14:paraId="17F843DB" w14:textId="77777777" w:rsidR="000A3B2B" w:rsidRDefault="000A3B2B" w:rsidP="006904B4">
            <w:pPr>
              <w:autoSpaceDE w:val="0"/>
              <w:autoSpaceDN w:val="0"/>
              <w:adjustRightInd w:val="0"/>
              <w:spacing w:after="0" w:line="240" w:lineRule="auto"/>
              <w:rPr>
                <w:rFonts w:ascii="Arial" w:hAnsi="Arial" w:cs="Arial"/>
                <w:sz w:val="24"/>
                <w:szCs w:val="24"/>
                <w:lang w:val="x-none"/>
              </w:rPr>
            </w:pPr>
            <w:r>
              <w:rPr>
                <w:rFonts w:ascii="Arial" w:hAnsi="Arial" w:cs="Arial"/>
                <w:sz w:val="24"/>
                <w:szCs w:val="24"/>
                <w:lang w:val="x-none"/>
              </w:rPr>
              <w:t>5</w:t>
            </w:r>
          </w:p>
        </w:tc>
        <w:tc>
          <w:tcPr>
            <w:tcW w:w="180" w:type="dxa"/>
            <w:tcBorders>
              <w:top w:val="nil"/>
              <w:left w:val="single" w:sz="6" w:space="0" w:color="000000"/>
              <w:bottom w:val="nil"/>
              <w:right w:val="single" w:sz="6" w:space="0" w:color="000000"/>
            </w:tcBorders>
          </w:tcPr>
          <w:p w14:paraId="2A4FE195" w14:textId="77777777" w:rsidR="000A3B2B" w:rsidRDefault="000A3B2B" w:rsidP="006904B4">
            <w:pPr>
              <w:autoSpaceDE w:val="0"/>
              <w:autoSpaceDN w:val="0"/>
              <w:adjustRightInd w:val="0"/>
              <w:spacing w:after="0" w:line="240" w:lineRule="auto"/>
              <w:rPr>
                <w:rFonts w:ascii="Arial" w:hAnsi="Arial" w:cs="Arial"/>
                <w:sz w:val="24"/>
                <w:szCs w:val="24"/>
                <w:lang w:val="x-none"/>
              </w:rPr>
            </w:pPr>
          </w:p>
        </w:tc>
        <w:tc>
          <w:tcPr>
            <w:tcW w:w="300" w:type="dxa"/>
            <w:tcBorders>
              <w:top w:val="single" w:sz="6" w:space="0" w:color="000000"/>
              <w:left w:val="single" w:sz="6" w:space="0" w:color="000000"/>
              <w:bottom w:val="single" w:sz="6" w:space="0" w:color="000000"/>
              <w:right w:val="single" w:sz="6" w:space="0" w:color="000000"/>
            </w:tcBorders>
          </w:tcPr>
          <w:p w14:paraId="558DCD5F" w14:textId="77777777" w:rsidR="000A3B2B" w:rsidRDefault="000A3B2B" w:rsidP="006904B4">
            <w:pPr>
              <w:autoSpaceDE w:val="0"/>
              <w:autoSpaceDN w:val="0"/>
              <w:adjustRightInd w:val="0"/>
              <w:spacing w:after="0" w:line="240" w:lineRule="auto"/>
              <w:rPr>
                <w:rFonts w:ascii="Arial" w:hAnsi="Arial" w:cs="Arial"/>
                <w:sz w:val="24"/>
                <w:szCs w:val="24"/>
                <w:lang w:val="x-none"/>
              </w:rPr>
            </w:pPr>
            <w:r>
              <w:rPr>
                <w:rFonts w:ascii="Arial" w:hAnsi="Arial" w:cs="Arial"/>
                <w:sz w:val="24"/>
                <w:szCs w:val="24"/>
                <w:lang w:val="x-none"/>
              </w:rPr>
              <w:t>3</w:t>
            </w:r>
          </w:p>
        </w:tc>
        <w:tc>
          <w:tcPr>
            <w:tcW w:w="180" w:type="dxa"/>
            <w:tcBorders>
              <w:top w:val="nil"/>
              <w:left w:val="single" w:sz="6" w:space="0" w:color="000000"/>
              <w:bottom w:val="nil"/>
              <w:right w:val="single" w:sz="6" w:space="0" w:color="000000"/>
            </w:tcBorders>
          </w:tcPr>
          <w:p w14:paraId="3C0C90DA" w14:textId="77777777" w:rsidR="000A3B2B" w:rsidRDefault="000A3B2B" w:rsidP="006904B4">
            <w:pPr>
              <w:autoSpaceDE w:val="0"/>
              <w:autoSpaceDN w:val="0"/>
              <w:adjustRightInd w:val="0"/>
              <w:spacing w:after="0" w:line="240" w:lineRule="auto"/>
              <w:rPr>
                <w:rFonts w:ascii="Arial" w:hAnsi="Arial" w:cs="Arial"/>
                <w:sz w:val="24"/>
                <w:szCs w:val="24"/>
                <w:lang w:val="x-none"/>
              </w:rPr>
            </w:pPr>
          </w:p>
        </w:tc>
        <w:tc>
          <w:tcPr>
            <w:tcW w:w="300" w:type="dxa"/>
            <w:tcBorders>
              <w:top w:val="single" w:sz="6" w:space="0" w:color="000000"/>
              <w:left w:val="single" w:sz="6" w:space="0" w:color="000000"/>
              <w:bottom w:val="single" w:sz="6" w:space="0" w:color="000000"/>
              <w:right w:val="single" w:sz="6" w:space="0" w:color="000000"/>
            </w:tcBorders>
          </w:tcPr>
          <w:p w14:paraId="491DBEC8" w14:textId="77777777" w:rsidR="000A3B2B" w:rsidRDefault="000A3B2B" w:rsidP="006904B4">
            <w:pPr>
              <w:autoSpaceDE w:val="0"/>
              <w:autoSpaceDN w:val="0"/>
              <w:adjustRightInd w:val="0"/>
              <w:spacing w:after="0" w:line="240" w:lineRule="auto"/>
              <w:rPr>
                <w:rFonts w:ascii="Arial" w:hAnsi="Arial" w:cs="Arial"/>
                <w:sz w:val="24"/>
                <w:szCs w:val="24"/>
                <w:lang w:val="x-none"/>
              </w:rPr>
            </w:pPr>
            <w:r>
              <w:rPr>
                <w:rFonts w:ascii="Arial" w:hAnsi="Arial" w:cs="Arial"/>
                <w:sz w:val="24"/>
                <w:szCs w:val="24"/>
                <w:lang w:val="x-none"/>
              </w:rPr>
              <w:t>3</w:t>
            </w:r>
          </w:p>
        </w:tc>
        <w:tc>
          <w:tcPr>
            <w:tcW w:w="180" w:type="dxa"/>
            <w:tcBorders>
              <w:top w:val="nil"/>
              <w:left w:val="single" w:sz="6" w:space="0" w:color="000000"/>
              <w:bottom w:val="nil"/>
              <w:right w:val="single" w:sz="6" w:space="0" w:color="000000"/>
            </w:tcBorders>
          </w:tcPr>
          <w:p w14:paraId="152CD25B" w14:textId="77777777" w:rsidR="000A3B2B" w:rsidRDefault="000A3B2B" w:rsidP="006904B4">
            <w:pPr>
              <w:autoSpaceDE w:val="0"/>
              <w:autoSpaceDN w:val="0"/>
              <w:adjustRightInd w:val="0"/>
              <w:spacing w:after="0" w:line="240" w:lineRule="auto"/>
              <w:rPr>
                <w:rFonts w:ascii="Arial" w:hAnsi="Arial" w:cs="Arial"/>
                <w:sz w:val="24"/>
                <w:szCs w:val="24"/>
                <w:lang w:val="x-none"/>
              </w:rPr>
            </w:pPr>
          </w:p>
        </w:tc>
        <w:tc>
          <w:tcPr>
            <w:tcW w:w="300" w:type="dxa"/>
            <w:tcBorders>
              <w:top w:val="single" w:sz="6" w:space="0" w:color="000000"/>
              <w:left w:val="single" w:sz="6" w:space="0" w:color="000000"/>
              <w:bottom w:val="single" w:sz="6" w:space="0" w:color="000000"/>
              <w:right w:val="single" w:sz="6" w:space="0" w:color="000000"/>
            </w:tcBorders>
          </w:tcPr>
          <w:p w14:paraId="738E9C69" w14:textId="77777777" w:rsidR="000A3B2B" w:rsidRDefault="000A3B2B" w:rsidP="006904B4">
            <w:pPr>
              <w:autoSpaceDE w:val="0"/>
              <w:autoSpaceDN w:val="0"/>
              <w:adjustRightInd w:val="0"/>
              <w:spacing w:after="0" w:line="240" w:lineRule="auto"/>
              <w:rPr>
                <w:rFonts w:ascii="Arial" w:hAnsi="Arial" w:cs="Arial"/>
                <w:sz w:val="24"/>
                <w:szCs w:val="24"/>
                <w:lang w:val="x-none"/>
              </w:rPr>
            </w:pPr>
            <w:r>
              <w:rPr>
                <w:rFonts w:ascii="Arial" w:hAnsi="Arial" w:cs="Arial"/>
                <w:sz w:val="24"/>
                <w:szCs w:val="24"/>
              </w:rPr>
              <w:t>1</w:t>
            </w:r>
          </w:p>
        </w:tc>
        <w:tc>
          <w:tcPr>
            <w:tcW w:w="180" w:type="dxa"/>
            <w:tcBorders>
              <w:top w:val="nil"/>
              <w:left w:val="single" w:sz="6" w:space="0" w:color="000000"/>
              <w:bottom w:val="nil"/>
              <w:right w:val="single" w:sz="6" w:space="0" w:color="000000"/>
            </w:tcBorders>
          </w:tcPr>
          <w:p w14:paraId="4113608E" w14:textId="77777777" w:rsidR="000A3B2B" w:rsidRDefault="000A3B2B" w:rsidP="006904B4">
            <w:pPr>
              <w:autoSpaceDE w:val="0"/>
              <w:autoSpaceDN w:val="0"/>
              <w:adjustRightInd w:val="0"/>
              <w:spacing w:after="0" w:line="240" w:lineRule="auto"/>
              <w:rPr>
                <w:rFonts w:ascii="Arial" w:hAnsi="Arial" w:cs="Arial"/>
                <w:sz w:val="24"/>
                <w:szCs w:val="24"/>
                <w:lang w:val="x-none"/>
              </w:rPr>
            </w:pPr>
          </w:p>
        </w:tc>
        <w:tc>
          <w:tcPr>
            <w:tcW w:w="300" w:type="dxa"/>
            <w:tcBorders>
              <w:top w:val="single" w:sz="6" w:space="0" w:color="000000"/>
              <w:left w:val="single" w:sz="6" w:space="0" w:color="000000"/>
              <w:bottom w:val="single" w:sz="6" w:space="0" w:color="000000"/>
              <w:right w:val="single" w:sz="6" w:space="0" w:color="000000"/>
            </w:tcBorders>
          </w:tcPr>
          <w:p w14:paraId="1F6BFD88" w14:textId="77777777" w:rsidR="000A3B2B" w:rsidRDefault="000A3B2B" w:rsidP="006904B4">
            <w:pPr>
              <w:autoSpaceDE w:val="0"/>
              <w:autoSpaceDN w:val="0"/>
              <w:adjustRightInd w:val="0"/>
              <w:spacing w:after="0" w:line="240" w:lineRule="auto"/>
              <w:rPr>
                <w:rFonts w:ascii="Arial" w:hAnsi="Arial" w:cs="Arial"/>
                <w:sz w:val="24"/>
                <w:szCs w:val="24"/>
                <w:lang w:val="x-none"/>
              </w:rPr>
            </w:pPr>
            <w:r>
              <w:rPr>
                <w:rFonts w:ascii="Arial" w:hAnsi="Arial" w:cs="Arial"/>
                <w:sz w:val="24"/>
                <w:szCs w:val="24"/>
              </w:rPr>
              <w:t>0</w:t>
            </w:r>
          </w:p>
        </w:tc>
        <w:tc>
          <w:tcPr>
            <w:tcW w:w="180" w:type="dxa"/>
            <w:tcBorders>
              <w:top w:val="nil"/>
              <w:left w:val="single" w:sz="6" w:space="0" w:color="000000"/>
              <w:bottom w:val="nil"/>
              <w:right w:val="single" w:sz="6" w:space="0" w:color="000000"/>
            </w:tcBorders>
          </w:tcPr>
          <w:p w14:paraId="0CEA0AFF" w14:textId="77777777" w:rsidR="000A3B2B" w:rsidRDefault="000A3B2B" w:rsidP="006904B4">
            <w:pPr>
              <w:autoSpaceDE w:val="0"/>
              <w:autoSpaceDN w:val="0"/>
              <w:adjustRightInd w:val="0"/>
              <w:spacing w:after="0" w:line="240" w:lineRule="auto"/>
              <w:rPr>
                <w:rFonts w:ascii="Arial" w:hAnsi="Arial" w:cs="Arial"/>
                <w:sz w:val="24"/>
                <w:szCs w:val="24"/>
                <w:lang w:val="x-none"/>
              </w:rPr>
            </w:pPr>
          </w:p>
        </w:tc>
        <w:tc>
          <w:tcPr>
            <w:tcW w:w="300" w:type="dxa"/>
            <w:tcBorders>
              <w:top w:val="single" w:sz="6" w:space="0" w:color="000000"/>
              <w:left w:val="single" w:sz="6" w:space="0" w:color="000000"/>
              <w:bottom w:val="single" w:sz="6" w:space="0" w:color="000000"/>
              <w:right w:val="single" w:sz="6" w:space="0" w:color="000000"/>
            </w:tcBorders>
          </w:tcPr>
          <w:p w14:paraId="09B4A225" w14:textId="77777777" w:rsidR="000A3B2B" w:rsidRDefault="000A3B2B" w:rsidP="006904B4">
            <w:pPr>
              <w:autoSpaceDE w:val="0"/>
              <w:autoSpaceDN w:val="0"/>
              <w:adjustRightInd w:val="0"/>
              <w:spacing w:after="0" w:line="240" w:lineRule="auto"/>
              <w:rPr>
                <w:rFonts w:ascii="Arial" w:hAnsi="Arial" w:cs="Arial"/>
                <w:sz w:val="24"/>
                <w:szCs w:val="24"/>
                <w:lang w:val="x-none"/>
              </w:rPr>
            </w:pPr>
            <w:r>
              <w:rPr>
                <w:rFonts w:ascii="Arial" w:hAnsi="Arial" w:cs="Arial"/>
                <w:sz w:val="24"/>
                <w:szCs w:val="24"/>
                <w:lang w:val="x-none"/>
              </w:rPr>
              <w:t>0</w:t>
            </w:r>
          </w:p>
        </w:tc>
        <w:tc>
          <w:tcPr>
            <w:tcW w:w="180" w:type="dxa"/>
            <w:tcBorders>
              <w:top w:val="nil"/>
              <w:left w:val="single" w:sz="6" w:space="0" w:color="000000"/>
              <w:bottom w:val="nil"/>
              <w:right w:val="single" w:sz="6" w:space="0" w:color="000000"/>
            </w:tcBorders>
          </w:tcPr>
          <w:p w14:paraId="71BD202F" w14:textId="77777777" w:rsidR="000A3B2B" w:rsidRDefault="000A3B2B" w:rsidP="006904B4">
            <w:pPr>
              <w:autoSpaceDE w:val="0"/>
              <w:autoSpaceDN w:val="0"/>
              <w:adjustRightInd w:val="0"/>
              <w:spacing w:after="0" w:line="240" w:lineRule="auto"/>
              <w:rPr>
                <w:rFonts w:ascii="Arial" w:hAnsi="Arial" w:cs="Arial"/>
                <w:sz w:val="24"/>
                <w:szCs w:val="24"/>
                <w:lang w:val="x-none"/>
              </w:rPr>
            </w:pPr>
          </w:p>
        </w:tc>
        <w:tc>
          <w:tcPr>
            <w:tcW w:w="300" w:type="dxa"/>
            <w:tcBorders>
              <w:top w:val="single" w:sz="6" w:space="0" w:color="000000"/>
              <w:left w:val="single" w:sz="6" w:space="0" w:color="000000"/>
              <w:bottom w:val="single" w:sz="6" w:space="0" w:color="000000"/>
              <w:right w:val="single" w:sz="6" w:space="0" w:color="000000"/>
            </w:tcBorders>
          </w:tcPr>
          <w:p w14:paraId="7F88947F" w14:textId="77777777" w:rsidR="000A3B2B" w:rsidRDefault="000A3B2B" w:rsidP="006904B4">
            <w:pPr>
              <w:autoSpaceDE w:val="0"/>
              <w:autoSpaceDN w:val="0"/>
              <w:adjustRightInd w:val="0"/>
              <w:spacing w:after="0" w:line="240" w:lineRule="auto"/>
              <w:rPr>
                <w:rFonts w:ascii="Arial" w:hAnsi="Arial" w:cs="Arial"/>
                <w:sz w:val="24"/>
                <w:szCs w:val="24"/>
                <w:lang w:val="x-none"/>
              </w:rPr>
            </w:pPr>
            <w:r>
              <w:rPr>
                <w:rFonts w:ascii="Arial" w:hAnsi="Arial" w:cs="Arial"/>
                <w:sz w:val="24"/>
                <w:szCs w:val="24"/>
                <w:lang w:val="x-none"/>
              </w:rPr>
              <w:t>0</w:t>
            </w:r>
          </w:p>
        </w:tc>
        <w:tc>
          <w:tcPr>
            <w:tcW w:w="390" w:type="dxa"/>
            <w:tcBorders>
              <w:top w:val="nil"/>
              <w:left w:val="single" w:sz="6" w:space="0" w:color="000000"/>
              <w:bottom w:val="nil"/>
              <w:right w:val="single" w:sz="6" w:space="0" w:color="000000"/>
            </w:tcBorders>
            <w:vAlign w:val="center"/>
          </w:tcPr>
          <w:p w14:paraId="35B5BBDB" w14:textId="77777777" w:rsidR="000A3B2B" w:rsidRDefault="000A3B2B" w:rsidP="006904B4">
            <w:pPr>
              <w:tabs>
                <w:tab w:val="right" w:pos="7035"/>
              </w:tabs>
              <w:autoSpaceDE w:val="0"/>
              <w:autoSpaceDN w:val="0"/>
              <w:adjustRightInd w:val="0"/>
              <w:spacing w:after="0" w:line="288" w:lineRule="auto"/>
              <w:jc w:val="center"/>
              <w:rPr>
                <w:rFonts w:ascii="Times New Roman" w:hAnsi="Times New Roman" w:cs="Times New Roman"/>
                <w:color w:val="000000"/>
                <w:sz w:val="24"/>
                <w:szCs w:val="24"/>
                <w:lang w:val="x-none"/>
              </w:rPr>
            </w:pPr>
            <w:r>
              <w:rPr>
                <w:rFonts w:ascii="Times New Roman" w:hAnsi="Times New Roman" w:cs="Times New Roman"/>
                <w:color w:val="000000"/>
                <w:sz w:val="24"/>
                <w:szCs w:val="24"/>
                <w:lang w:val="x-none"/>
              </w:rPr>
              <w:t>–</w:t>
            </w:r>
          </w:p>
        </w:tc>
        <w:tc>
          <w:tcPr>
            <w:tcW w:w="300" w:type="dxa"/>
            <w:tcBorders>
              <w:top w:val="single" w:sz="6" w:space="0" w:color="000000"/>
              <w:left w:val="single" w:sz="6" w:space="0" w:color="000000"/>
              <w:bottom w:val="single" w:sz="6" w:space="0" w:color="000000"/>
              <w:right w:val="single" w:sz="6" w:space="0" w:color="000000"/>
            </w:tcBorders>
          </w:tcPr>
          <w:p w14:paraId="17F493CF" w14:textId="77777777" w:rsidR="000A3B2B" w:rsidRDefault="000A3B2B" w:rsidP="006904B4">
            <w:pPr>
              <w:autoSpaceDE w:val="0"/>
              <w:autoSpaceDN w:val="0"/>
              <w:adjustRightInd w:val="0"/>
              <w:spacing w:after="0" w:line="240" w:lineRule="auto"/>
              <w:rPr>
                <w:rFonts w:ascii="Arial" w:hAnsi="Arial" w:cs="Arial"/>
                <w:sz w:val="24"/>
                <w:szCs w:val="24"/>
                <w:lang w:val="x-none"/>
              </w:rPr>
            </w:pPr>
            <w:r>
              <w:rPr>
                <w:rFonts w:ascii="Arial" w:hAnsi="Arial" w:cs="Arial"/>
                <w:sz w:val="24"/>
                <w:szCs w:val="24"/>
              </w:rPr>
              <w:t>3</w:t>
            </w:r>
          </w:p>
        </w:tc>
        <w:tc>
          <w:tcPr>
            <w:tcW w:w="180" w:type="dxa"/>
            <w:tcBorders>
              <w:top w:val="nil"/>
              <w:left w:val="single" w:sz="6" w:space="0" w:color="000000"/>
              <w:bottom w:val="nil"/>
              <w:right w:val="nil"/>
            </w:tcBorders>
          </w:tcPr>
          <w:p w14:paraId="1CD7181C" w14:textId="77777777" w:rsidR="000A3B2B" w:rsidRDefault="000A3B2B" w:rsidP="006904B4">
            <w:pPr>
              <w:autoSpaceDE w:val="0"/>
              <w:autoSpaceDN w:val="0"/>
              <w:adjustRightInd w:val="0"/>
              <w:spacing w:after="0" w:line="240" w:lineRule="auto"/>
              <w:rPr>
                <w:rFonts w:ascii="Arial" w:hAnsi="Arial" w:cs="Arial"/>
                <w:sz w:val="24"/>
                <w:szCs w:val="24"/>
                <w:lang w:val="x-none"/>
              </w:rPr>
            </w:pPr>
          </w:p>
        </w:tc>
        <w:tc>
          <w:tcPr>
            <w:tcW w:w="2820" w:type="dxa"/>
            <w:tcBorders>
              <w:top w:val="nil"/>
              <w:left w:val="nil"/>
              <w:bottom w:val="single" w:sz="6" w:space="0" w:color="auto"/>
              <w:right w:val="nil"/>
            </w:tcBorders>
          </w:tcPr>
          <w:p w14:paraId="02C4AE96" w14:textId="77777777" w:rsidR="000A3B2B" w:rsidRDefault="000A3B2B" w:rsidP="006904B4">
            <w:pPr>
              <w:autoSpaceDE w:val="0"/>
              <w:autoSpaceDN w:val="0"/>
              <w:adjustRightInd w:val="0"/>
              <w:spacing w:after="0" w:line="240" w:lineRule="auto"/>
              <w:rPr>
                <w:rFonts w:ascii="Arial" w:hAnsi="Arial" w:cs="Arial"/>
                <w:sz w:val="24"/>
                <w:szCs w:val="24"/>
                <w:lang w:val="x-none"/>
              </w:rPr>
            </w:pPr>
            <w:r>
              <w:rPr>
                <w:rFonts w:ascii="Arial" w:hAnsi="Arial" w:cs="Arial"/>
                <w:sz w:val="24"/>
                <w:szCs w:val="24"/>
                <w:lang w:val="x-none"/>
              </w:rPr>
              <w:t xml:space="preserve">Roboty </w:t>
            </w:r>
            <w:r>
              <w:rPr>
                <w:rFonts w:ascii="Arial" w:hAnsi="Arial" w:cs="Arial"/>
                <w:sz w:val="24"/>
                <w:szCs w:val="24"/>
              </w:rPr>
              <w:t>izolacyjne</w:t>
            </w:r>
          </w:p>
        </w:tc>
      </w:tr>
    </w:tbl>
    <w:p w14:paraId="619B5D80"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p>
    <w:p w14:paraId="205EE4AC" w14:textId="77777777" w:rsidR="000A3B2B" w:rsidRDefault="000A3B2B" w:rsidP="009E5295">
      <w:pPr>
        <w:autoSpaceDE w:val="0"/>
        <w:autoSpaceDN w:val="0"/>
        <w:adjustRightInd w:val="0"/>
        <w:spacing w:before="225" w:after="12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2.</w:t>
      </w:r>
      <w:r>
        <w:rPr>
          <w:rFonts w:ascii="Arial" w:hAnsi="Arial" w:cs="Arial"/>
          <w:b/>
          <w:bCs/>
          <w:color w:val="000000"/>
          <w:sz w:val="18"/>
          <w:szCs w:val="18"/>
          <w:lang w:val="x-none"/>
        </w:rPr>
        <w:tab/>
        <w:t>WYMAGANIA DOTYCZĄCE MATERIAŁÓW</w:t>
      </w:r>
    </w:p>
    <w:p w14:paraId="737766E9"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2.1.</w:t>
      </w:r>
      <w:r>
        <w:rPr>
          <w:rFonts w:ascii="Arial" w:hAnsi="Arial" w:cs="Arial"/>
          <w:b/>
          <w:bCs/>
          <w:color w:val="000000"/>
          <w:sz w:val="18"/>
          <w:szCs w:val="18"/>
          <w:lang w:val="x-none"/>
        </w:rPr>
        <w:tab/>
        <w:t>Wymagania ogólne</w:t>
      </w:r>
    </w:p>
    <w:p w14:paraId="46B3DCF9"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Ogólne wymagania dotyczące materiałów, ich pozyskiwania i składowania podano w ST „Wymagania ogólne” Kod CPV 45000000-7, pkt 2.</w:t>
      </w:r>
    </w:p>
    <w:p w14:paraId="7D311EAF"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 xml:space="preserve">Materiały stosowane do wykonania robót </w:t>
      </w:r>
      <w:proofErr w:type="spellStart"/>
      <w:r>
        <w:rPr>
          <w:rFonts w:ascii="Arial" w:hAnsi="Arial" w:cs="Arial"/>
          <w:color w:val="000000"/>
          <w:sz w:val="18"/>
          <w:szCs w:val="18"/>
          <w:lang w:val="x-none"/>
        </w:rPr>
        <w:t>ociepleniowych</w:t>
      </w:r>
      <w:proofErr w:type="spellEnd"/>
      <w:r>
        <w:rPr>
          <w:rFonts w:ascii="Arial" w:hAnsi="Arial" w:cs="Arial"/>
          <w:color w:val="000000"/>
          <w:sz w:val="18"/>
          <w:szCs w:val="18"/>
          <w:lang w:val="x-none"/>
        </w:rPr>
        <w:t xml:space="preserve"> powinny mieć:</w:t>
      </w:r>
    </w:p>
    <w:p w14:paraId="607324CC"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oznakowanie znakiem CE co oznacza, że dokonano oceny ich zgodności ze zharmonizowaną normą europejską wprowadzoną do zbioru Polskich Norm lub z europejską oceną techniczną, albo</w:t>
      </w:r>
    </w:p>
    <w:p w14:paraId="3C577E73"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 xml:space="preserve">– </w:t>
      </w:r>
      <w:r>
        <w:rPr>
          <w:rFonts w:ascii="Arial" w:hAnsi="Arial" w:cs="Arial"/>
          <w:color w:val="000000"/>
          <w:sz w:val="18"/>
          <w:szCs w:val="18"/>
          <w:lang w:val="x-none"/>
        </w:rPr>
        <w:tab/>
        <w:t>oznakowanie znakiem budowlanym, co oznacza że są to wyroby nieobjęte normą zharmonizowaną – dla której zakończył się okres koegzystencji – i dla których nie została wydana europejska ocena techniczna, a dokonano oceny zgodności z Polską Normą lub aprobatą techniczną (do końca okresu ważności tej aprobaty wydanej do 31 grudnia 2016 r., a później krajową oceną techniczną), bądź uznano za „regionalny wyrób budowlany”, albo</w:t>
      </w:r>
    </w:p>
    <w:p w14:paraId="039AE18A"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 xml:space="preserve">– </w:t>
      </w:r>
      <w:r>
        <w:rPr>
          <w:rFonts w:ascii="Arial" w:hAnsi="Arial" w:cs="Arial"/>
          <w:color w:val="000000"/>
          <w:sz w:val="18"/>
          <w:szCs w:val="18"/>
          <w:lang w:val="x-none"/>
        </w:rPr>
        <w:tab/>
        <w:t>legalne wprowadzenie do obrotu w innym państwie członkowskim Unii Europejskiej lub w państwie członkowskim Europejskiego Porozumienia o Wolnym Handlu (EFTA) – stronie umowy o Europejskim Obszarze Gospodarczym oraz w Turcji, o ile wyroby budowlane udostępniane na rynku krajowym są nieobjęte zakresem przedmiotowym zharmonizowanych specyfikacji technicznych, o których mowa w art. 2 pkt 10 rozporządzenia Nr 305/2011, a ich właściwości użytkowe umożliwiają spełnienie podstawowych  wymagań przez obiekty budowlane zaprojektowane i budowane w sposób określony w przepisach techniczno-budowlanych, oraz zgodnie z zasadami wiedzy technicznej (wraz z wyrobem budowlanym udostępnianym na rynku krajowym dostarcza się informacje o jego właściwościach użytkowych oznaczonych zgodnie z przepisami państwa, w którym wyrób budowlany został wprowadzony do obrotu, instrukcje stosowania, instrukcje obsługi oraz informacje dotyczące zagrożenia dla zdrowia i bezpieczeństwa, jakie ten wyrób stwarza podczas stosowania i użytkowania), albo</w:t>
      </w:r>
    </w:p>
    <w:p w14:paraId="67CB23DA"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 xml:space="preserve">– </w:t>
      </w:r>
      <w:r>
        <w:rPr>
          <w:rFonts w:ascii="Arial" w:hAnsi="Arial" w:cs="Arial"/>
          <w:color w:val="000000"/>
          <w:sz w:val="18"/>
          <w:szCs w:val="18"/>
          <w:lang w:val="x-none"/>
        </w:rPr>
        <w:tab/>
        <w:t>dopuszczenie do jednostkowego zastosowania w obiekcie budowlanym.</w:t>
      </w:r>
    </w:p>
    <w:p w14:paraId="772B4F4A"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Dodatkowo oznakowanie powinno umożliwiać identyfikację producenta i typu wyrobu, kraju pochodzenia, daty produkcji.</w:t>
      </w:r>
    </w:p>
    <w:p w14:paraId="538DB5B4"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 xml:space="preserve">Specyfikacja standardowa nie opisuje ewentualnych różnic, dotyczących wymagań dla poszczególnych </w:t>
      </w:r>
      <w:proofErr w:type="spellStart"/>
      <w:r>
        <w:rPr>
          <w:rFonts w:ascii="Arial" w:hAnsi="Arial" w:cs="Arial"/>
          <w:color w:val="000000"/>
          <w:sz w:val="18"/>
          <w:szCs w:val="18"/>
          <w:lang w:val="x-none"/>
        </w:rPr>
        <w:t>bezspoinowych</w:t>
      </w:r>
      <w:proofErr w:type="spellEnd"/>
      <w:r>
        <w:rPr>
          <w:rFonts w:ascii="Arial" w:hAnsi="Arial" w:cs="Arial"/>
          <w:color w:val="000000"/>
          <w:sz w:val="18"/>
          <w:szCs w:val="18"/>
          <w:lang w:val="x-none"/>
        </w:rPr>
        <w:t xml:space="preserve"> systemów ociepleń. Należy je uwzględnić przy przygotowywaniu szczegółowej specyfikacji technicznej. </w:t>
      </w:r>
    </w:p>
    <w:p w14:paraId="7E80A2E9"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p>
    <w:p w14:paraId="27F6D3C2"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2.2. Rodzaje materiałów i elementów systemu</w:t>
      </w:r>
    </w:p>
    <w:p w14:paraId="432690EB"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Wszystkie materiały do wykonania ociepleń powinny odpowiadać wymaganiom zawartym w dokumentach odniesienia </w:t>
      </w:r>
      <w:r>
        <w:rPr>
          <w:rFonts w:ascii="Arial" w:hAnsi="Arial" w:cs="Arial"/>
          <w:color w:val="211D1E"/>
          <w:sz w:val="18"/>
          <w:szCs w:val="18"/>
          <w:lang w:val="x-none"/>
        </w:rPr>
        <w:t>(normach, europejskich ocenach technicznych lub</w:t>
      </w:r>
      <w:r>
        <w:rPr>
          <w:rFonts w:ascii="Arial" w:hAnsi="Arial" w:cs="Arial"/>
          <w:color w:val="000000"/>
          <w:sz w:val="18"/>
          <w:szCs w:val="18"/>
          <w:lang w:val="x-none"/>
        </w:rPr>
        <w:t xml:space="preserve"> aprobatach technicznych – wydanych do 31 grudnia 2016 r., a po zakończeniu okresu ich ważności krajowych ocenach technicznych). </w:t>
      </w:r>
    </w:p>
    <w:p w14:paraId="3992603D" w14:textId="77777777" w:rsidR="000A3B2B" w:rsidRDefault="000A3B2B" w:rsidP="009E529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2.2.1.</w:t>
      </w:r>
      <w:r>
        <w:rPr>
          <w:rFonts w:ascii="Arial" w:hAnsi="Arial" w:cs="Arial"/>
          <w:b/>
          <w:bCs/>
          <w:color w:val="000000"/>
          <w:sz w:val="18"/>
          <w:szCs w:val="18"/>
          <w:lang w:val="x-none"/>
        </w:rPr>
        <w:tab/>
        <w:t>Środek gruntujący</w:t>
      </w:r>
    </w:p>
    <w:p w14:paraId="3F82C7F8"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Materiał wodorozcieńczalny (np. dyspersja akrylowa, wodny roztwór szkła wodnego) stosowany, zależnie od rodzaju i stanu podłoża, do jego przygotowania przed klejeniem płyt izolacji termicznej lub na powierzchni warstwy zbrojonej, przed wykonaniem warstwy wykończeniowej. </w:t>
      </w:r>
    </w:p>
    <w:p w14:paraId="173E5DB2" w14:textId="77777777" w:rsidR="000A3B2B" w:rsidRDefault="000A3B2B" w:rsidP="009E529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2.2.2.</w:t>
      </w:r>
      <w:r>
        <w:rPr>
          <w:rFonts w:ascii="Arial" w:hAnsi="Arial" w:cs="Arial"/>
          <w:b/>
          <w:bCs/>
          <w:color w:val="000000"/>
          <w:sz w:val="18"/>
          <w:szCs w:val="18"/>
          <w:lang w:val="x-none"/>
        </w:rPr>
        <w:tab/>
        <w:t>Zaprawa (masa) klejąca</w:t>
      </w:r>
    </w:p>
    <w:p w14:paraId="4E9D3F05"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Gotowy lub wymagający zarobienia z wodą materiał (na bazie cementu modyfikowany polimerami, polimerowy/akrylowy mieszany z cementem, zbrojony włóknem szklanym) do klejenia płyt izolacji termicznej do podłoża, zróżnicowany zależnie od rodzaju izolacji (styropian, wełna mineralna). Wybór zaprawy ma wpływ na klasyfikację palności wyrobu. W niektórych systemach zaprawa klejąca stosowana jest także do wykonania warstwy zbrojonej. Wymagana konsystencja zaprawy (stożek pomiarowy): 10 ±1 cm.</w:t>
      </w:r>
    </w:p>
    <w:p w14:paraId="018775FE" w14:textId="77777777" w:rsidR="000A3B2B" w:rsidRDefault="000A3B2B" w:rsidP="009E529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2.2.3.</w:t>
      </w:r>
      <w:r>
        <w:rPr>
          <w:rFonts w:ascii="Arial" w:hAnsi="Arial" w:cs="Arial"/>
          <w:b/>
          <w:bCs/>
          <w:color w:val="000000"/>
          <w:sz w:val="18"/>
          <w:szCs w:val="18"/>
          <w:lang w:val="x-none"/>
        </w:rPr>
        <w:tab/>
        <w:t>Płyty termoizolacyjne</w:t>
      </w:r>
    </w:p>
    <w:p w14:paraId="44C63637" w14:textId="77777777" w:rsidR="000A3B2B" w:rsidRDefault="000A3B2B" w:rsidP="009E5295">
      <w:pPr>
        <w:autoSpaceDE w:val="0"/>
        <w:autoSpaceDN w:val="0"/>
        <w:adjustRightInd w:val="0"/>
        <w:spacing w:after="30" w:line="240" w:lineRule="auto"/>
        <w:jc w:val="both"/>
        <w:rPr>
          <w:rFonts w:ascii="Arial" w:hAnsi="Arial" w:cs="Arial"/>
          <w:i/>
          <w:iCs/>
          <w:color w:val="000000"/>
          <w:sz w:val="18"/>
          <w:szCs w:val="18"/>
          <w:lang w:val="x-none"/>
        </w:rPr>
      </w:pPr>
      <w:r>
        <w:rPr>
          <w:rFonts w:ascii="Arial" w:hAnsi="Arial" w:cs="Arial"/>
          <w:i/>
          <w:iCs/>
          <w:color w:val="000000"/>
          <w:sz w:val="18"/>
          <w:szCs w:val="18"/>
          <w:lang w:val="x-none"/>
        </w:rPr>
        <w:t>Płyty styropianowe:</w:t>
      </w:r>
    </w:p>
    <w:p w14:paraId="031AA484"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płyty ze styropianu (polistyrenu spienionego) ekspandowanego (EPS 70-0</w:t>
      </w:r>
      <w:r>
        <w:rPr>
          <w:rFonts w:ascii="Arial" w:hAnsi="Arial" w:cs="Arial"/>
          <w:color w:val="000000"/>
          <w:sz w:val="18"/>
          <w:szCs w:val="18"/>
        </w:rPr>
        <w:t>32</w:t>
      </w:r>
      <w:r>
        <w:rPr>
          <w:rFonts w:ascii="Arial" w:hAnsi="Arial" w:cs="Arial"/>
          <w:color w:val="000000"/>
          <w:sz w:val="18"/>
          <w:szCs w:val="18"/>
          <w:lang w:val="x-none"/>
        </w:rPr>
        <w:t xml:space="preserve"> Fasada) mają zastosowanie jako izolacja termiczna BSO przy ograniczeniu do wysokości 25 m powyżej poziomu terenu (budynki nowobudowane) oraz do 11 kondygnacji włącznie (budynki wzniesione przed 01.04.1995). Mocowane są, zależnie od rodzaju podłoża, wysokości budynku i położenia na ścianie – metodą klejenia, za pomocą łączników mechanicznych lub metodą łączoną. Płyty mają krawędzie proste lub frezowane (pióro/wpust, przylga), poprawiające szczelność połączeń. Do elewacji </w:t>
      </w:r>
      <w:proofErr w:type="spellStart"/>
      <w:r>
        <w:rPr>
          <w:rFonts w:ascii="Arial" w:hAnsi="Arial" w:cs="Arial"/>
          <w:color w:val="000000"/>
          <w:sz w:val="18"/>
          <w:szCs w:val="18"/>
          <w:lang w:val="x-none"/>
        </w:rPr>
        <w:t>boniowanych</w:t>
      </w:r>
      <w:proofErr w:type="spellEnd"/>
      <w:r>
        <w:rPr>
          <w:rFonts w:ascii="Arial" w:hAnsi="Arial" w:cs="Arial"/>
          <w:color w:val="000000"/>
          <w:sz w:val="18"/>
          <w:szCs w:val="18"/>
          <w:lang w:val="x-none"/>
        </w:rPr>
        <w:t xml:space="preserve"> produkowane są gotowe, frezowane elementy izolacji lub spoiny frezowane są na powierzchni zwykłych płyt. Szczegółowe wymagania dla płyt ze styropianu ekspandowanego określa norma PN-EN 13163,</w:t>
      </w:r>
    </w:p>
    <w:p w14:paraId="3026144D"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płyty ze styropianu ekstrudowanego – ze względu na niższą w porównaniu ze styropianem ekspandowanym nasiąkliwość, mają zastosowanie w strefach o podwyższonym oddziaływaniu wilgoci (woda rozpryskowa, wilgoć gruntowa), np. na cokołach budynków. Szczegółowe wymagania dla płyt ze styropianu ekstrudowanego określa norma PN-EN 13164,</w:t>
      </w:r>
    </w:p>
    <w:p w14:paraId="3FE5983B" w14:textId="77777777" w:rsidR="000A3B2B" w:rsidRDefault="000A3B2B" w:rsidP="009E5295">
      <w:pPr>
        <w:autoSpaceDE w:val="0"/>
        <w:autoSpaceDN w:val="0"/>
        <w:adjustRightInd w:val="0"/>
        <w:spacing w:after="30" w:line="240" w:lineRule="auto"/>
        <w:jc w:val="both"/>
        <w:rPr>
          <w:rFonts w:ascii="Arial" w:hAnsi="Arial" w:cs="Arial"/>
          <w:i/>
          <w:iCs/>
          <w:color w:val="000000"/>
          <w:sz w:val="18"/>
          <w:szCs w:val="18"/>
          <w:lang w:val="x-none"/>
        </w:rPr>
      </w:pPr>
      <w:r>
        <w:rPr>
          <w:rFonts w:ascii="Arial" w:hAnsi="Arial" w:cs="Arial"/>
          <w:i/>
          <w:iCs/>
          <w:color w:val="000000"/>
          <w:sz w:val="18"/>
          <w:szCs w:val="18"/>
          <w:lang w:val="x-none"/>
        </w:rPr>
        <w:t>płyty z wełny mineralnej</w:t>
      </w:r>
    </w:p>
    <w:p w14:paraId="660DDA23"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płyty z wełny mineralnej zwykłej i </w:t>
      </w:r>
      <w:proofErr w:type="spellStart"/>
      <w:r>
        <w:rPr>
          <w:rFonts w:ascii="Arial" w:hAnsi="Arial" w:cs="Arial"/>
          <w:color w:val="000000"/>
          <w:sz w:val="18"/>
          <w:szCs w:val="18"/>
          <w:lang w:val="x-none"/>
        </w:rPr>
        <w:t>lamelowej</w:t>
      </w:r>
      <w:proofErr w:type="spellEnd"/>
      <w:r>
        <w:rPr>
          <w:rFonts w:ascii="Arial" w:hAnsi="Arial" w:cs="Arial"/>
          <w:color w:val="000000"/>
          <w:sz w:val="18"/>
          <w:szCs w:val="18"/>
          <w:lang w:val="x-none"/>
        </w:rPr>
        <w:t xml:space="preserve"> mają zastosowanie na całych powierzchniach ścian budynków lub, w połączeniu ze styropianem, tylko na części powyżej 25 m ponad poziomem terenu. Płyty z wełny mineralnej zwykłej wymagają w każdym przypadku mocowania mechanicznego, z wełny </w:t>
      </w:r>
      <w:proofErr w:type="spellStart"/>
      <w:r>
        <w:rPr>
          <w:rFonts w:ascii="Arial" w:hAnsi="Arial" w:cs="Arial"/>
          <w:color w:val="000000"/>
          <w:sz w:val="18"/>
          <w:szCs w:val="18"/>
          <w:lang w:val="x-none"/>
        </w:rPr>
        <w:t>lamelowej</w:t>
      </w:r>
      <w:proofErr w:type="spellEnd"/>
      <w:r>
        <w:rPr>
          <w:rFonts w:ascii="Arial" w:hAnsi="Arial" w:cs="Arial"/>
          <w:color w:val="000000"/>
          <w:sz w:val="18"/>
          <w:szCs w:val="18"/>
          <w:lang w:val="x-none"/>
        </w:rPr>
        <w:t xml:space="preserve"> mogą być, zależnie od właściwości podłoża, tylko klejone. Szczegółowe wymagania dla płyt z wełny mineralnej określa norma PN-EN 13162,</w:t>
      </w:r>
    </w:p>
    <w:p w14:paraId="3C764E3A" w14:textId="77777777" w:rsidR="000A3B2B" w:rsidRDefault="000A3B2B" w:rsidP="009E5295">
      <w:pPr>
        <w:autoSpaceDE w:val="0"/>
        <w:autoSpaceDN w:val="0"/>
        <w:adjustRightInd w:val="0"/>
        <w:spacing w:after="30" w:line="240" w:lineRule="auto"/>
        <w:jc w:val="both"/>
        <w:rPr>
          <w:rFonts w:ascii="Arial" w:hAnsi="Arial" w:cs="Arial"/>
          <w:i/>
          <w:iCs/>
          <w:color w:val="000000"/>
          <w:sz w:val="18"/>
          <w:szCs w:val="18"/>
          <w:lang w:val="x-none"/>
        </w:rPr>
      </w:pPr>
      <w:r>
        <w:rPr>
          <w:rFonts w:ascii="Arial" w:hAnsi="Arial" w:cs="Arial"/>
          <w:i/>
          <w:iCs/>
          <w:color w:val="000000"/>
          <w:sz w:val="18"/>
          <w:szCs w:val="18"/>
          <w:lang w:val="x-none"/>
        </w:rPr>
        <w:t>inne materiały termoizolacyjne – szkło piankowe, pianka mineralna itp.</w:t>
      </w:r>
    </w:p>
    <w:p w14:paraId="21A3D4EC" w14:textId="77777777" w:rsidR="000A3B2B" w:rsidRDefault="000A3B2B" w:rsidP="009E5295">
      <w:pPr>
        <w:autoSpaceDE w:val="0"/>
        <w:autoSpaceDN w:val="0"/>
        <w:adjustRightInd w:val="0"/>
        <w:spacing w:after="30" w:line="240" w:lineRule="auto"/>
        <w:jc w:val="both"/>
        <w:rPr>
          <w:rFonts w:ascii="Arial" w:hAnsi="Arial" w:cs="Arial"/>
          <w:b/>
          <w:bCs/>
          <w:color w:val="000000"/>
          <w:sz w:val="18"/>
          <w:szCs w:val="18"/>
          <w:lang w:val="x-none"/>
        </w:rPr>
      </w:pPr>
      <w:r>
        <w:rPr>
          <w:rFonts w:ascii="Arial" w:hAnsi="Arial" w:cs="Arial"/>
          <w:b/>
          <w:bCs/>
          <w:color w:val="000000"/>
          <w:sz w:val="18"/>
          <w:szCs w:val="18"/>
          <w:lang w:val="x-none"/>
        </w:rPr>
        <w:t>2.2.4. Łączniki mechaniczne</w:t>
      </w:r>
    </w:p>
    <w:p w14:paraId="252C3103"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Jako łączniki mechaniczne najczęściej stosuje się:</w:t>
      </w:r>
    </w:p>
    <w:p w14:paraId="2B60FA50"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kołki rozporowe – wkręcane lub wbijane, wykonane z tworzywa sztucznego (nylon, polipropylen, poliamid, polietylen) lub z blachy stalowej, z rdzeniem metalowym lub z tworzywa. Wyposażone są w talerzyki dociskowe, dodatkowo – w krążki termoizolacyjne, zmniejszające efekt powstawania mostków termicznych, </w:t>
      </w:r>
    </w:p>
    <w:p w14:paraId="426F87B5"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profile mocujące – metalowe (ze stali nierdzewnej, aluminium) elementy, służące do mocowania płyt izolacji termicznej o frezowanych krawędziach.</w:t>
      </w:r>
    </w:p>
    <w:p w14:paraId="4BB610E1" w14:textId="77777777" w:rsidR="000A3B2B" w:rsidRDefault="000A3B2B" w:rsidP="009E529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2.2.5. Zaprawa klejąco-zbrojąca</w:t>
      </w:r>
    </w:p>
    <w:p w14:paraId="22B277AF"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Masa oparta na bazie cementu lub bezcementowa (np. dyspersja akrylowo-kopolimerowa), zawierająca wypełniacze (także włókna) przeznaczona do nanoszona na powierzchnię płyt izolacyjnych. W warstwie tej zaprawy zatapiana jest siatka zbrojąca. W niektórych systemach tworzy samodzielnie warstwę zbrojoną.</w:t>
      </w:r>
    </w:p>
    <w:p w14:paraId="33A6364A" w14:textId="77777777" w:rsidR="000A3B2B" w:rsidRDefault="000A3B2B" w:rsidP="009E529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2.2.6. Siatka zbrojąca</w:t>
      </w:r>
    </w:p>
    <w:p w14:paraId="0A7D73D4"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Siatka z włókna szklanego (impregnowanego </w:t>
      </w:r>
      <w:proofErr w:type="spellStart"/>
      <w:r>
        <w:rPr>
          <w:rFonts w:ascii="Arial" w:hAnsi="Arial" w:cs="Arial"/>
          <w:color w:val="000000"/>
          <w:sz w:val="18"/>
          <w:szCs w:val="18"/>
          <w:lang w:val="x-none"/>
        </w:rPr>
        <w:t>przeciwalkalicznie</w:t>
      </w:r>
      <w:proofErr w:type="spellEnd"/>
      <w:r>
        <w:rPr>
          <w:rFonts w:ascii="Arial" w:hAnsi="Arial" w:cs="Arial"/>
          <w:color w:val="000000"/>
          <w:sz w:val="18"/>
          <w:szCs w:val="18"/>
          <w:lang w:val="x-none"/>
        </w:rPr>
        <w:t>) o gramaturze min. 145 g/m</w:t>
      </w:r>
      <w:r>
        <w:rPr>
          <w:rFonts w:ascii="Arial" w:hAnsi="Arial" w:cs="Arial"/>
          <w:color w:val="000000"/>
          <w:position w:val="4"/>
          <w:sz w:val="8"/>
          <w:szCs w:val="8"/>
          <w:lang w:val="x-none"/>
        </w:rPr>
        <w:t>2</w:t>
      </w:r>
      <w:r>
        <w:rPr>
          <w:rFonts w:ascii="Arial" w:hAnsi="Arial" w:cs="Arial"/>
          <w:color w:val="000000"/>
          <w:sz w:val="18"/>
          <w:szCs w:val="18"/>
          <w:lang w:val="x-none"/>
        </w:rPr>
        <w:t xml:space="preserve">, wtapiana w zaprawę zbrojącą. </w:t>
      </w:r>
    </w:p>
    <w:p w14:paraId="09D12F4F" w14:textId="77777777" w:rsidR="000A3B2B" w:rsidRDefault="000A3B2B" w:rsidP="009E529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2.2.7. Zaprawy (masy) tynkarskie</w:t>
      </w:r>
    </w:p>
    <w:p w14:paraId="3910B261" w14:textId="77777777" w:rsidR="000A3B2B" w:rsidRDefault="000A3B2B" w:rsidP="002B3DF1">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Jako zaprawy tynkarskie stosuje się: </w:t>
      </w:r>
    </w:p>
    <w:p w14:paraId="5098146B" w14:textId="77777777" w:rsidR="000A3B2B" w:rsidRPr="00F12B90" w:rsidRDefault="000A3B2B" w:rsidP="00F12B90">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masy </w:t>
      </w:r>
      <w:proofErr w:type="spellStart"/>
      <w:r>
        <w:rPr>
          <w:rFonts w:ascii="Arial" w:hAnsi="Arial" w:cs="Arial"/>
          <w:color w:val="000000"/>
          <w:sz w:val="18"/>
          <w:szCs w:val="18"/>
          <w:lang w:val="x-none"/>
        </w:rPr>
        <w:t>sil</w:t>
      </w:r>
      <w:r>
        <w:rPr>
          <w:rFonts w:ascii="Arial" w:hAnsi="Arial" w:cs="Arial"/>
          <w:color w:val="000000"/>
          <w:sz w:val="18"/>
          <w:szCs w:val="18"/>
        </w:rPr>
        <w:t>oksanowe</w:t>
      </w:r>
      <w:proofErr w:type="spellEnd"/>
      <w:r>
        <w:rPr>
          <w:rFonts w:ascii="Arial" w:hAnsi="Arial" w:cs="Arial"/>
          <w:color w:val="000000"/>
          <w:sz w:val="18"/>
          <w:szCs w:val="18"/>
          <w:lang w:val="x-none"/>
        </w:rPr>
        <w:t xml:space="preserve"> – </w:t>
      </w:r>
      <w:r w:rsidRPr="00F12B90">
        <w:rPr>
          <w:rFonts w:ascii="Arial" w:hAnsi="Arial" w:cs="Arial"/>
          <w:color w:val="000000"/>
          <w:sz w:val="18"/>
          <w:szCs w:val="18"/>
          <w:lang w:val="x-none"/>
        </w:rPr>
        <w:t xml:space="preserve">wodna dyspersja </w:t>
      </w:r>
      <w:proofErr w:type="spellStart"/>
      <w:r w:rsidRPr="00F12B90">
        <w:rPr>
          <w:rFonts w:ascii="Arial" w:hAnsi="Arial" w:cs="Arial"/>
          <w:color w:val="000000"/>
          <w:sz w:val="18"/>
          <w:szCs w:val="18"/>
          <w:lang w:val="x-none"/>
        </w:rPr>
        <w:t>styrenowoakrylowa</w:t>
      </w:r>
      <w:proofErr w:type="spellEnd"/>
      <w:r w:rsidRPr="00F12B90">
        <w:rPr>
          <w:rFonts w:ascii="Arial" w:hAnsi="Arial" w:cs="Arial"/>
          <w:color w:val="000000"/>
          <w:sz w:val="18"/>
          <w:szCs w:val="18"/>
          <w:lang w:val="x-none"/>
        </w:rPr>
        <w:t xml:space="preserve"> z dodatkiem emulsji</w:t>
      </w:r>
      <w:r>
        <w:rPr>
          <w:rFonts w:ascii="Arial" w:hAnsi="Arial" w:cs="Arial"/>
          <w:color w:val="000000"/>
          <w:sz w:val="18"/>
          <w:szCs w:val="18"/>
        </w:rPr>
        <w:t xml:space="preserve"> </w:t>
      </w:r>
      <w:proofErr w:type="spellStart"/>
      <w:r w:rsidRPr="00F12B90">
        <w:rPr>
          <w:rFonts w:ascii="Arial" w:hAnsi="Arial" w:cs="Arial"/>
          <w:color w:val="000000"/>
          <w:sz w:val="18"/>
          <w:szCs w:val="18"/>
          <w:lang w:val="x-none"/>
        </w:rPr>
        <w:t>siloksanowej</w:t>
      </w:r>
      <w:proofErr w:type="spellEnd"/>
      <w:r w:rsidRPr="00F12B90">
        <w:rPr>
          <w:rFonts w:ascii="Arial" w:hAnsi="Arial" w:cs="Arial"/>
          <w:color w:val="000000"/>
          <w:sz w:val="18"/>
          <w:szCs w:val="18"/>
          <w:lang w:val="x-none"/>
        </w:rPr>
        <w:t>, wypełniaczy</w:t>
      </w:r>
    </w:p>
    <w:p w14:paraId="75543D43" w14:textId="77777777" w:rsidR="000A3B2B" w:rsidRDefault="000A3B2B" w:rsidP="00F12B90">
      <w:pPr>
        <w:autoSpaceDE w:val="0"/>
        <w:autoSpaceDN w:val="0"/>
        <w:adjustRightInd w:val="0"/>
        <w:spacing w:after="30" w:line="240" w:lineRule="auto"/>
        <w:ind w:left="285" w:hanging="285"/>
        <w:jc w:val="both"/>
        <w:rPr>
          <w:rFonts w:ascii="Arial" w:hAnsi="Arial" w:cs="Arial"/>
          <w:color w:val="000000"/>
          <w:sz w:val="18"/>
          <w:szCs w:val="18"/>
          <w:lang w:val="x-none"/>
        </w:rPr>
      </w:pPr>
      <w:r w:rsidRPr="00F12B90">
        <w:rPr>
          <w:rFonts w:ascii="Arial" w:hAnsi="Arial" w:cs="Arial"/>
          <w:color w:val="000000"/>
          <w:sz w:val="18"/>
          <w:szCs w:val="18"/>
          <w:lang w:val="x-none"/>
        </w:rPr>
        <w:t>mineralnych i pigmentów</w:t>
      </w:r>
      <w:r>
        <w:rPr>
          <w:rFonts w:ascii="Arial" w:hAnsi="Arial" w:cs="Arial"/>
          <w:color w:val="000000"/>
          <w:sz w:val="18"/>
          <w:szCs w:val="18"/>
          <w:lang w:val="x-none"/>
        </w:rPr>
        <w:t xml:space="preserve">. Barwione w masie nie wymagają malowania farbami elewacyjnymi. </w:t>
      </w:r>
    </w:p>
    <w:p w14:paraId="3BBF1EDD" w14:textId="77777777" w:rsidR="000A3B2B" w:rsidRDefault="000A3B2B" w:rsidP="009E529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2.2.8. Farby</w:t>
      </w:r>
    </w:p>
    <w:p w14:paraId="2E0FD0F0"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Farby elewacyjne akrylowe, krzemianowe (silikatowe) i silikonowe, stosowane jako element systemu lub uzupełniająco na powierzchniach tynków cienkowarstwowych.</w:t>
      </w:r>
    </w:p>
    <w:p w14:paraId="2FCF5A0F" w14:textId="77777777" w:rsidR="000A3B2B" w:rsidRDefault="000A3B2B" w:rsidP="009E529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 xml:space="preserve">2.2.9. Elementy uzupełniające </w:t>
      </w:r>
    </w:p>
    <w:p w14:paraId="40BEC73E"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Elementy uzupełniające – dodatkowe akcesoria systemowe to a przykład:</w:t>
      </w:r>
    </w:p>
    <w:p w14:paraId="71EE6E89"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narożniki ochronne – elementy: z włókna szklanego (siatki), PCW, blachy stalowej </w:t>
      </w:r>
    </w:p>
    <w:p w14:paraId="631375E1"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 xml:space="preserve">i aluminiowej (z ramionami z siatki), służące do zabezpieczenia (wzmocnienia) krawędzi (narożników budynków, ościeży itp.) przed uszkodzeniami mechanicznymi, </w:t>
      </w:r>
    </w:p>
    <w:p w14:paraId="7C9E192B"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listwy krawędziowe – elementy ze stali nierdzewnej (aluminium) służące do wykonywania styków BSO z innymi materiałami (np. ościeżnicami), </w:t>
      </w:r>
    </w:p>
    <w:p w14:paraId="58387E0E"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profile dylatacyjne – elementy metalowe lub z włókna szklanego, służące do kształtowania szczelin dylatacyjnych na powierzchni BSO,</w:t>
      </w:r>
    </w:p>
    <w:p w14:paraId="0A48CD9C"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taśmy uszczelniające – rozprężne taśmy z elastycznej, </w:t>
      </w:r>
      <w:proofErr w:type="spellStart"/>
      <w:r>
        <w:rPr>
          <w:rFonts w:ascii="Arial" w:hAnsi="Arial" w:cs="Arial"/>
          <w:color w:val="000000"/>
          <w:sz w:val="18"/>
          <w:szCs w:val="18"/>
          <w:lang w:val="x-none"/>
        </w:rPr>
        <w:t>bitumizowanej</w:t>
      </w:r>
      <w:proofErr w:type="spellEnd"/>
      <w:r>
        <w:rPr>
          <w:rFonts w:ascii="Arial" w:hAnsi="Arial" w:cs="Arial"/>
          <w:color w:val="000000"/>
          <w:sz w:val="18"/>
          <w:szCs w:val="18"/>
          <w:lang w:val="x-none"/>
        </w:rPr>
        <w:t xml:space="preserve"> pianki (poliuretanowej) do wypełniania szczelin dylatacyjnych, połączeń BSO z ościeżnicami, obróbkami blacharskimi i innymi detalami elewacyjnymi,</w:t>
      </w:r>
    </w:p>
    <w:p w14:paraId="26048A14"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pianka uszczelniająca – materiał do wypełniania nieszczelnych połączeń między płytami izolacji termicznej,</w:t>
      </w:r>
    </w:p>
    <w:p w14:paraId="1731E1C8"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siatka pancerna – siatka z włókna szklanego o wzmocnionej strukturze (gramatura ~500 g/m</w:t>
      </w:r>
      <w:r>
        <w:rPr>
          <w:rFonts w:ascii="Arial" w:hAnsi="Arial" w:cs="Arial"/>
          <w:color w:val="000000"/>
          <w:position w:val="4"/>
          <w:sz w:val="8"/>
          <w:szCs w:val="8"/>
          <w:lang w:val="x-none"/>
        </w:rPr>
        <w:t>2</w:t>
      </w:r>
      <w:r>
        <w:rPr>
          <w:rFonts w:ascii="Arial" w:hAnsi="Arial" w:cs="Arial"/>
          <w:color w:val="000000"/>
          <w:sz w:val="18"/>
          <w:szCs w:val="18"/>
          <w:lang w:val="x-none"/>
        </w:rPr>
        <w:t>), do wykonania wzmocnionej warstwy zbrojonej BSO w strefach o podwyższonym oddziaływaniu mechanicznym (np. do wysokości 2 m ponad poziomem terenu),</w:t>
      </w:r>
    </w:p>
    <w:p w14:paraId="6FAF7831"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siatka do detali – siatka z włókna szklanego o delikatnej strukturze (gramatura ~50 g/m</w:t>
      </w:r>
      <w:r>
        <w:rPr>
          <w:rFonts w:ascii="Arial" w:hAnsi="Arial" w:cs="Arial"/>
          <w:color w:val="000000"/>
          <w:position w:val="4"/>
          <w:sz w:val="8"/>
          <w:szCs w:val="8"/>
          <w:lang w:val="x-none"/>
        </w:rPr>
        <w:t>2</w:t>
      </w:r>
      <w:r>
        <w:rPr>
          <w:rFonts w:ascii="Arial" w:hAnsi="Arial" w:cs="Arial"/>
          <w:color w:val="000000"/>
          <w:sz w:val="18"/>
          <w:szCs w:val="18"/>
          <w:lang w:val="x-none"/>
        </w:rPr>
        <w:t>) do kształtowania detali elewacji (boniowanie, profile),</w:t>
      </w:r>
    </w:p>
    <w:p w14:paraId="39A2D508"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profile (elementy) dekoracyjne – gotowe elementy do kształtowania elewacji (gzymsy, obramienia, podokienniki), wykonane z granulatu szklanego, styropianu, pokrywane ewentualnie warstwą zbrojoną i malowane, </w:t>
      </w:r>
    </w:p>
    <w:p w14:paraId="36D356AB"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rPr>
      </w:pPr>
      <w:r>
        <w:rPr>
          <w:rFonts w:ascii="Arial" w:hAnsi="Arial" w:cs="Arial"/>
          <w:color w:val="000000"/>
          <w:sz w:val="18"/>
          <w:szCs w:val="18"/>
          <w:lang w:val="x-none"/>
        </w:rPr>
        <w:t>–</w:t>
      </w:r>
      <w:r>
        <w:rPr>
          <w:rFonts w:ascii="Arial" w:hAnsi="Arial" w:cs="Arial"/>
          <w:color w:val="000000"/>
          <w:sz w:val="18"/>
          <w:szCs w:val="18"/>
          <w:lang w:val="x-none"/>
        </w:rPr>
        <w:tab/>
        <w:t>podokienniki – systemowe elementy, wykonane z blachy lakierowanej, powlekanej (stalowej, aluminiowej), dostosowane do montażu z BSO</w:t>
      </w:r>
      <w:r>
        <w:rPr>
          <w:rFonts w:ascii="Arial" w:hAnsi="Arial" w:cs="Arial"/>
          <w:color w:val="000000"/>
          <w:sz w:val="18"/>
          <w:szCs w:val="18"/>
        </w:rPr>
        <w:t>,</w:t>
      </w:r>
    </w:p>
    <w:p w14:paraId="64B0B1E4" w14:textId="77777777" w:rsidR="000A3B2B" w:rsidRPr="002B3DF1" w:rsidRDefault="000A3B2B" w:rsidP="009E5295">
      <w:pPr>
        <w:autoSpaceDE w:val="0"/>
        <w:autoSpaceDN w:val="0"/>
        <w:adjustRightInd w:val="0"/>
        <w:spacing w:after="30" w:line="240" w:lineRule="auto"/>
        <w:ind w:left="285" w:hanging="285"/>
        <w:jc w:val="both"/>
        <w:rPr>
          <w:rFonts w:ascii="Arial" w:hAnsi="Arial" w:cs="Arial"/>
          <w:color w:val="000000"/>
          <w:sz w:val="18"/>
          <w:szCs w:val="18"/>
        </w:rPr>
      </w:pPr>
      <w:r>
        <w:rPr>
          <w:rFonts w:ascii="Arial" w:hAnsi="Arial" w:cs="Arial"/>
          <w:color w:val="000000"/>
          <w:sz w:val="18"/>
          <w:szCs w:val="18"/>
        </w:rPr>
        <w:t>-</w:t>
      </w:r>
      <w:r>
        <w:rPr>
          <w:rFonts w:ascii="Arial" w:hAnsi="Arial" w:cs="Arial"/>
          <w:color w:val="000000"/>
          <w:sz w:val="18"/>
          <w:szCs w:val="18"/>
        </w:rPr>
        <w:tab/>
        <w:t>szablony do wykonania detali architektonicznych elewacji typu cegła.</w:t>
      </w:r>
    </w:p>
    <w:p w14:paraId="69A55483"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06A819E2"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2.3. Wariantowe stosowanie materiałów</w:t>
      </w:r>
    </w:p>
    <w:p w14:paraId="79F5A2FA"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Zgodnie z określeniem art. 2 pkt 1 Ustawy z dnia 16 kwietnia 2004 r. o wyrobach budowlanych </w:t>
      </w:r>
      <w:proofErr w:type="spellStart"/>
      <w:r>
        <w:rPr>
          <w:rFonts w:ascii="Arial" w:hAnsi="Arial" w:cs="Arial"/>
          <w:color w:val="000000"/>
          <w:sz w:val="18"/>
          <w:szCs w:val="18"/>
          <w:lang w:val="x-none"/>
        </w:rPr>
        <w:t>bezspoinowe</w:t>
      </w:r>
      <w:proofErr w:type="spellEnd"/>
      <w:r>
        <w:rPr>
          <w:rFonts w:ascii="Arial" w:hAnsi="Arial" w:cs="Arial"/>
          <w:color w:val="000000"/>
          <w:sz w:val="18"/>
          <w:szCs w:val="18"/>
          <w:lang w:val="x-none"/>
        </w:rPr>
        <w:t xml:space="preserve"> systemy ocieplania są wyrobami budowlanymi i powinny być stosowane zgodnie z wydanymi im aprobatami technicznymi – wydanymi do 31 grudnia 2016 r., a po zakończeniu okresu ich ważności krajowymi ocenami technicznymi. Wynika z tego wymóg konieczności wyłącznego stosowania składników systemu, wymienionych w odpowiedniej aprobacie technicznej (wydanej do 31 grudnia 2016 r., a po zakończeniu okresu jej ważności krajowej oceny technicznej), pkt 3.1. Materiały i elementy.</w:t>
      </w:r>
    </w:p>
    <w:p w14:paraId="5F7A53A5"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p>
    <w:p w14:paraId="72E7C079"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 xml:space="preserve">2.4. Warunki przyjęcia na budowę wyrobów </w:t>
      </w:r>
      <w:proofErr w:type="spellStart"/>
      <w:r>
        <w:rPr>
          <w:rFonts w:ascii="Arial" w:hAnsi="Arial" w:cs="Arial"/>
          <w:b/>
          <w:bCs/>
          <w:color w:val="000000"/>
          <w:sz w:val="18"/>
          <w:szCs w:val="18"/>
          <w:lang w:val="x-none"/>
        </w:rPr>
        <w:t>ociepleniowych</w:t>
      </w:r>
      <w:proofErr w:type="spellEnd"/>
      <w:r>
        <w:rPr>
          <w:rFonts w:ascii="Arial" w:hAnsi="Arial" w:cs="Arial"/>
          <w:b/>
          <w:bCs/>
          <w:color w:val="000000"/>
          <w:sz w:val="18"/>
          <w:szCs w:val="18"/>
          <w:lang w:val="x-none"/>
        </w:rPr>
        <w:t xml:space="preserve"> </w:t>
      </w:r>
    </w:p>
    <w:p w14:paraId="3FCFD280"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Wyroby do systemów </w:t>
      </w:r>
      <w:proofErr w:type="spellStart"/>
      <w:r>
        <w:rPr>
          <w:rFonts w:ascii="Arial" w:hAnsi="Arial" w:cs="Arial"/>
          <w:color w:val="000000"/>
          <w:sz w:val="18"/>
          <w:szCs w:val="18"/>
          <w:lang w:val="x-none"/>
        </w:rPr>
        <w:t>ociepleniowych</w:t>
      </w:r>
      <w:proofErr w:type="spellEnd"/>
      <w:r>
        <w:rPr>
          <w:rFonts w:ascii="Arial" w:hAnsi="Arial" w:cs="Arial"/>
          <w:color w:val="000000"/>
          <w:sz w:val="18"/>
          <w:szCs w:val="18"/>
          <w:lang w:val="x-none"/>
        </w:rPr>
        <w:t xml:space="preserve"> mogą być przyjęte na budowę, jeśli spełniają następujące warunki:</w:t>
      </w:r>
    </w:p>
    <w:p w14:paraId="22CB4BBF"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są zgodne z ich wyszczególnieniem i charakterystyką podaną w dokumentacji projektowej i specyfikacji technicznej (szczegółowej),</w:t>
      </w:r>
    </w:p>
    <w:p w14:paraId="6C25B0A8"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są właściwie oznakowane i opakowane,</w:t>
      </w:r>
    </w:p>
    <w:p w14:paraId="7CF707CD"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spełniają wymagane właściwości, wskazane odpowiednimi dokumentami odniesienia,</w:t>
      </w:r>
    </w:p>
    <w:p w14:paraId="2BF33D88"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producent dostarczył dokumenty świadczące o dopuszczeniu do obrotu lub udostępnieniu na rynku krajowym bądź do jednostkowego zastosowania oraz karty katalogowe wyrobów lub firmowe wytyczne stosowania wyrobów.</w:t>
      </w:r>
    </w:p>
    <w:p w14:paraId="2D8C6033"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 xml:space="preserve">Niedopuszczalne jest stosowanie do robót </w:t>
      </w:r>
      <w:proofErr w:type="spellStart"/>
      <w:r>
        <w:rPr>
          <w:rFonts w:ascii="Arial" w:hAnsi="Arial" w:cs="Arial"/>
          <w:color w:val="000000"/>
          <w:sz w:val="18"/>
          <w:szCs w:val="18"/>
          <w:lang w:val="x-none"/>
        </w:rPr>
        <w:t>ociepleniowych</w:t>
      </w:r>
      <w:proofErr w:type="spellEnd"/>
      <w:r>
        <w:rPr>
          <w:rFonts w:ascii="Arial" w:hAnsi="Arial" w:cs="Arial"/>
          <w:color w:val="000000"/>
          <w:sz w:val="18"/>
          <w:szCs w:val="18"/>
          <w:lang w:val="x-none"/>
        </w:rPr>
        <w:t xml:space="preserve"> wyrobów pochodzących z systemów różnych producentów lub nieznanego pochodzenia.</w:t>
      </w:r>
    </w:p>
    <w:p w14:paraId="7D535D8A"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Przyjęcie materiałów i wyrobów na budowę powinno być potwierdzone odpowiednim protokółem lub wpisem do dziennika budowy.</w:t>
      </w:r>
    </w:p>
    <w:p w14:paraId="02386F3F"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p>
    <w:p w14:paraId="4A107DF5"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 xml:space="preserve">2.5. Warunki przechowywania i składowania wyrobów do robót </w:t>
      </w:r>
      <w:proofErr w:type="spellStart"/>
      <w:r>
        <w:rPr>
          <w:rFonts w:ascii="Arial" w:hAnsi="Arial" w:cs="Arial"/>
          <w:b/>
          <w:bCs/>
          <w:color w:val="000000"/>
          <w:sz w:val="18"/>
          <w:szCs w:val="18"/>
          <w:lang w:val="x-none"/>
        </w:rPr>
        <w:t>ociepleniowych</w:t>
      </w:r>
      <w:proofErr w:type="spellEnd"/>
      <w:r>
        <w:rPr>
          <w:rFonts w:ascii="Arial" w:hAnsi="Arial" w:cs="Arial"/>
          <w:b/>
          <w:bCs/>
          <w:color w:val="000000"/>
          <w:sz w:val="18"/>
          <w:szCs w:val="18"/>
          <w:lang w:val="x-none"/>
        </w:rPr>
        <w:t xml:space="preserve"> </w:t>
      </w:r>
    </w:p>
    <w:p w14:paraId="75BCF113"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Wszystkie materiały powinny być dostarczane w oryginalnych opakowaniach i przechowywane zgodnie z instrukcją producenta lub odpowiednią normą, europejską oceną techniczną, aprobatą techniczną (wydaną do 31 grudnia 2016 r., a po zakończeniu okresu jej ważności krajową oceną techniczną).</w:t>
      </w:r>
    </w:p>
    <w:p w14:paraId="6C796B46"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Podstawowe zasady przechowywania: </w:t>
      </w:r>
    </w:p>
    <w:p w14:paraId="09154290"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środki gruntujące, gotowe masy (zaprawy, kleje), farby – przechowywać w szczelnie zamkniętych opakowaniach, zabezpieczonych przed bezpośrednim nasłonecznieniem i działaniem mrozu, przez okres zgodny z wytycznymi producenta,</w:t>
      </w:r>
    </w:p>
    <w:p w14:paraId="0FA7319B"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materiały suche – przechowywać w szczelnie zamkniętych opakowaniach, w warunkach suchych, przez okres zgodny z wytycznymi producenta,</w:t>
      </w:r>
    </w:p>
    <w:p w14:paraId="1C26CFFE"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izolacja termiczna – płyty ze styropianu i wełny mineralnej przechowywać w warunkach zabezpieczonych przed uszkodzeniem i oddziaływaniem warunków atmosferycznych,</w:t>
      </w:r>
    </w:p>
    <w:p w14:paraId="1805FE18"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siatki zbrojące, listwy, profile, okładziny – przechowywać w warunkach zabezpieczonych przed zanieczyszczeniem i uszkodzeniem mechanicznym.</w:t>
      </w:r>
    </w:p>
    <w:p w14:paraId="38F1A8C0"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29E392E9" w14:textId="77777777" w:rsidR="000A3B2B" w:rsidRDefault="000A3B2B" w:rsidP="009E5295">
      <w:pPr>
        <w:autoSpaceDE w:val="0"/>
        <w:autoSpaceDN w:val="0"/>
        <w:adjustRightInd w:val="0"/>
        <w:spacing w:before="225" w:after="12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3. WYMAGANIA DOTYCZĄCE SPRZĘTU, MASZYN I NARZĘDZI</w:t>
      </w:r>
    </w:p>
    <w:p w14:paraId="1A87C139"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 xml:space="preserve">3.1. </w:t>
      </w:r>
      <w:r>
        <w:rPr>
          <w:rFonts w:ascii="Arial" w:hAnsi="Arial" w:cs="Arial"/>
          <w:b/>
          <w:bCs/>
          <w:color w:val="000000"/>
          <w:sz w:val="18"/>
          <w:szCs w:val="18"/>
          <w:lang w:val="x-none"/>
        </w:rPr>
        <w:tab/>
        <w:t xml:space="preserve">Ogólne wymagania </w:t>
      </w:r>
    </w:p>
    <w:p w14:paraId="650C739C"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Wymagania ogólne dotyczące sprzętu podano w ST „Wymagania ogólne” Kod CPV 45000000 – 7, pkt. 3.</w:t>
      </w:r>
    </w:p>
    <w:p w14:paraId="29BC0196"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 xml:space="preserve">3.2. </w:t>
      </w:r>
      <w:r>
        <w:rPr>
          <w:rFonts w:ascii="Arial" w:hAnsi="Arial" w:cs="Arial"/>
          <w:b/>
          <w:bCs/>
          <w:color w:val="000000"/>
          <w:sz w:val="18"/>
          <w:szCs w:val="18"/>
          <w:lang w:val="x-none"/>
        </w:rPr>
        <w:tab/>
        <w:t>Sprzęt do wykonywania BSO</w:t>
      </w:r>
    </w:p>
    <w:p w14:paraId="2C95B022"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Najczęściej stosowany sprzęt do robót dociepleniowych to:</w:t>
      </w:r>
    </w:p>
    <w:p w14:paraId="0592DDA0"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do prowadzenia robót na wysokości – wszystkie typy rusztowań i urządzeń transportu pionowego, stosowanych do robót elewacyjnych, </w:t>
      </w:r>
    </w:p>
    <w:p w14:paraId="6E4CEB5C"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do przygotowania mas i zapraw – mieszarki mechaniczne (wolnoobrotowe), stosowane do mieszania mas, zapraw i klejów budowlanych, </w:t>
      </w:r>
    </w:p>
    <w:p w14:paraId="17EE1705"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do transportu i przechowywania materiałów – opakowania fabryczne, duże pojemniki (silosy, opakowania typu „big </w:t>
      </w:r>
      <w:proofErr w:type="spellStart"/>
      <w:r>
        <w:rPr>
          <w:rFonts w:ascii="Arial" w:hAnsi="Arial" w:cs="Arial"/>
          <w:color w:val="000000"/>
          <w:sz w:val="18"/>
          <w:szCs w:val="18"/>
          <w:lang w:val="x-none"/>
        </w:rPr>
        <w:t>bag</w:t>
      </w:r>
      <w:proofErr w:type="spellEnd"/>
      <w:r>
        <w:rPr>
          <w:rFonts w:ascii="Arial" w:hAnsi="Arial" w:cs="Arial"/>
          <w:color w:val="000000"/>
          <w:sz w:val="18"/>
          <w:szCs w:val="18"/>
          <w:lang w:val="x-none"/>
        </w:rPr>
        <w:t>”) do materiałów suchych i o konsystencji past,</w:t>
      </w:r>
    </w:p>
    <w:p w14:paraId="23F5D231"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do nakładania mas i zapraw – tradycyjny sprzęt i narzędzia do nakładania ręcznego (pace, kielnie, szpachelki, łaty) oraz do podawania i nakładania mechanicznego (pompy, pompy mieszające, agregaty, pistolety natryskowe), także w systemowym zestawieniu z pojemnikami na materiały,</w:t>
      </w:r>
    </w:p>
    <w:p w14:paraId="288D5E32"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do cięcia płyt izolacji termicznej i kształtowania ich powierzchni i krawędzi – szlifierki ręczne, piły ręczne i elektryczne, frezarki do kształtowania krawędzi i powierzchni płyt (boniowanie),</w:t>
      </w:r>
    </w:p>
    <w:p w14:paraId="52636713"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do mocowania płyt – wiertarki zwykłe i udarowe, osprzęt (nasadki) do kształtowania otworów (zagłębianie talerzyków i krążków termoizolacyjnych), </w:t>
      </w:r>
    </w:p>
    <w:p w14:paraId="4A76259C"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do kształtowania powierzchni tynków – pace stalowe, z tworzywa sztucznego, narzędzia do modelowania powierzchni,</w:t>
      </w:r>
    </w:p>
    <w:p w14:paraId="318DA61E"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pozostały sprzęt – przyrządy pomiarowe (taśmy i mierniki laserowe) poziomnice, łaty, niwelatory, sznury traserskie itp. </w:t>
      </w:r>
    </w:p>
    <w:p w14:paraId="222A9B93"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p>
    <w:p w14:paraId="579F259A" w14:textId="77777777" w:rsidR="000A3B2B" w:rsidRDefault="000A3B2B" w:rsidP="009E5295">
      <w:pPr>
        <w:autoSpaceDE w:val="0"/>
        <w:autoSpaceDN w:val="0"/>
        <w:adjustRightInd w:val="0"/>
        <w:spacing w:before="225" w:after="12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4. WYMAGANIA DOTYCZĄCE TRANSPORTU</w:t>
      </w:r>
    </w:p>
    <w:p w14:paraId="0F725E90"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4.1.</w:t>
      </w:r>
      <w:r>
        <w:rPr>
          <w:rFonts w:ascii="Arial" w:hAnsi="Arial" w:cs="Arial"/>
          <w:b/>
          <w:bCs/>
          <w:color w:val="000000"/>
          <w:sz w:val="18"/>
          <w:szCs w:val="18"/>
          <w:lang w:val="x-none"/>
        </w:rPr>
        <w:tab/>
        <w:t>Wymagania ogólne</w:t>
      </w:r>
    </w:p>
    <w:p w14:paraId="31A27715"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Ogólne wymagania dotyczące transportu podano w ST „Wymagania ogólne” Kod CPV 45000000-7, pkt 4.</w:t>
      </w:r>
    </w:p>
    <w:p w14:paraId="40BF2005"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7F3C2CEA"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4.2. Transport materiałów</w:t>
      </w:r>
    </w:p>
    <w:p w14:paraId="429409B0"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Materiały wchodzące w skład BSO należy transportować zgodnie z wymaganiami producentów materiałów, aprobaty technicznej – wydanej do 31 grudnia 2016 r., a po zakończeniu okresu jej ważności krajowej oceny technicznej (pkt 4. Pakowanie, przechowywanie i transport), zasadami eksploatacji środków transportowych i przepisami ruchu drogowego.</w:t>
      </w:r>
    </w:p>
    <w:p w14:paraId="4444885E"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 xml:space="preserve">Wyroby do robót </w:t>
      </w:r>
      <w:proofErr w:type="spellStart"/>
      <w:r>
        <w:rPr>
          <w:rFonts w:ascii="Arial" w:hAnsi="Arial" w:cs="Arial"/>
          <w:color w:val="000000"/>
          <w:sz w:val="18"/>
          <w:szCs w:val="18"/>
          <w:lang w:val="x-none"/>
        </w:rPr>
        <w:t>ociepleniowych</w:t>
      </w:r>
      <w:proofErr w:type="spellEnd"/>
      <w:r>
        <w:rPr>
          <w:rFonts w:ascii="Arial" w:hAnsi="Arial" w:cs="Arial"/>
          <w:color w:val="000000"/>
          <w:sz w:val="18"/>
          <w:szCs w:val="18"/>
          <w:lang w:val="x-none"/>
        </w:rPr>
        <w:t xml:space="preserve"> mogą być przewożone jednostkami transportu samochodowego, kolejowego, wodnego i innymi.</w:t>
      </w:r>
    </w:p>
    <w:p w14:paraId="1430596A"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Załadunek i wyładunek wyrobów w jednostkach ładunkowych (na paletach) należy prowadzić sprzętem mechanicznym, wyposażonym w osprzęt widłowy, kleszczowy lub chwytakowy.</w:t>
      </w:r>
    </w:p>
    <w:p w14:paraId="1DE2F421"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Załadunek i wyładunek wyrobów transportowanych luzem wykonuje się ręcznie. Ręczny załadunek zaleca się prowadzić przy maksymalnym wykorzystaniu sprzętu i narzędzi pomocniczych, takich jak: kleszcze, chwytaki, wciągniki, wózki.</w:t>
      </w:r>
    </w:p>
    <w:p w14:paraId="26BC4771"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Przy załadunku wyrobów należy przestrzegać zasad wykorzystania pełnej ładowności jednostki transportowej. Do zabezpieczenia przed przemieszczaniem i uszkodzeniem jednostek ładunkowych w czasie transportu należy stosować: kliny, rozpory i bariery.</w:t>
      </w:r>
    </w:p>
    <w:p w14:paraId="200D8F65"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 xml:space="preserve">Do zabezpieczenia wyrobów luzem w trakcie transportu należy wykorzystać materiały wyściółkowe, amortyzujące, takie, jak: maty słomiane, wióry drzewne, płyty styropianowe, ścinki pianki poliuretanowej. </w:t>
      </w:r>
    </w:p>
    <w:p w14:paraId="4342EB42"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p>
    <w:p w14:paraId="79482D72" w14:textId="77777777" w:rsidR="000A3B2B" w:rsidRDefault="000A3B2B" w:rsidP="009E5295">
      <w:pPr>
        <w:autoSpaceDE w:val="0"/>
        <w:autoSpaceDN w:val="0"/>
        <w:adjustRightInd w:val="0"/>
        <w:spacing w:before="225" w:after="12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5. WYMAGANIA DOTYCZĄCE WYKONANIA ROBÓT</w:t>
      </w:r>
    </w:p>
    <w:p w14:paraId="610472E3"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5.1.</w:t>
      </w:r>
      <w:r>
        <w:rPr>
          <w:rFonts w:ascii="Arial" w:hAnsi="Arial" w:cs="Arial"/>
          <w:b/>
          <w:bCs/>
          <w:color w:val="000000"/>
          <w:sz w:val="18"/>
          <w:szCs w:val="18"/>
          <w:lang w:val="x-none"/>
        </w:rPr>
        <w:tab/>
        <w:t>Warunki ogólne</w:t>
      </w:r>
    </w:p>
    <w:p w14:paraId="02B84DB4"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Ogólne zasady wykonania robót podano w ST „Wymagania ogólne” Kod CPV 45000000-7, pkt 5.</w:t>
      </w:r>
    </w:p>
    <w:p w14:paraId="7389A0B2"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 xml:space="preserve">Do wykonania </w:t>
      </w:r>
      <w:proofErr w:type="spellStart"/>
      <w:r>
        <w:rPr>
          <w:rFonts w:ascii="Arial" w:hAnsi="Arial" w:cs="Arial"/>
          <w:color w:val="000000"/>
          <w:sz w:val="18"/>
          <w:szCs w:val="18"/>
          <w:lang w:val="x-none"/>
        </w:rPr>
        <w:t>bezspoinowych</w:t>
      </w:r>
      <w:proofErr w:type="spellEnd"/>
      <w:r>
        <w:rPr>
          <w:rFonts w:ascii="Arial" w:hAnsi="Arial" w:cs="Arial"/>
          <w:color w:val="000000"/>
          <w:sz w:val="18"/>
          <w:szCs w:val="18"/>
          <w:lang w:val="x-none"/>
        </w:rPr>
        <w:t xml:space="preserve"> ocieplenie ścian budynków należy bezwzględnie stosować cały system, a więc wyroby jednego producenta dedykowane do realizowanego rozwiązania technicznego. Stosowanie wyrobów innych producentów możliwe jest tylko wtedy  gdy dopuszcza to producent/dostawca systemu. W trakcie wykonywania robót należy bezwzględnie przestrzegać instrukcji i zaleceń producenta/dostawcy systemu. Dotyczy to w szczególności sposobu przygotowania podłoża, sposobu i terminów wykonywania kolejnych warstw oraz warunków (temperatura, wilgotność itp.) w których roboty mogą być realizowane.</w:t>
      </w:r>
    </w:p>
    <w:p w14:paraId="01E6B040"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p>
    <w:p w14:paraId="0A043ABB"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5.2.</w:t>
      </w:r>
      <w:r>
        <w:rPr>
          <w:rFonts w:ascii="Arial" w:hAnsi="Arial" w:cs="Arial"/>
          <w:b/>
          <w:bCs/>
          <w:color w:val="000000"/>
          <w:sz w:val="18"/>
          <w:szCs w:val="18"/>
          <w:lang w:val="x-none"/>
        </w:rPr>
        <w:tab/>
        <w:t xml:space="preserve">Warunki przystąpienia do robót </w:t>
      </w:r>
      <w:proofErr w:type="spellStart"/>
      <w:r>
        <w:rPr>
          <w:rFonts w:ascii="Arial" w:hAnsi="Arial" w:cs="Arial"/>
          <w:b/>
          <w:bCs/>
          <w:color w:val="000000"/>
          <w:sz w:val="18"/>
          <w:szCs w:val="18"/>
          <w:lang w:val="x-none"/>
        </w:rPr>
        <w:t>ociepleniowych</w:t>
      </w:r>
      <w:proofErr w:type="spellEnd"/>
    </w:p>
    <w:p w14:paraId="5F4DC33E"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Przed rozpoczęciem robót związanych z wykonaniem BSO należy:</w:t>
      </w:r>
    </w:p>
    <w:p w14:paraId="454811E8"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zapoznać się z projektem robót </w:t>
      </w:r>
      <w:proofErr w:type="spellStart"/>
      <w:r>
        <w:rPr>
          <w:rFonts w:ascii="Arial" w:hAnsi="Arial" w:cs="Arial"/>
          <w:color w:val="000000"/>
          <w:sz w:val="18"/>
          <w:szCs w:val="18"/>
          <w:lang w:val="x-none"/>
        </w:rPr>
        <w:t>ociepleniowych</w:t>
      </w:r>
      <w:proofErr w:type="spellEnd"/>
      <w:r>
        <w:rPr>
          <w:rFonts w:ascii="Arial" w:hAnsi="Arial" w:cs="Arial"/>
          <w:color w:val="000000"/>
          <w:sz w:val="18"/>
          <w:szCs w:val="18"/>
          <w:lang w:val="x-none"/>
        </w:rPr>
        <w:t xml:space="preserve">, </w:t>
      </w:r>
    </w:p>
    <w:p w14:paraId="78E3CD84"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zapewnić odpowiednie zagospodarowanie terenu wykonania prac i jeśli zachodzi taka potrzeba przygotować plan bezpieczeństwa i ochrony zdrowia (bioz),</w:t>
      </w:r>
    </w:p>
    <w:p w14:paraId="565031CB"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upewnić się, że wykonane zostały wszystkie roboty stanu surowego, zamurować i wypełnić przebicia, bruzdy i ubytki, jeśli występują,</w:t>
      </w:r>
    </w:p>
    <w:p w14:paraId="5D9327DD"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upewnić się, że wykonany został cały zakres robót dekarskich (pokrycia, odwodnienie, obróbki blacharskie), montażu lub wymiany stolarki okiennej i drzwiowej zewnętrznej oraz,  że przejść i przyłączy instalacyjnych na powierzchniach przeznaczonych do wykonania BSO, </w:t>
      </w:r>
    </w:p>
    <w:p w14:paraId="716D316F"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upewnić się, że wykonane zostały roboty, które mogą mieć wpływ na sytuację wilgotnościową podłoża, przede wszystkim tynki wewnętrzne i jastrychy. </w:t>
      </w:r>
    </w:p>
    <w:p w14:paraId="050E5B99"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p>
    <w:p w14:paraId="12DCC232"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5.3.</w:t>
      </w:r>
      <w:r>
        <w:rPr>
          <w:rFonts w:ascii="Arial" w:hAnsi="Arial" w:cs="Arial"/>
          <w:b/>
          <w:bCs/>
          <w:color w:val="000000"/>
          <w:sz w:val="18"/>
          <w:szCs w:val="18"/>
          <w:lang w:val="x-none"/>
        </w:rPr>
        <w:tab/>
        <w:t xml:space="preserve">Wymagania dotyczące podłoża pod roboty </w:t>
      </w:r>
      <w:proofErr w:type="spellStart"/>
      <w:r>
        <w:rPr>
          <w:rFonts w:ascii="Arial" w:hAnsi="Arial" w:cs="Arial"/>
          <w:b/>
          <w:bCs/>
          <w:color w:val="000000"/>
          <w:sz w:val="18"/>
          <w:szCs w:val="18"/>
          <w:lang w:val="x-none"/>
        </w:rPr>
        <w:t>ociepleniowe</w:t>
      </w:r>
      <w:proofErr w:type="spellEnd"/>
    </w:p>
    <w:p w14:paraId="3A12A1D3"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Przed rozpoczęciem robót należy wykonać ocenę podłoża, polegającą na kontroli jego czystości, wilgotności, twardości, nasiąkliwości i równości.</w:t>
      </w:r>
    </w:p>
    <w:p w14:paraId="77D6F530"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Próba odporności na ścieranie – ocena stopnia zapylenia, osypywania się powierzchni lub występowania pozostałości wykwitów i spieków za pomocą dłoni lub czarnej, twardej tkaniny.</w:t>
      </w:r>
    </w:p>
    <w:p w14:paraId="0C8934F7"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Próba odporności na skrobanie (zadrapanie) – wykonanie krzyżowych nacięć i zrywanie powierzchni lub ocena zwartości i nośności podłoża oraz przyczepności istniejących powłok za pomocą rylca.</w:t>
      </w:r>
    </w:p>
    <w:p w14:paraId="06C1AB65"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Próba zwilżania – ocena chłonności (nasiąkliwości) podłoża za pomocą mokrej szczotki, pędzla lub spryskiwacza.</w:t>
      </w:r>
    </w:p>
    <w:p w14:paraId="4ED8F5FE"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Sprawdzenie równości i gładkości – określenie wielkości odchyłek ściany (stropu) od płaszczyzny i kierunku pionowego (poziomego). Dopuszczalne wartości zależne są od rodzaju podłoża (konstrukcje murowe, żelbetowe monolityczne, żelbetowe prefabrykowane, tynkowane). Określone są one w odpowiednich normach przedmiotowych wymienionych w pkt. 10.1. niniejszej ST. (W specyfikacji technicznej szczegółowej należy odwołać się do norm dotyczących rodzaju podłoża występującego na docieplanym obiekcie).</w:t>
      </w:r>
    </w:p>
    <w:p w14:paraId="7461E2DE"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Ilość i rozmieszczenie poddanych badaniom miejsc powinna umożliwić uzyskanie wyników, miarodajnych dla całej powierzchni podłoża na obiekcie.</w:t>
      </w:r>
    </w:p>
    <w:p w14:paraId="6A49576E"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Kontroli wymaga także wytrzymałość powierzchni podłoży. Dotyczy to przede wszystkim podłoży istniejących – zwietrzałych powierzchni surowych, tynkowanych i malowanych. W przypadku wątpliwości dotyczących wytrzymałości należy wykonać jej badanie metodą „</w:t>
      </w:r>
      <w:proofErr w:type="spellStart"/>
      <w:r>
        <w:rPr>
          <w:rFonts w:ascii="Arial" w:hAnsi="Arial" w:cs="Arial"/>
          <w:color w:val="000000"/>
          <w:sz w:val="18"/>
          <w:szCs w:val="18"/>
          <w:lang w:val="x-none"/>
        </w:rPr>
        <w:t>pull</w:t>
      </w:r>
      <w:proofErr w:type="spellEnd"/>
      <w:r>
        <w:rPr>
          <w:rFonts w:ascii="Arial" w:hAnsi="Arial" w:cs="Arial"/>
          <w:color w:val="000000"/>
          <w:sz w:val="18"/>
          <w:szCs w:val="18"/>
          <w:lang w:val="x-none"/>
        </w:rPr>
        <w:t xml:space="preserve"> off”, przy zastosowaniu urządzenia badawczego (testera, zrywarki). Można także wykonać próbę odrywania przyklejonych do podłoża próbek materiału izolacyjnego.</w:t>
      </w:r>
    </w:p>
    <w:p w14:paraId="1AAC0FAC"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Szczególnej uwagi wymagają podłoża (warstwowe) ścian wykonanych w technologii wielkopłytowej (wielkoblokowej). W tym przypadku, poza powierzchnią, ocenie podlega wytrzymałość (stan techniczny) zakotwień warstwy zewnętrznej,</w:t>
      </w:r>
    </w:p>
    <w:p w14:paraId="55E204DC"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p>
    <w:p w14:paraId="5AE161C8"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5.4.</w:t>
      </w:r>
      <w:r>
        <w:rPr>
          <w:rFonts w:ascii="Arial" w:hAnsi="Arial" w:cs="Arial"/>
          <w:b/>
          <w:bCs/>
          <w:color w:val="000000"/>
          <w:sz w:val="18"/>
          <w:szCs w:val="18"/>
          <w:lang w:val="x-none"/>
        </w:rPr>
        <w:tab/>
        <w:t>Przygotowanie podłoża</w:t>
      </w:r>
    </w:p>
    <w:p w14:paraId="13712B26"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Sposób przygotowania podłoża zależny jest głownie od typu i stanu. Jednak niezależnie  od rodzaju podłoża należy przede wszystkim:</w:t>
      </w:r>
    </w:p>
    <w:p w14:paraId="7790FD16"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oczyścić podłoże z kurzu i pyłu, usunąć zanieczyszczenia, pozostałości środków antyadhezyjnych (olejów szalunkowych), mleczko cementowe, wykwity, luźne cząstki materiału podłoża,</w:t>
      </w:r>
    </w:p>
    <w:p w14:paraId="104A1C3F"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usunąć nierówności i ubytki podłoża (skucie, zeszlifowanie, wypełnienie zaprawą wyrównawczą),</w:t>
      </w:r>
    </w:p>
    <w:p w14:paraId="062A5C0E"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usunąć przyczyny ewentualnego zawilgocenia podłoża; odczekać do jego wyschnięcia,</w:t>
      </w:r>
    </w:p>
    <w:p w14:paraId="221A3D49"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 przypadku istniejących podłoży usunąć warstwę złuszczeń, spękań, odspajających się tynków i warstw malarskich. Sposób przygotowania powierzchni (czyszczenie stalowymi szczotkami, metoda strumieniowa (różne rodzaje ścierniw), ciśnieniowa) należy dostosować do rodzaju i wielkości powierzchni podłoża, powstałe ubytki wypełnić zaprawą wyrównawcza,</w:t>
      </w:r>
    </w:p>
    <w:p w14:paraId="63ADD5D6"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wykonać inne roboty przygotowawcze podłoża, przewidziane w dokumentacji projektowej i specyfikacji technicznej szczegółowej oraz przez producenta systemu,</w:t>
      </w:r>
    </w:p>
    <w:p w14:paraId="1EF1550D"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wystające lub widoczne nieusuwalne elementy metalowe powinny być zabezpieczone antykorozyjnie.</w:t>
      </w:r>
    </w:p>
    <w:p w14:paraId="2B589330"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 xml:space="preserve">Szczególną uwagę należy poświęcić na właściwą ocenę i przygotowanie podłoży o problematycznej nośności oraz np. wykończonych grysem, </w:t>
      </w:r>
      <w:proofErr w:type="spellStart"/>
      <w:r>
        <w:rPr>
          <w:rFonts w:ascii="Arial" w:hAnsi="Arial" w:cs="Arial"/>
          <w:color w:val="000000"/>
          <w:sz w:val="18"/>
          <w:szCs w:val="18"/>
          <w:lang w:val="x-none"/>
        </w:rPr>
        <w:t>witromozaiką</w:t>
      </w:r>
      <w:proofErr w:type="spellEnd"/>
      <w:r>
        <w:rPr>
          <w:rFonts w:ascii="Arial" w:hAnsi="Arial" w:cs="Arial"/>
          <w:color w:val="000000"/>
          <w:sz w:val="18"/>
          <w:szCs w:val="18"/>
          <w:lang w:val="x-none"/>
        </w:rPr>
        <w:t xml:space="preserve">, cegłą szkliwioną lub pokrytą powłokami malarskimi itp. </w:t>
      </w:r>
    </w:p>
    <w:p w14:paraId="00136C83"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p>
    <w:p w14:paraId="0436896D"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5.5.</w:t>
      </w:r>
      <w:r>
        <w:rPr>
          <w:rFonts w:ascii="Arial" w:hAnsi="Arial" w:cs="Arial"/>
          <w:b/>
          <w:bCs/>
          <w:color w:val="000000"/>
          <w:sz w:val="18"/>
          <w:szCs w:val="18"/>
          <w:lang w:val="x-none"/>
        </w:rPr>
        <w:tab/>
        <w:t xml:space="preserve">Wykonanie </w:t>
      </w:r>
      <w:proofErr w:type="spellStart"/>
      <w:r>
        <w:rPr>
          <w:rFonts w:ascii="Arial" w:hAnsi="Arial" w:cs="Arial"/>
          <w:b/>
          <w:bCs/>
          <w:color w:val="000000"/>
          <w:sz w:val="18"/>
          <w:szCs w:val="18"/>
          <w:lang w:val="x-none"/>
        </w:rPr>
        <w:t>bezspoinowego</w:t>
      </w:r>
      <w:proofErr w:type="spellEnd"/>
      <w:r>
        <w:rPr>
          <w:rFonts w:ascii="Arial" w:hAnsi="Arial" w:cs="Arial"/>
          <w:b/>
          <w:bCs/>
          <w:color w:val="000000"/>
          <w:sz w:val="18"/>
          <w:szCs w:val="18"/>
          <w:lang w:val="x-none"/>
        </w:rPr>
        <w:t xml:space="preserve"> systemu ociepleń (BSO)</w:t>
      </w:r>
    </w:p>
    <w:p w14:paraId="3B42D80A"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Roboty należy wykonywać przy spełnieniu wymagań producenta systemu, dotyczących dopuszczalnych warunków atmosferycznych (najczęściej – temperatura od +5 do +25°C, brak opadów, silnego nasłonecznienia, wysokiej wilgotności powietrza). Zalecane jest stosowanie mocowanych do rusztowań osłon, zabezpieczających przed oddziaływaniem opadów atmosferycznych, promieniowania słonecznego i wiatru. Niektóre systemy zawierają odmiany materiałów, umożliwiające wykonywanie prac w warunkach podwyższonej wilgotności powietrza i obniżonej temperatury powietrza (nocnych przymrozków). Te szczególne warunki danego systemu docieplenia należy uwzględnić w specyfikacji technicznej szczegółowej.</w:t>
      </w:r>
    </w:p>
    <w:p w14:paraId="0E66DD08" w14:textId="77777777" w:rsidR="000A3B2B" w:rsidRDefault="000A3B2B" w:rsidP="009E529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5.5.1.</w:t>
      </w:r>
      <w:r>
        <w:rPr>
          <w:rFonts w:ascii="Arial" w:hAnsi="Arial" w:cs="Arial"/>
          <w:b/>
          <w:bCs/>
          <w:color w:val="000000"/>
          <w:sz w:val="18"/>
          <w:szCs w:val="18"/>
          <w:lang w:val="x-none"/>
        </w:rPr>
        <w:tab/>
        <w:t>Gruntowanie podłoża</w:t>
      </w:r>
    </w:p>
    <w:p w14:paraId="1B3A44AA"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Zależnie od rodzaju i stanu podłoża oraz wymagań producenta systemu należy nanieść środek gruntujący na całą jego powierzchnię. </w:t>
      </w:r>
    </w:p>
    <w:p w14:paraId="2568EF8C" w14:textId="77777777" w:rsidR="000A3B2B" w:rsidRDefault="000A3B2B" w:rsidP="009E529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5.5.2.</w:t>
      </w:r>
      <w:r>
        <w:rPr>
          <w:rFonts w:ascii="Arial" w:hAnsi="Arial" w:cs="Arial"/>
          <w:b/>
          <w:bCs/>
          <w:color w:val="000000"/>
          <w:sz w:val="18"/>
          <w:szCs w:val="18"/>
          <w:lang w:val="x-none"/>
        </w:rPr>
        <w:tab/>
        <w:t>Montaż płyt izolacji termicznej</w:t>
      </w:r>
    </w:p>
    <w:p w14:paraId="45BA93C4"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Przed rozpoczęciem montażu płyt należy wyznaczyć położenie ich dolnej krawędzi i zamocować wzdłuż niej listwę cokołową (3 kołki rozporowe na </w:t>
      </w:r>
      <w:proofErr w:type="spellStart"/>
      <w:r>
        <w:rPr>
          <w:rFonts w:ascii="Arial" w:hAnsi="Arial" w:cs="Arial"/>
          <w:color w:val="000000"/>
          <w:sz w:val="18"/>
          <w:szCs w:val="18"/>
          <w:lang w:val="x-none"/>
        </w:rPr>
        <w:t>mb</w:t>
      </w:r>
      <w:proofErr w:type="spellEnd"/>
      <w:r>
        <w:rPr>
          <w:rFonts w:ascii="Arial" w:hAnsi="Arial" w:cs="Arial"/>
          <w:color w:val="000000"/>
          <w:sz w:val="18"/>
          <w:szCs w:val="18"/>
          <w:lang w:val="x-none"/>
        </w:rPr>
        <w:t xml:space="preserve"> listwy oraz po jednym w skrajnych otworach). Zamocować także profile i listwy w miejscach krawędzi BSO – zakończeń lub styków z innymi elementami elewacji. Za pomocą sznurów wyznaczyć płaszczyznę płyt izolacji termicznej.</w:t>
      </w:r>
    </w:p>
    <w:p w14:paraId="21C3B21A"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Nanieść zaprawę klejącą na powierzchnie płyt izolacji termicznej, zależnie od równości podłoża, w postaci placków i ciągłego pasma na obwodzie płyty (metoda pasmowo – punktowa) lub pacą ząbkowaną na całej powierzchni płyty. Płyty z wełny mineralnej należy zaszpachlować wcześniej zaprawą na całej powierzchni. Nie należy dopuszczać do zanieczyszczenia krawędzi płyty zaprawą.</w:t>
      </w:r>
    </w:p>
    <w:p w14:paraId="6B945880"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 xml:space="preserve">Przyklejanie izolacji termicznej należy zacząć od naroża budynku. Płyty naklejać w kierunku poziomym (pierwszy rząd na listwie cokołowej) przy zastosowaniu wiązania (przesunięcie min. 15 cm) w płaszczyźnie ściany i w narożach budynku. Niedopuszczalne jest pokrywanie się krawędzi płyt termoizolacyjnych z krawędziami naroży otworów na elewacji. Po nałożeniu zaprawy, płytę należy przyłożyć do podłoża, dosuwając ją szczelnie do już przyklejonych płyt i docisnąć, pamiętając o kontroli płaszczyzn przy pomocy poziomicy. </w:t>
      </w:r>
    </w:p>
    <w:p w14:paraId="35140429"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 xml:space="preserve">Należy zapewnić szczelność warstwy izolacji termicznej poprzez ścisłe ułożenie płyt i wypełnienie ewentualnych szczelin paskami izolacji lub – w przypadku styropianu – pianką uszczelniającą. Jeżeli zaprawa klejąca wyciśnie się poza obrys płyty, należy ją usunąć. </w:t>
      </w:r>
    </w:p>
    <w:p w14:paraId="5BF074D5"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Po związaniu zaprawy klejącej, płaszczyznę płyt izolacji termicznej można przystąpić do szlifowania ich powierzchni tarką lub pacą obłożoną grubym papierem ściernym. Likwidowane są wtedy ewentualne uskoki krawędzi płyt. W przypadku płyt styropianu, w sytuacji gdy od ich przyklejenia minął dłuższy czas, należy je skontrolować i w razie potrzeby przeszlifować i usunąć nalot powierzchniowy. Jeśli od przyklejenia styropianu upłynął czas dłuższy niż 3 miesiące, zabieg ten jest obligatoryjny.</w:t>
      </w:r>
    </w:p>
    <w:p w14:paraId="32BEE459"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Zgodnie z wymaganiami systemowymi, najczęściej nie wcześniej, niż 24 godziny po zakończeniu klejenia, należy wykonać, jeśli są przewidziane w projekcie, mocowanie łącznikami mechanicznymi (kołkami rozporowymi). Długość łączników zależna jest od grubości płyt izolacji termicznej, stanu i rodzaju podłoża. Ich rozstaw (min. 4 szt./m</w:t>
      </w:r>
      <w:r>
        <w:rPr>
          <w:rFonts w:ascii="Arial" w:hAnsi="Arial" w:cs="Arial"/>
          <w:color w:val="000000"/>
          <w:position w:val="4"/>
          <w:sz w:val="8"/>
          <w:szCs w:val="8"/>
          <w:lang w:val="x-none"/>
        </w:rPr>
        <w:t>2</w:t>
      </w:r>
      <w:r>
        <w:rPr>
          <w:rFonts w:ascii="Arial" w:hAnsi="Arial" w:cs="Arial"/>
          <w:color w:val="000000"/>
          <w:sz w:val="18"/>
          <w:szCs w:val="18"/>
          <w:lang w:val="x-none"/>
        </w:rPr>
        <w:t>) – od rodzaju izolacji termicznej i strefy elewacji. Po nawierceniu otworów umieścić w nich kołki rozporowe, a następnie wkręcić lub wbić trzpienie.</w:t>
      </w:r>
    </w:p>
    <w:p w14:paraId="604B036C" w14:textId="77777777" w:rsidR="000A3B2B" w:rsidRDefault="000A3B2B" w:rsidP="009E529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5.5.3.</w:t>
      </w:r>
      <w:r>
        <w:rPr>
          <w:rFonts w:ascii="Arial" w:hAnsi="Arial" w:cs="Arial"/>
          <w:b/>
          <w:bCs/>
          <w:color w:val="000000"/>
          <w:sz w:val="18"/>
          <w:szCs w:val="18"/>
          <w:lang w:val="x-none"/>
        </w:rPr>
        <w:tab/>
        <w:t>Wykonanie detali elewacji</w:t>
      </w:r>
    </w:p>
    <w:p w14:paraId="38CF1EF3"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 następnej kolejności ukształtować detale BSO – ościeża, krawędzie narożników budynku i ościeży, szczeliny dylatacyjne, styki i połączenia. W celu zwiększenia odporności układu na uszkodzenia mechaniczne, umożliwienia swobodnego odprowadzania wody oraz wykonania dylatacji należy zamontować profile wykończeniowe. Profile montuje się we wszystkich szczególnych miejscach elewacji, takich jak: narożniki, ościeża, parapety itp. Profile te można mocować także równocześnie z zatapianiem siatki w warstwie zbrojonej systemu.</w:t>
      </w:r>
    </w:p>
    <w:p w14:paraId="7CE32C83" w14:textId="77777777" w:rsidR="000A3B2B" w:rsidRDefault="000A3B2B" w:rsidP="009E529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5.5.4.</w:t>
      </w:r>
      <w:r>
        <w:rPr>
          <w:rFonts w:ascii="Arial" w:hAnsi="Arial" w:cs="Arial"/>
          <w:b/>
          <w:bCs/>
          <w:color w:val="000000"/>
          <w:sz w:val="18"/>
          <w:szCs w:val="18"/>
          <w:lang w:val="x-none"/>
        </w:rPr>
        <w:tab/>
        <w:t>Wykonanie warstwy zbrojonej</w:t>
      </w:r>
    </w:p>
    <w:p w14:paraId="322F8E6F"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Jeśli system nie dopuszcza skrócenia terminów do wykonania warstwy zbrojonej można przystąpić nie wcześniej niż po 3 dniach od zamocowania płyt. W tym celu, na przyklejonych płytach izolacji cieplnej, nakłada się zaprawę klejącą, która następnie profiluje się pacą zębatą o wielkości zębów 10-12 mm. Klej należy rozprowadzać pionowymi pasami o szerokości nieco większej niż szerokość stosowanej siatki. Następnie, zaczynając prace od góry, do tak przygotowanej warstwy przykłada się kolejne pasy siatki zbrojącej i w kilku miejscach na całej długości zatapia je w kleju. Sąsiadujące pasy siatki muszą być układane z zakładem min. 10 cm zarówno w pionie jak i w poziomie, a na narożach min. 15 cm. Zakłady siatki nie mogą się również pokrywać ze spoinami pomiędzy płytami izolacji cieplnej. Z pasków siatki zbrojącej wykonuje się zbrojenie ukośne przy narożnikach otworów okiennych i drzwiowych. Po przyłożeniu siatki należy ją dokładnie zatopić w warstwie kleju. W celu równomiernego zatopienia siatki klej wyciska się prowadzoną od góry, lekko nachyloną pacą, w kierunku od środka pasa siatki na boki. Prawidłowo zatopiona siatka, jako zbrojenie rozciągane, powinna być całkowicie niewidoczna spod powierzchni kleju i nie powinna bezpośrednio stykać się z powierzchnią płyt.</w:t>
      </w:r>
    </w:p>
    <w:p w14:paraId="65780114" w14:textId="77777777" w:rsidR="000A3B2B" w:rsidRDefault="000A3B2B" w:rsidP="009E529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5.5.5.</w:t>
      </w:r>
      <w:r>
        <w:rPr>
          <w:rFonts w:ascii="Arial" w:hAnsi="Arial" w:cs="Arial"/>
          <w:b/>
          <w:bCs/>
          <w:color w:val="000000"/>
          <w:sz w:val="18"/>
          <w:szCs w:val="18"/>
          <w:lang w:val="x-none"/>
        </w:rPr>
        <w:tab/>
        <w:t>Gruntowanie warstwy zbrojonej</w:t>
      </w:r>
    </w:p>
    <w:p w14:paraId="47CE446A"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Zależnie od systemu, na powierzchni warstwy zbrojonej nanieść środek gruntujący.</w:t>
      </w:r>
    </w:p>
    <w:p w14:paraId="4F2382C7" w14:textId="77777777" w:rsidR="000A3B2B" w:rsidRDefault="000A3B2B" w:rsidP="009E529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5.5.6.</w:t>
      </w:r>
      <w:r>
        <w:rPr>
          <w:rFonts w:ascii="Arial" w:hAnsi="Arial" w:cs="Arial"/>
          <w:b/>
          <w:bCs/>
          <w:color w:val="000000"/>
          <w:sz w:val="18"/>
          <w:szCs w:val="18"/>
          <w:lang w:val="x-none"/>
        </w:rPr>
        <w:tab/>
        <w:t>Montaż elementów dekoracyjnych</w:t>
      </w:r>
    </w:p>
    <w:p w14:paraId="205CF831"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Elementy dekoracyjne zamocować (nakleić) na powierzchni wykonanej warstwy zbrojonej. </w:t>
      </w:r>
    </w:p>
    <w:p w14:paraId="29AA38DC" w14:textId="77777777" w:rsidR="000A3B2B" w:rsidRDefault="000A3B2B" w:rsidP="009E529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5.5.7.</w:t>
      </w:r>
      <w:r>
        <w:rPr>
          <w:rFonts w:ascii="Arial" w:hAnsi="Arial" w:cs="Arial"/>
          <w:b/>
          <w:bCs/>
          <w:color w:val="000000"/>
          <w:sz w:val="18"/>
          <w:szCs w:val="18"/>
          <w:lang w:val="x-none"/>
        </w:rPr>
        <w:tab/>
        <w:t>Warstwa wykończeniowa – tynkowanie i malowanie</w:t>
      </w:r>
    </w:p>
    <w:p w14:paraId="02540739"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Warstwę wykończeniową wykonać po związaniu (wyschnięciu) zaprawy zbrojonej – najczęściej nie wcześniej, niż po upływie 48 godzin od jej wykonania. </w:t>
      </w:r>
    </w:p>
    <w:p w14:paraId="6CA5CB21"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 xml:space="preserve">Po ewentualnym zagruntowaniu (zależnie od wymagań systemowych) nanieść masę tynku cienkowarstwowego i poddać jego powierzchnię obróbce, zgodnie z wymaganiami producenta systemu i dokumentacją projektową oraz specyfikacją techniczną szczegółową (w SST należy te wymagania opisać). </w:t>
      </w:r>
    </w:p>
    <w:p w14:paraId="2F6E9E63"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 xml:space="preserve">Tynk nakłada się i zaciera w miarę możliwości jednocześnie na całej ścianie, metodą „mokre na mokre”, aby nie było widać połączeń materiału wysychającego w różnym czasie. Przy większych ścianach da się to zrobić, dzieląc elewację na 3 poziome pasy, na które wyprawę równocześnie nakłada 3 tynkarzy. Przerwy technologiczne można wykonywać przy dylatacjach lub w narożach budynku. Sposób wykonania tynku zależny jest od typu spoiwa, uziarnienia zaprawy i rodzaju faktury powierzchni. Powierzchnię tynku pomalować wybranym rodzajem farby – zależnie od wymagań projektu, systemu, warunków środowiskowych. </w:t>
      </w:r>
    </w:p>
    <w:p w14:paraId="41BF0E03"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 xml:space="preserve">Ze względu na powstawanie </w:t>
      </w:r>
      <w:proofErr w:type="spellStart"/>
      <w:r>
        <w:rPr>
          <w:rFonts w:ascii="Arial" w:hAnsi="Arial" w:cs="Arial"/>
          <w:color w:val="000000"/>
          <w:sz w:val="18"/>
          <w:szCs w:val="18"/>
          <w:lang w:val="x-none"/>
        </w:rPr>
        <w:t>naprężeń</w:t>
      </w:r>
      <w:proofErr w:type="spellEnd"/>
      <w:r>
        <w:rPr>
          <w:rFonts w:ascii="Arial" w:hAnsi="Arial" w:cs="Arial"/>
          <w:color w:val="000000"/>
          <w:sz w:val="18"/>
          <w:szCs w:val="18"/>
          <w:lang w:val="x-none"/>
        </w:rPr>
        <w:t xml:space="preserve"> termicznych na elewacjach południowych i zachodnich należy unikać stosowania kolorów ciemnych o współczynniku odbicia rozproszonego poniżej 30.</w:t>
      </w:r>
    </w:p>
    <w:p w14:paraId="59895EF5"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060CBCFE" w14:textId="77777777" w:rsidR="000A3B2B" w:rsidRDefault="000A3B2B" w:rsidP="009E5295">
      <w:pPr>
        <w:autoSpaceDE w:val="0"/>
        <w:autoSpaceDN w:val="0"/>
        <w:adjustRightInd w:val="0"/>
        <w:spacing w:before="225" w:after="12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6.</w:t>
      </w:r>
      <w:r>
        <w:rPr>
          <w:rFonts w:ascii="Arial" w:hAnsi="Arial" w:cs="Arial"/>
          <w:b/>
          <w:bCs/>
          <w:color w:val="000000"/>
          <w:sz w:val="18"/>
          <w:szCs w:val="18"/>
          <w:lang w:val="x-none"/>
        </w:rPr>
        <w:tab/>
        <w:t>KONTROLA JAKOŚCI ROBÓT</w:t>
      </w:r>
    </w:p>
    <w:p w14:paraId="31BB0389"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6.1.</w:t>
      </w:r>
      <w:r>
        <w:rPr>
          <w:rFonts w:ascii="Arial" w:hAnsi="Arial" w:cs="Arial"/>
          <w:b/>
          <w:bCs/>
          <w:color w:val="000000"/>
          <w:sz w:val="18"/>
          <w:szCs w:val="18"/>
          <w:lang w:val="x-none"/>
        </w:rPr>
        <w:tab/>
        <w:t xml:space="preserve"> Zasady ogólne</w:t>
      </w:r>
    </w:p>
    <w:p w14:paraId="6E837F80"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Ogólne zasady kontroli jakości robót podano w ST „Wymagania ogólne” Kod CPV 45000000-7, pkt 6.</w:t>
      </w:r>
    </w:p>
    <w:p w14:paraId="45BF3E72"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54CB7973"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6.2.</w:t>
      </w:r>
      <w:r>
        <w:rPr>
          <w:rFonts w:ascii="Arial" w:hAnsi="Arial" w:cs="Arial"/>
          <w:b/>
          <w:bCs/>
          <w:color w:val="000000"/>
          <w:sz w:val="18"/>
          <w:szCs w:val="18"/>
          <w:lang w:val="x-none"/>
        </w:rPr>
        <w:tab/>
        <w:t xml:space="preserve">Badania przed przystąpieniem do robót </w:t>
      </w:r>
      <w:proofErr w:type="spellStart"/>
      <w:r>
        <w:rPr>
          <w:rFonts w:ascii="Arial" w:hAnsi="Arial" w:cs="Arial"/>
          <w:b/>
          <w:bCs/>
          <w:color w:val="000000"/>
          <w:sz w:val="18"/>
          <w:szCs w:val="18"/>
          <w:lang w:val="x-none"/>
        </w:rPr>
        <w:t>ociepleniowych</w:t>
      </w:r>
      <w:proofErr w:type="spellEnd"/>
    </w:p>
    <w:p w14:paraId="1CFF090C"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Przed przystąpieniem do robót </w:t>
      </w:r>
      <w:proofErr w:type="spellStart"/>
      <w:r>
        <w:rPr>
          <w:rFonts w:ascii="Arial" w:hAnsi="Arial" w:cs="Arial"/>
          <w:color w:val="000000"/>
          <w:sz w:val="18"/>
          <w:szCs w:val="18"/>
          <w:lang w:val="x-none"/>
        </w:rPr>
        <w:t>ociepleniowych</w:t>
      </w:r>
      <w:proofErr w:type="spellEnd"/>
      <w:r>
        <w:rPr>
          <w:rFonts w:ascii="Arial" w:hAnsi="Arial" w:cs="Arial"/>
          <w:color w:val="000000"/>
          <w:sz w:val="18"/>
          <w:szCs w:val="18"/>
          <w:lang w:val="x-none"/>
        </w:rPr>
        <w:t xml:space="preserve"> należy przeprowadzić badania materiałów, które będą wykorzystane do wykonywania robót oraz dokonać oceny podłoża.</w:t>
      </w:r>
    </w:p>
    <w:p w14:paraId="7F0AC3C8" w14:textId="77777777" w:rsidR="000A3B2B" w:rsidRDefault="000A3B2B" w:rsidP="009E529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6.2.1.</w:t>
      </w:r>
      <w:r>
        <w:rPr>
          <w:rFonts w:ascii="Arial" w:hAnsi="Arial" w:cs="Arial"/>
          <w:b/>
          <w:bCs/>
          <w:color w:val="000000"/>
          <w:sz w:val="18"/>
          <w:szCs w:val="18"/>
          <w:lang w:val="x-none"/>
        </w:rPr>
        <w:tab/>
        <w:t>Badania materiałów</w:t>
      </w:r>
    </w:p>
    <w:p w14:paraId="5B05D939"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Badanie materiałów przeprowadza się pośrednio na podstawie zapisów w dzienniku budowy, dotyczących przyjęcia materiałów na budowę oraz dokumentów towarzyszących wysyłce materiałów przez producenta, potwierdzających zgodność użytych materiałów z wymaganiami dokumentacji projektowej i specyfikacji technicznej (szczegółowej) pokrycia, opracowanej dla realizowanego przedmiotu zamówienia oraz normami powołanymi w pkt. 2.2. niniejszej ST. </w:t>
      </w:r>
    </w:p>
    <w:p w14:paraId="0A6B4C6E" w14:textId="77777777" w:rsidR="000A3B2B" w:rsidRDefault="000A3B2B" w:rsidP="009E529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6.2.2.</w:t>
      </w:r>
      <w:r>
        <w:rPr>
          <w:rFonts w:ascii="Arial" w:hAnsi="Arial" w:cs="Arial"/>
          <w:b/>
          <w:bCs/>
          <w:color w:val="000000"/>
          <w:sz w:val="18"/>
          <w:szCs w:val="18"/>
          <w:lang w:val="x-none"/>
        </w:rPr>
        <w:tab/>
        <w:t>Ocena podłoża</w:t>
      </w:r>
    </w:p>
    <w:p w14:paraId="515FE0F1"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Badanie stanu podłoża należy przeprowadzić według wymagań określonych w pkt. 5.3. oraz 5.4. niniejszej ST.</w:t>
      </w:r>
    </w:p>
    <w:p w14:paraId="6645543E"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Prawidłowo przygotowane podłoże powinno spełniać następujące warunki:</w:t>
      </w:r>
    </w:p>
    <w:p w14:paraId="0CBDAE6F"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być odpowiednio nośne – o wytrzymałości na odrywanie nie mniejszej niż 0,08 </w:t>
      </w:r>
      <w:proofErr w:type="spellStart"/>
      <w:r>
        <w:rPr>
          <w:rFonts w:ascii="Arial" w:hAnsi="Arial" w:cs="Arial"/>
          <w:color w:val="000000"/>
          <w:sz w:val="18"/>
          <w:szCs w:val="18"/>
          <w:lang w:val="x-none"/>
        </w:rPr>
        <w:t>MPa</w:t>
      </w:r>
      <w:proofErr w:type="spellEnd"/>
      <w:r>
        <w:rPr>
          <w:rFonts w:ascii="Arial" w:hAnsi="Arial" w:cs="Arial"/>
          <w:color w:val="000000"/>
          <w:sz w:val="18"/>
          <w:szCs w:val="18"/>
          <w:lang w:val="x-none"/>
        </w:rPr>
        <w:t xml:space="preserve"> (określonej metodą „</w:t>
      </w:r>
      <w:proofErr w:type="spellStart"/>
      <w:r>
        <w:rPr>
          <w:rFonts w:ascii="Arial" w:hAnsi="Arial" w:cs="Arial"/>
          <w:color w:val="000000"/>
          <w:sz w:val="18"/>
          <w:szCs w:val="18"/>
          <w:lang w:val="x-none"/>
        </w:rPr>
        <w:t>pull</w:t>
      </w:r>
      <w:proofErr w:type="spellEnd"/>
      <w:r>
        <w:rPr>
          <w:rFonts w:ascii="Arial" w:hAnsi="Arial" w:cs="Arial"/>
          <w:color w:val="000000"/>
          <w:sz w:val="18"/>
          <w:szCs w:val="18"/>
          <w:lang w:val="x-none"/>
        </w:rPr>
        <w:t xml:space="preserve"> off” lub za pomocą testu odrywania próbnie zamontowanej płyty izolacji cieplnej), </w:t>
      </w:r>
    </w:p>
    <w:p w14:paraId="63D99EFB"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być oczyszczone z pyłu, luźnych powłok malarskich lub cienkowarstwowych wypraw tynkarskich oraz zagruntowane jeśli jest to konieczne;</w:t>
      </w:r>
    </w:p>
    <w:p w14:paraId="2EB4E80A"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być odpowiednio płaskie, dopuszcza się odchylenia od płaszczyzny: + 2 mm i – 4 mm, a ewentualne lokalne nierówności powinny być usunięte przez zeszlifowanie oraz wykonanie szpachlowania lub warstwy wyrównawczej;</w:t>
      </w:r>
    </w:p>
    <w:p w14:paraId="6D368DD7"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być odpowiednio czyste – wszelkie zatłuszczenia, wykwity, mleczko cementowe, resztki szalunkowych środków antyadhezyjnych i inne zabrudzenia, pył, zanieczyszczenia biologiczne oraz materiały, które mogą zmniejszyć przyczepność lub wejść w reakcję chemiczną z materiałami systemu ocieplenia, powinny być usunięte mechanicznie lub zmyte pod dopuszczalnym ciśnieniem wodą (z ewentualnym zastosowaniem odpowiednich środków chemicznych);</w:t>
      </w:r>
    </w:p>
    <w:p w14:paraId="60EC5283"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być odpowiednio mało wilgotne – wyschnięte po oczyszczaniu wodą oraz wolne od ewentualnego podciągania kapilarnego lub nadmiernego zawilgocenia budowlanego.</w:t>
      </w:r>
    </w:p>
    <w:p w14:paraId="65264A86"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p>
    <w:p w14:paraId="0905D5D8"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6.3.</w:t>
      </w:r>
      <w:r>
        <w:rPr>
          <w:rFonts w:ascii="Arial" w:hAnsi="Arial" w:cs="Arial"/>
          <w:b/>
          <w:bCs/>
          <w:color w:val="000000"/>
          <w:sz w:val="18"/>
          <w:szCs w:val="18"/>
          <w:lang w:val="x-none"/>
        </w:rPr>
        <w:tab/>
        <w:t>Badania w czasie robót</w:t>
      </w:r>
    </w:p>
    <w:p w14:paraId="3FE966CE"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Jakość i funkcjonalność BSO zależy od prawidłowości wykonania wszystkich kolejnych etapów systemowo określonych robót. Z tego względu, w czasie wykonywania robót szczególnie ważna jest bieżąca kontrola robót zanikających (ulegających zakryciu). Dotyczy to przede wszystkim:</w:t>
      </w:r>
    </w:p>
    <w:p w14:paraId="7819D489"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kontroli sposobu i jakości klejenia płyt izolacji termicznej – montażu profili cokołowych, przyklejenia płyt na powierzchni i krawędziach, szczelności styków płyt, wypełnienia szczelin, czystości krawędzi płyt, ukształtowania detali elewacji – dylatacji, styków i połączeń,</w:t>
      </w:r>
    </w:p>
    <w:p w14:paraId="11FB7499"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kontroli wykonania mocowania mechanicznego – rozmieszczenia i rozstawu kołków rozporowych, położenia talerzyków (krążków) wobec płaszczyzny płyt (w płaszczyźnie lub do 1 mm poza nią),</w:t>
      </w:r>
    </w:p>
    <w:p w14:paraId="76B4C98D"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kontroli wykonania warstwy zbrojonej – zbrojenia ukośnego otworów, zabezpieczenia krawędzi, wielkości zakładów siatki, pokrycia siatki zbrojącej, grubości warstwy i jakości powierzchni warstwy zbrojonej, wykonania jej gruntowania, mocowania profili. Wykonanie systemu nie powinno powodować szkodliwych pęknięć w warstwie zbrojonej, tzn. pęknięć na połączeniach płyt i/lub pęknięć o szerokości większej niż 0,2 mm,</w:t>
      </w:r>
    </w:p>
    <w:p w14:paraId="10A51A5D"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kontroli wykonania gruntowania powierzchni warstwy zbrojonej – sprawdzenie zakresu wykonania (w przypadku systemowego wymagania),</w:t>
      </w:r>
    </w:p>
    <w:p w14:paraId="28F12A3E"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kontroli wykonania warstwy wykończeniowej – tynku – pod względem jednolitości, równości, koloru, faktury, a malowania – pod względem jednolitości i koloru.</w:t>
      </w:r>
    </w:p>
    <w:p w14:paraId="46EE58CD"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p>
    <w:p w14:paraId="40D186DE"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6.4.</w:t>
      </w:r>
      <w:r>
        <w:rPr>
          <w:rFonts w:ascii="Arial" w:hAnsi="Arial" w:cs="Arial"/>
          <w:b/>
          <w:bCs/>
          <w:color w:val="000000"/>
          <w:sz w:val="18"/>
          <w:szCs w:val="18"/>
          <w:lang w:val="x-none"/>
        </w:rPr>
        <w:tab/>
        <w:t>Badania w czasie odbioru robót</w:t>
      </w:r>
    </w:p>
    <w:p w14:paraId="412FB6AF" w14:textId="77777777" w:rsidR="000A3B2B" w:rsidRDefault="000A3B2B" w:rsidP="009E529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6.4.1.</w:t>
      </w:r>
      <w:r>
        <w:rPr>
          <w:rFonts w:ascii="Arial" w:hAnsi="Arial" w:cs="Arial"/>
          <w:b/>
          <w:bCs/>
          <w:color w:val="000000"/>
          <w:sz w:val="18"/>
          <w:szCs w:val="18"/>
          <w:lang w:val="x-none"/>
        </w:rPr>
        <w:tab/>
        <w:t>Zakres i warunki wykonywania badań</w:t>
      </w:r>
    </w:p>
    <w:p w14:paraId="5E802EB7"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Badania w czasie odbioru robót przeprowadza się celem oceny spełnienia wszystkich wymagań, dotyczących robót </w:t>
      </w:r>
      <w:proofErr w:type="spellStart"/>
      <w:r>
        <w:rPr>
          <w:rFonts w:ascii="Arial" w:hAnsi="Arial" w:cs="Arial"/>
          <w:color w:val="000000"/>
          <w:sz w:val="18"/>
          <w:szCs w:val="18"/>
          <w:lang w:val="x-none"/>
        </w:rPr>
        <w:t>ociepleniowych</w:t>
      </w:r>
      <w:proofErr w:type="spellEnd"/>
      <w:r>
        <w:rPr>
          <w:rFonts w:ascii="Arial" w:hAnsi="Arial" w:cs="Arial"/>
          <w:color w:val="000000"/>
          <w:sz w:val="18"/>
          <w:szCs w:val="18"/>
          <w:lang w:val="x-none"/>
        </w:rPr>
        <w:t>, w szczególności w zakresie:</w:t>
      </w:r>
    </w:p>
    <w:p w14:paraId="768D05D5"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zgodności z dokumentacją projektową i specyfikacją techniczną (szczegółową) wraz z wprowadzonymi w trakcie realizacji zmianami,</w:t>
      </w:r>
    </w:p>
    <w:p w14:paraId="1B25B70A"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jakości zastosowanych materiałów i wyrobów,</w:t>
      </w:r>
    </w:p>
    <w:p w14:paraId="10EBBB73"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prawidłowości przygotowania podłoża,</w:t>
      </w:r>
    </w:p>
    <w:p w14:paraId="3E82E2D3"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prawidłowości wykonania ocieplenia i szczegółów systemu </w:t>
      </w:r>
      <w:proofErr w:type="spellStart"/>
      <w:r>
        <w:rPr>
          <w:rFonts w:ascii="Arial" w:hAnsi="Arial" w:cs="Arial"/>
          <w:color w:val="000000"/>
          <w:sz w:val="18"/>
          <w:szCs w:val="18"/>
          <w:lang w:val="x-none"/>
        </w:rPr>
        <w:t>ociepleniowego</w:t>
      </w:r>
      <w:proofErr w:type="spellEnd"/>
      <w:r>
        <w:rPr>
          <w:rFonts w:ascii="Arial" w:hAnsi="Arial" w:cs="Arial"/>
          <w:color w:val="000000"/>
          <w:sz w:val="18"/>
          <w:szCs w:val="18"/>
          <w:lang w:val="x-none"/>
        </w:rPr>
        <w:t>.</w:t>
      </w:r>
    </w:p>
    <w:p w14:paraId="3E448D66"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Przy badaniach w czasie odbioru robót należy wykorzystywać wyniki badań dokonanych przed przystąpieniem do robót i w trakcie ich wykonywania.</w:t>
      </w:r>
    </w:p>
    <w:p w14:paraId="66F1463D"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 xml:space="preserve">Przed przystąpieniem do badań przy odbiorze należy na wstępie sprawdzić na podstawie dokumentów czy załączone wyniki badań dokonanych przed przystąpieniem do robót potwierdzają, że przygotowane podłoża nadawały się do wykonania robót </w:t>
      </w:r>
      <w:proofErr w:type="spellStart"/>
      <w:r>
        <w:rPr>
          <w:rFonts w:ascii="Arial" w:hAnsi="Arial" w:cs="Arial"/>
          <w:color w:val="000000"/>
          <w:sz w:val="18"/>
          <w:szCs w:val="18"/>
          <w:lang w:val="x-none"/>
        </w:rPr>
        <w:t>ociepleniowych</w:t>
      </w:r>
      <w:proofErr w:type="spellEnd"/>
      <w:r>
        <w:rPr>
          <w:rFonts w:ascii="Arial" w:hAnsi="Arial" w:cs="Arial"/>
          <w:color w:val="000000"/>
          <w:sz w:val="18"/>
          <w:szCs w:val="18"/>
          <w:lang w:val="x-none"/>
        </w:rPr>
        <w:t>, a użyte materiały spełniały wymagania pkt. 2 niniejszej ST.</w:t>
      </w:r>
    </w:p>
    <w:p w14:paraId="5120773D"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Do badań odbiorowych należy przystąpić po całkowitym zakończeniu robót.</w:t>
      </w:r>
    </w:p>
    <w:p w14:paraId="658B3A45" w14:textId="77777777" w:rsidR="000A3B2B" w:rsidRDefault="000A3B2B" w:rsidP="009E529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6.4.2.</w:t>
      </w:r>
      <w:r>
        <w:rPr>
          <w:rFonts w:ascii="Arial" w:hAnsi="Arial" w:cs="Arial"/>
          <w:b/>
          <w:bCs/>
          <w:color w:val="000000"/>
          <w:sz w:val="18"/>
          <w:szCs w:val="18"/>
          <w:lang w:val="x-none"/>
        </w:rPr>
        <w:tab/>
        <w:t>Opis badań odbiorowych</w:t>
      </w:r>
    </w:p>
    <w:p w14:paraId="2947647A"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 trakcie dokonywania odbioru robót należy dokonać oceny wykonanych robót elewacyjnych z zastosowaniem systemów ocieplania ścian poprzez porównanie z wymaganiami podanymi w pkt. 5.5. niniejszej ST, które powinny uwzględniać przywołane normy oraz wymagania producenta systemu docieplenia.</w:t>
      </w:r>
    </w:p>
    <w:p w14:paraId="32E65604"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Według tej normy odchylenia wymiarowe wykonanego tynku powinny mieścić się w następujących granicach:</w:t>
      </w:r>
    </w:p>
    <w:tbl>
      <w:tblPr>
        <w:tblW w:w="0" w:type="auto"/>
        <w:tblCellSpacing w:w="0" w:type="dxa"/>
        <w:tblInd w:w="-8" w:type="dxa"/>
        <w:tblLayout w:type="fixed"/>
        <w:tblCellMar>
          <w:left w:w="0" w:type="dxa"/>
          <w:right w:w="0" w:type="dxa"/>
        </w:tblCellMar>
        <w:tblLook w:val="0000" w:firstRow="0" w:lastRow="0" w:firstColumn="0" w:lastColumn="0" w:noHBand="0" w:noVBand="0"/>
      </w:tblPr>
      <w:tblGrid>
        <w:gridCol w:w="848"/>
        <w:gridCol w:w="2760"/>
        <w:gridCol w:w="1994"/>
        <w:gridCol w:w="1996"/>
        <w:gridCol w:w="1814"/>
      </w:tblGrid>
      <w:tr w:rsidR="000A3B2B" w14:paraId="20FD561A" w14:textId="77777777">
        <w:trPr>
          <w:trHeight w:val="825"/>
          <w:tblCellSpacing w:w="0" w:type="dxa"/>
        </w:trPr>
        <w:tc>
          <w:tcPr>
            <w:tcW w:w="848" w:type="dxa"/>
            <w:vMerge w:val="restart"/>
            <w:tcBorders>
              <w:top w:val="single" w:sz="6" w:space="0" w:color="000000"/>
              <w:left w:val="single" w:sz="6" w:space="0" w:color="000000"/>
              <w:bottom w:val="single" w:sz="6" w:space="0" w:color="000000"/>
              <w:right w:val="single" w:sz="6" w:space="0" w:color="000000"/>
            </w:tcBorders>
            <w:shd w:val="clear" w:color="auto" w:fill="CBCBCB"/>
            <w:vAlign w:val="center"/>
          </w:tcPr>
          <w:p w14:paraId="497EAC0C"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Kategoria tynku</w:t>
            </w:r>
          </w:p>
        </w:tc>
        <w:tc>
          <w:tcPr>
            <w:tcW w:w="2760" w:type="dxa"/>
            <w:vMerge w:val="restart"/>
            <w:tcBorders>
              <w:top w:val="single" w:sz="6" w:space="0" w:color="000000"/>
              <w:left w:val="single" w:sz="6" w:space="0" w:color="000000"/>
              <w:bottom w:val="single" w:sz="6" w:space="0" w:color="000000"/>
              <w:right w:val="single" w:sz="6" w:space="0" w:color="000000"/>
            </w:tcBorders>
            <w:shd w:val="clear" w:color="auto" w:fill="CBCBCB"/>
            <w:vAlign w:val="center"/>
          </w:tcPr>
          <w:p w14:paraId="1B9B24F9"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Odchylenie powierzchni tynku od płaszczyzny i odchylenie krawędzi od linii prostej</w:t>
            </w:r>
          </w:p>
        </w:tc>
        <w:tc>
          <w:tcPr>
            <w:tcW w:w="3990" w:type="dxa"/>
            <w:gridSpan w:val="2"/>
            <w:tcBorders>
              <w:top w:val="single" w:sz="6" w:space="0" w:color="000000"/>
              <w:left w:val="single" w:sz="6" w:space="0" w:color="000000"/>
              <w:bottom w:val="single" w:sz="6" w:space="0" w:color="000000"/>
              <w:right w:val="single" w:sz="6" w:space="0" w:color="000000"/>
            </w:tcBorders>
            <w:shd w:val="clear" w:color="auto" w:fill="CBCBCB"/>
            <w:vAlign w:val="center"/>
          </w:tcPr>
          <w:p w14:paraId="29E62B6A"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Odchylenie powierzchni i krawędzi od kierunku</w:t>
            </w:r>
          </w:p>
        </w:tc>
        <w:tc>
          <w:tcPr>
            <w:tcW w:w="1814" w:type="dxa"/>
            <w:vMerge w:val="restart"/>
            <w:tcBorders>
              <w:top w:val="single" w:sz="6" w:space="0" w:color="000000"/>
              <w:left w:val="single" w:sz="6" w:space="0" w:color="000000"/>
              <w:bottom w:val="single" w:sz="6" w:space="0" w:color="000000"/>
              <w:right w:val="single" w:sz="6" w:space="0" w:color="000000"/>
            </w:tcBorders>
            <w:shd w:val="clear" w:color="auto" w:fill="CBCBCB"/>
            <w:vAlign w:val="center"/>
          </w:tcPr>
          <w:p w14:paraId="7E1C5BDE"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 xml:space="preserve">Odchylenie przecinających się płaszczyzn od kąta </w:t>
            </w:r>
            <w:r>
              <w:rPr>
                <w:rFonts w:ascii="Arial" w:hAnsi="Arial" w:cs="Arial"/>
                <w:color w:val="000000"/>
                <w:sz w:val="18"/>
                <w:szCs w:val="18"/>
                <w:lang w:val="x-none"/>
              </w:rPr>
              <w:br/>
              <w:t xml:space="preserve">przewidzianego </w:t>
            </w:r>
            <w:r>
              <w:rPr>
                <w:rFonts w:ascii="Arial" w:hAnsi="Arial" w:cs="Arial"/>
                <w:color w:val="000000"/>
                <w:sz w:val="18"/>
                <w:szCs w:val="18"/>
                <w:lang w:val="x-none"/>
              </w:rPr>
              <w:br/>
              <w:t>w dokumentacji</w:t>
            </w:r>
          </w:p>
        </w:tc>
      </w:tr>
      <w:tr w:rsidR="000A3B2B" w14:paraId="37815C39" w14:textId="77777777">
        <w:trPr>
          <w:trHeight w:val="405"/>
          <w:tblCellSpacing w:w="0" w:type="dxa"/>
        </w:trPr>
        <w:tc>
          <w:tcPr>
            <w:tcW w:w="848" w:type="dxa"/>
            <w:vMerge/>
            <w:tcBorders>
              <w:top w:val="single" w:sz="6" w:space="0" w:color="000000"/>
              <w:left w:val="single" w:sz="6" w:space="0" w:color="000000"/>
              <w:bottom w:val="single" w:sz="6" w:space="0" w:color="000000"/>
              <w:right w:val="single" w:sz="6" w:space="0" w:color="000000"/>
            </w:tcBorders>
            <w:shd w:val="clear" w:color="auto" w:fill="CBCBCB"/>
            <w:vAlign w:val="center"/>
          </w:tcPr>
          <w:p w14:paraId="31DCE010" w14:textId="77777777" w:rsidR="000A3B2B" w:rsidRDefault="000A3B2B">
            <w:pPr>
              <w:autoSpaceDE w:val="0"/>
              <w:autoSpaceDN w:val="0"/>
              <w:adjustRightInd w:val="0"/>
              <w:spacing w:after="0" w:line="240" w:lineRule="auto"/>
              <w:rPr>
                <w:rFonts w:ascii="Arial" w:hAnsi="Arial" w:cs="Arial"/>
                <w:color w:val="000000"/>
                <w:sz w:val="18"/>
                <w:szCs w:val="18"/>
                <w:lang w:val="x-none"/>
              </w:rPr>
            </w:pPr>
          </w:p>
        </w:tc>
        <w:tc>
          <w:tcPr>
            <w:tcW w:w="2760" w:type="dxa"/>
            <w:vMerge/>
            <w:tcBorders>
              <w:top w:val="single" w:sz="6" w:space="0" w:color="000000"/>
              <w:left w:val="single" w:sz="6" w:space="0" w:color="000000"/>
              <w:bottom w:val="single" w:sz="6" w:space="0" w:color="000000"/>
              <w:right w:val="single" w:sz="6" w:space="0" w:color="000000"/>
            </w:tcBorders>
            <w:shd w:val="clear" w:color="auto" w:fill="CBCBCB"/>
            <w:vAlign w:val="center"/>
          </w:tcPr>
          <w:p w14:paraId="018C9DA2" w14:textId="77777777" w:rsidR="000A3B2B" w:rsidRDefault="000A3B2B">
            <w:pPr>
              <w:autoSpaceDE w:val="0"/>
              <w:autoSpaceDN w:val="0"/>
              <w:adjustRightInd w:val="0"/>
              <w:spacing w:after="0" w:line="240" w:lineRule="auto"/>
              <w:rPr>
                <w:rFonts w:ascii="Arial" w:hAnsi="Arial" w:cs="Arial"/>
                <w:color w:val="000000"/>
                <w:sz w:val="18"/>
                <w:szCs w:val="18"/>
                <w:lang w:val="x-none"/>
              </w:rPr>
            </w:pPr>
          </w:p>
        </w:tc>
        <w:tc>
          <w:tcPr>
            <w:tcW w:w="1994" w:type="dxa"/>
            <w:tcBorders>
              <w:top w:val="single" w:sz="6" w:space="0" w:color="000000"/>
              <w:left w:val="single" w:sz="6" w:space="0" w:color="000000"/>
              <w:bottom w:val="single" w:sz="6" w:space="0" w:color="000000"/>
              <w:right w:val="single" w:sz="6" w:space="0" w:color="000000"/>
            </w:tcBorders>
            <w:shd w:val="clear" w:color="auto" w:fill="CBCBCB"/>
            <w:vAlign w:val="center"/>
          </w:tcPr>
          <w:p w14:paraId="0A87FED6"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pionowego</w:t>
            </w:r>
          </w:p>
        </w:tc>
        <w:tc>
          <w:tcPr>
            <w:tcW w:w="1996" w:type="dxa"/>
            <w:tcBorders>
              <w:top w:val="single" w:sz="6" w:space="0" w:color="000000"/>
              <w:left w:val="single" w:sz="6" w:space="0" w:color="000000"/>
              <w:bottom w:val="single" w:sz="6" w:space="0" w:color="000000"/>
              <w:right w:val="single" w:sz="6" w:space="0" w:color="000000"/>
            </w:tcBorders>
            <w:shd w:val="clear" w:color="auto" w:fill="CBCBCB"/>
            <w:vAlign w:val="center"/>
          </w:tcPr>
          <w:p w14:paraId="1E4806F3"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poziomego</w:t>
            </w:r>
          </w:p>
        </w:tc>
        <w:tc>
          <w:tcPr>
            <w:tcW w:w="1814" w:type="dxa"/>
            <w:vMerge/>
            <w:tcBorders>
              <w:top w:val="single" w:sz="6" w:space="0" w:color="000000"/>
              <w:left w:val="single" w:sz="6" w:space="0" w:color="000000"/>
              <w:bottom w:val="single" w:sz="6" w:space="0" w:color="000000"/>
              <w:right w:val="single" w:sz="6" w:space="0" w:color="000000"/>
            </w:tcBorders>
            <w:shd w:val="clear" w:color="auto" w:fill="CBCBCB"/>
            <w:vAlign w:val="center"/>
          </w:tcPr>
          <w:p w14:paraId="4C3F67E3" w14:textId="77777777" w:rsidR="000A3B2B" w:rsidRDefault="000A3B2B">
            <w:pPr>
              <w:autoSpaceDE w:val="0"/>
              <w:autoSpaceDN w:val="0"/>
              <w:adjustRightInd w:val="0"/>
              <w:spacing w:after="0" w:line="240" w:lineRule="auto"/>
              <w:rPr>
                <w:rFonts w:ascii="Arial" w:hAnsi="Arial" w:cs="Arial"/>
                <w:color w:val="000000"/>
                <w:sz w:val="18"/>
                <w:szCs w:val="18"/>
                <w:lang w:val="x-none"/>
              </w:rPr>
            </w:pPr>
          </w:p>
        </w:tc>
      </w:tr>
      <w:tr w:rsidR="000A3B2B" w14:paraId="2599469D" w14:textId="77777777">
        <w:trPr>
          <w:trHeight w:val="60"/>
          <w:tblCellSpacing w:w="0" w:type="dxa"/>
        </w:trPr>
        <w:tc>
          <w:tcPr>
            <w:tcW w:w="848" w:type="dxa"/>
            <w:tcBorders>
              <w:top w:val="single" w:sz="6" w:space="0" w:color="000000"/>
              <w:left w:val="single" w:sz="6" w:space="0" w:color="000000"/>
              <w:bottom w:val="single" w:sz="6" w:space="0" w:color="000000"/>
              <w:right w:val="single" w:sz="6" w:space="0" w:color="000000"/>
            </w:tcBorders>
            <w:vAlign w:val="center"/>
          </w:tcPr>
          <w:p w14:paraId="78BBD650"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III</w:t>
            </w:r>
          </w:p>
        </w:tc>
        <w:tc>
          <w:tcPr>
            <w:tcW w:w="2760" w:type="dxa"/>
            <w:tcBorders>
              <w:top w:val="single" w:sz="6" w:space="0" w:color="000000"/>
              <w:left w:val="single" w:sz="6" w:space="0" w:color="000000"/>
              <w:bottom w:val="single" w:sz="6" w:space="0" w:color="000000"/>
              <w:right w:val="single" w:sz="6" w:space="0" w:color="000000"/>
            </w:tcBorders>
            <w:vAlign w:val="center"/>
          </w:tcPr>
          <w:p w14:paraId="5919B292"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 xml:space="preserve">nie większe niż 3 mm i w liczbie nie większej niż 3 na całej długości łaty kontrolnej 2 m </w:t>
            </w:r>
          </w:p>
        </w:tc>
        <w:tc>
          <w:tcPr>
            <w:tcW w:w="1994" w:type="dxa"/>
            <w:tcBorders>
              <w:top w:val="single" w:sz="6" w:space="0" w:color="000000"/>
              <w:left w:val="single" w:sz="6" w:space="0" w:color="000000"/>
              <w:bottom w:val="single" w:sz="6" w:space="0" w:color="000000"/>
              <w:right w:val="single" w:sz="6" w:space="0" w:color="000000"/>
            </w:tcBorders>
            <w:vAlign w:val="center"/>
          </w:tcPr>
          <w:p w14:paraId="49E48074"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nie większe niż 2 mm na 1 m i ogółem nie więcej niż 4 mm w pomieszczeniach do 3,5 m wysokości oraz nie więcej niż 6 mm w pomieszczeniach powyżej 3,5 m wysokości</w:t>
            </w:r>
          </w:p>
        </w:tc>
        <w:tc>
          <w:tcPr>
            <w:tcW w:w="1996" w:type="dxa"/>
            <w:tcBorders>
              <w:top w:val="single" w:sz="6" w:space="0" w:color="000000"/>
              <w:left w:val="single" w:sz="6" w:space="0" w:color="000000"/>
              <w:bottom w:val="single" w:sz="6" w:space="0" w:color="000000"/>
              <w:right w:val="single" w:sz="6" w:space="0" w:color="000000"/>
            </w:tcBorders>
            <w:vAlign w:val="center"/>
          </w:tcPr>
          <w:p w14:paraId="5E20ADD1"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nie większe niż 3 mm na 1 m i ogółem nie więcej niż 6 mm na całej powierzchni między przegrodami pionowymi (ściany, belki itp.)</w:t>
            </w:r>
          </w:p>
        </w:tc>
        <w:tc>
          <w:tcPr>
            <w:tcW w:w="1814" w:type="dxa"/>
            <w:tcBorders>
              <w:top w:val="single" w:sz="6" w:space="0" w:color="000000"/>
              <w:left w:val="single" w:sz="6" w:space="0" w:color="000000"/>
              <w:bottom w:val="single" w:sz="6" w:space="0" w:color="000000"/>
              <w:right w:val="single" w:sz="6" w:space="0" w:color="000000"/>
            </w:tcBorders>
            <w:vAlign w:val="center"/>
          </w:tcPr>
          <w:p w14:paraId="26B9164D"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nie większe niż 3 mm na 1 m</w:t>
            </w:r>
          </w:p>
        </w:tc>
      </w:tr>
    </w:tbl>
    <w:p w14:paraId="0436C92F"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44D0C2E0"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Obowiązują także wymagania:</w:t>
      </w:r>
    </w:p>
    <w:p w14:paraId="17D0EB10"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odchylenia promieni krzywizny powierzchni faset, wnęk itp. od projektowanego promienia nie powinny być większe niż 7 mm,</w:t>
      </w:r>
    </w:p>
    <w:p w14:paraId="44D67691"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dopuszczalne odchylenia od pionu powierzchni i krawędzi zewnętrznych tynków nie powinny być większe niż 10 mm na całej wysokości kondygnacji i 30 mm na całej wysokości budynku.</w:t>
      </w:r>
    </w:p>
    <w:p w14:paraId="728F6387"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 xml:space="preserve">Pokryta tynkiem cienkowarstwowym i ewentualnie malowana powierzchnia BSO powinna posiadać jednorodny i stały kolor i fakturę. Niedopuszczalne jest występowanie na jej powierzchni lokalnych wypukłości i wklęsłości, możliwych do wykrycia w świetle rozproszonym. </w:t>
      </w:r>
    </w:p>
    <w:p w14:paraId="01EA1D7F"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0D7A3089" w14:textId="77777777" w:rsidR="000A3B2B" w:rsidRDefault="000A3B2B" w:rsidP="009E5295">
      <w:pPr>
        <w:autoSpaceDE w:val="0"/>
        <w:autoSpaceDN w:val="0"/>
        <w:adjustRightInd w:val="0"/>
        <w:spacing w:before="225" w:after="12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7.</w:t>
      </w:r>
      <w:r>
        <w:rPr>
          <w:rFonts w:ascii="Arial" w:hAnsi="Arial" w:cs="Arial"/>
          <w:b/>
          <w:bCs/>
          <w:color w:val="000000"/>
          <w:sz w:val="18"/>
          <w:szCs w:val="18"/>
          <w:lang w:val="x-none"/>
        </w:rPr>
        <w:tab/>
        <w:t>WYMAGANIA DOTYCZĄCE PRZEDMIARU I OBMIARU ROBÓT</w:t>
      </w:r>
    </w:p>
    <w:p w14:paraId="23A4AF5F"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7.1.</w:t>
      </w:r>
      <w:r>
        <w:rPr>
          <w:rFonts w:ascii="Arial" w:hAnsi="Arial" w:cs="Arial"/>
          <w:b/>
          <w:bCs/>
          <w:color w:val="000000"/>
          <w:sz w:val="18"/>
          <w:szCs w:val="18"/>
          <w:lang w:val="x-none"/>
        </w:rPr>
        <w:tab/>
        <w:t>Zasady ogólne</w:t>
      </w:r>
    </w:p>
    <w:p w14:paraId="7FE89172"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Ogólne zasady przedmiaru i obmiaru robót podano w ST „Wymagania ogólne” Kod CPV 45000000-7, pkt 7.</w:t>
      </w:r>
    </w:p>
    <w:p w14:paraId="1820BCA0"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3AF1037E"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7.2.</w:t>
      </w:r>
      <w:r>
        <w:rPr>
          <w:rFonts w:ascii="Arial" w:hAnsi="Arial" w:cs="Arial"/>
          <w:b/>
          <w:bCs/>
          <w:color w:val="000000"/>
          <w:sz w:val="18"/>
          <w:szCs w:val="18"/>
          <w:lang w:val="x-none"/>
        </w:rPr>
        <w:tab/>
        <w:t xml:space="preserve">Jednostki oraz zasady przedmiarowania i </w:t>
      </w:r>
      <w:proofErr w:type="spellStart"/>
      <w:r>
        <w:rPr>
          <w:rFonts w:ascii="Arial" w:hAnsi="Arial" w:cs="Arial"/>
          <w:b/>
          <w:bCs/>
          <w:color w:val="000000"/>
          <w:sz w:val="18"/>
          <w:szCs w:val="18"/>
          <w:lang w:val="x-none"/>
        </w:rPr>
        <w:t>obmiarowania</w:t>
      </w:r>
      <w:proofErr w:type="spellEnd"/>
    </w:p>
    <w:p w14:paraId="4B1FC98C"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Powierzchnię ocieplenia ścian budynku oblicza się w metrach kwadratowych, jako iloczyn długości ścian w stanie surowym w rozwinięciu przez wysokość mierzoną od wierzchu cokołu (dolnej krawędzi) do górnej krawędzi warstwy ocieplanej. </w:t>
      </w:r>
    </w:p>
    <w:p w14:paraId="1D83D25C"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Z powierzchni potrąca się powierzchnie nieocieplone i powierzchnie otworów większe od 1 m</w:t>
      </w:r>
      <w:r>
        <w:rPr>
          <w:rFonts w:ascii="Arial" w:hAnsi="Arial" w:cs="Arial"/>
          <w:color w:val="000000"/>
          <w:position w:val="4"/>
          <w:sz w:val="8"/>
          <w:szCs w:val="8"/>
          <w:lang w:val="x-none"/>
        </w:rPr>
        <w:t>2</w:t>
      </w:r>
      <w:r>
        <w:rPr>
          <w:rFonts w:ascii="Arial" w:hAnsi="Arial" w:cs="Arial"/>
          <w:color w:val="000000"/>
          <w:sz w:val="18"/>
          <w:szCs w:val="18"/>
          <w:lang w:val="x-none"/>
        </w:rPr>
        <w:t>, doliczając w tym przypadku do powierzchni ocieplenia powierzchnię ościeży, obliczoną w metrach kwadratowych, jako iloczyn długości ościeży mierzonych w świetle ich krawędzi i szerokości, wraz z grubością ocieplenia.</w:t>
      </w:r>
    </w:p>
    <w:p w14:paraId="6529C65F"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0EAC1823" w14:textId="77777777" w:rsidR="000A3B2B" w:rsidRDefault="000A3B2B" w:rsidP="009E5295">
      <w:pPr>
        <w:autoSpaceDE w:val="0"/>
        <w:autoSpaceDN w:val="0"/>
        <w:adjustRightInd w:val="0"/>
        <w:spacing w:before="225" w:after="12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8.</w:t>
      </w:r>
      <w:r>
        <w:rPr>
          <w:rFonts w:ascii="Arial" w:hAnsi="Arial" w:cs="Arial"/>
          <w:b/>
          <w:bCs/>
          <w:color w:val="000000"/>
          <w:sz w:val="18"/>
          <w:szCs w:val="18"/>
          <w:lang w:val="x-none"/>
        </w:rPr>
        <w:tab/>
        <w:t>SPOSÓB ODBIORU ROBÓT</w:t>
      </w:r>
    </w:p>
    <w:p w14:paraId="7B26A039"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8.1.</w:t>
      </w:r>
      <w:r>
        <w:rPr>
          <w:rFonts w:ascii="Arial" w:hAnsi="Arial" w:cs="Arial"/>
          <w:b/>
          <w:bCs/>
          <w:color w:val="000000"/>
          <w:sz w:val="18"/>
          <w:szCs w:val="18"/>
          <w:lang w:val="x-none"/>
        </w:rPr>
        <w:tab/>
        <w:t>Zasady ogólne</w:t>
      </w:r>
    </w:p>
    <w:p w14:paraId="13DD9CAD"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Ogólne zasady odbioru robót podano w ST „Wymagania ogólne” Kod CPV 45000000-7, pkt 8.</w:t>
      </w:r>
    </w:p>
    <w:p w14:paraId="37D056F7"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4EA50B76"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8.2.</w:t>
      </w:r>
      <w:r>
        <w:rPr>
          <w:rFonts w:ascii="Arial" w:hAnsi="Arial" w:cs="Arial"/>
          <w:b/>
          <w:bCs/>
          <w:color w:val="000000"/>
          <w:sz w:val="18"/>
          <w:szCs w:val="18"/>
          <w:lang w:val="x-none"/>
        </w:rPr>
        <w:tab/>
        <w:t>Odbiór robót zanikających i ulegających zakryciu</w:t>
      </w:r>
    </w:p>
    <w:p w14:paraId="2CB57D84"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Do robót zanikających przy wykonywaniu robót </w:t>
      </w:r>
      <w:proofErr w:type="spellStart"/>
      <w:r>
        <w:rPr>
          <w:rFonts w:ascii="Arial" w:hAnsi="Arial" w:cs="Arial"/>
          <w:color w:val="000000"/>
          <w:sz w:val="18"/>
          <w:szCs w:val="18"/>
          <w:lang w:val="x-none"/>
        </w:rPr>
        <w:t>ociepleniowych</w:t>
      </w:r>
      <w:proofErr w:type="spellEnd"/>
      <w:r>
        <w:rPr>
          <w:rFonts w:ascii="Arial" w:hAnsi="Arial" w:cs="Arial"/>
          <w:color w:val="000000"/>
          <w:sz w:val="18"/>
          <w:szCs w:val="18"/>
          <w:lang w:val="x-none"/>
        </w:rPr>
        <w:t xml:space="preserve"> należy przygotowanie wraz z ewentualnym gruntowaniem podłoża, klejenie płyt izolacji termicznej, wykonywanie warstwy zbrojonej i ewentualne jej gruntowanie.</w:t>
      </w:r>
    </w:p>
    <w:p w14:paraId="499D0E04"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Ich odbiór powinien zostać wykonany przed rozpoczęciem następnego etapu. Należy przeprowadzić badania wymienione w pkt. 6.3. niniejszej specyfikacji.</w:t>
      </w:r>
    </w:p>
    <w:p w14:paraId="292F79DC"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Tylko w przypadku pozytywnego wyniku badań (zgodności z dokumentacją projektową i szczegółową specyfikacją techniczną) można zezwolić na rozpoczęcie wykonywania następnych etapów robót.</w:t>
      </w:r>
    </w:p>
    <w:p w14:paraId="1D62AE90"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 przeciwnym przypadku (negatywny wynik badań) należy określić zakres prac i rodzaj materiałów koniecznych do usunięcia nieprawidłowości. Po ich wykonaniu badania należy powtórzyć.</w:t>
      </w:r>
    </w:p>
    <w:p w14:paraId="6DCF8248"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Wszystkie ustalenia związane z dokonanym odbiorem robót ulegających zakryciu należy zapisać w dzienniku budowy lub protokole podpisanym przez przedstawicieli inwestora – Inspektor nadzoru  i kierownik budowy lub innego upoważnionego przedstawiciela Wykonawcy).</w:t>
      </w:r>
    </w:p>
    <w:p w14:paraId="4CC5F84B"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p>
    <w:p w14:paraId="61D34410"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8.3.</w:t>
      </w:r>
      <w:r>
        <w:rPr>
          <w:rFonts w:ascii="Arial" w:hAnsi="Arial" w:cs="Arial"/>
          <w:b/>
          <w:bCs/>
          <w:color w:val="000000"/>
          <w:sz w:val="18"/>
          <w:szCs w:val="18"/>
          <w:lang w:val="x-none"/>
        </w:rPr>
        <w:tab/>
        <w:t>Odbiór częściowy</w:t>
      </w:r>
    </w:p>
    <w:p w14:paraId="00E70C75"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Odbiór częściowy polega na ocenie ilości i jakości wykonanej części robót. Odbioru częściowego robót dokonuje się dla zakresu określonego w dokumentach umownych, według zasad jak przy odbiorze ostatecznym robót.</w:t>
      </w:r>
    </w:p>
    <w:p w14:paraId="3AD59489"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Celem odbioru częściowego jest wczesne wykrycie ewentualnych usterek w realizowanych robotach i ich usunięcie przed odbiorem końcowym.</w:t>
      </w:r>
    </w:p>
    <w:p w14:paraId="2EB00FCF"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Odbiór częściowy robót jest dokonywany przez inspektora nadzoru w obecności kierownika budowy.</w:t>
      </w:r>
    </w:p>
    <w:p w14:paraId="335B3471"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Protokół odbioru częściowego jest podstawą do dokonania częściowego rozliczenia robót, jeżeli umowa taką formę przewiduje.</w:t>
      </w:r>
    </w:p>
    <w:p w14:paraId="4CF7AE63"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p>
    <w:p w14:paraId="54E9F5EA"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8.4.</w:t>
      </w:r>
      <w:r>
        <w:rPr>
          <w:rFonts w:ascii="Arial" w:hAnsi="Arial" w:cs="Arial"/>
          <w:b/>
          <w:bCs/>
          <w:color w:val="000000"/>
          <w:sz w:val="18"/>
          <w:szCs w:val="18"/>
          <w:lang w:val="x-none"/>
        </w:rPr>
        <w:tab/>
        <w:t>Odbiór końcowy</w:t>
      </w:r>
    </w:p>
    <w:p w14:paraId="2E8BE5B4"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Odbiór końcowy stanowi ostateczną ocenę rzeczywistego wykonania robót w odniesieniu do ich zakresu (ilości), jakości i zgodności z dokumentacją projektową.</w:t>
      </w:r>
    </w:p>
    <w:p w14:paraId="47F8001C"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Odbiór końcowy przeprowadza komisja, powołana przez zamawiającego, na podstawie przedłożonych dokumentów, wyników badań oraz dokonanej oceny wizualnej.</w:t>
      </w:r>
    </w:p>
    <w:p w14:paraId="10290439"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Zasady i terminy powoływania komisji oraz czas jej działania powinna określać umowa.</w:t>
      </w:r>
    </w:p>
    <w:p w14:paraId="1093AE37"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Wykonawca robót obowiązany jest przedłożyć komisji następujące dokumenty:</w:t>
      </w:r>
    </w:p>
    <w:p w14:paraId="0C8F2D9B"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dokumentację powykonawczą – dokumentację projektową z naniesionymi zmianami dokonanymi w toku wykonywania robót,</w:t>
      </w:r>
    </w:p>
    <w:p w14:paraId="6BD53A92"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dokumenty budowy – dziennik budowy i protokoły z uzgodnień i zmian wprowadzonych w trakcie realizacji prac, książki obmiarów, jeśli były prowadzone, protokoły odbiorów częściowych i wyniki kontroli przeprowadzanych w trakcie wykonywania prac,</w:t>
      </w:r>
    </w:p>
    <w:p w14:paraId="6E34D3C5"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dokumenty potwierdzające dopuszczeniu do obrotu lub udostępnieniu na rynku krajowym bądź do jednostkowego zastosowania, użytych do robót materiałów i wyrobów budowlanych,</w:t>
      </w:r>
    </w:p>
    <w:p w14:paraId="7BAD1995"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protokoły odbiorów robót ulegających zakryciu i odbiorów częściowych,</w:t>
      </w:r>
    </w:p>
    <w:p w14:paraId="3ABB746C"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instrukcje i wytyczne producenta systemu </w:t>
      </w:r>
      <w:proofErr w:type="spellStart"/>
      <w:r>
        <w:rPr>
          <w:rFonts w:ascii="Arial" w:hAnsi="Arial" w:cs="Arial"/>
          <w:color w:val="000000"/>
          <w:sz w:val="18"/>
          <w:szCs w:val="18"/>
          <w:lang w:val="x-none"/>
        </w:rPr>
        <w:t>ociepleniowego</w:t>
      </w:r>
      <w:proofErr w:type="spellEnd"/>
      <w:r>
        <w:rPr>
          <w:rFonts w:ascii="Arial" w:hAnsi="Arial" w:cs="Arial"/>
          <w:color w:val="000000"/>
          <w:sz w:val="18"/>
          <w:szCs w:val="18"/>
          <w:lang w:val="x-none"/>
        </w:rPr>
        <w:t>,</w:t>
      </w:r>
    </w:p>
    <w:p w14:paraId="446E207C"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wyniki badań laboratoryjnych i ekspertyz.</w:t>
      </w:r>
    </w:p>
    <w:p w14:paraId="4FE1194D"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 xml:space="preserve">W toku odbioru komisja obowiązana jest zapoznać się z przedłożonymi dokumentami, przeprowadzić badania zgodnie z wytycznymi podanymi w pkt. 6.4. niniejszej ST, porównać je z wymaganiami podanymi w dokumentacji projektowej i szczegółowej specyfikacji technicznej robót </w:t>
      </w:r>
      <w:proofErr w:type="spellStart"/>
      <w:r>
        <w:rPr>
          <w:rFonts w:ascii="Arial" w:hAnsi="Arial" w:cs="Arial"/>
          <w:color w:val="000000"/>
          <w:sz w:val="18"/>
          <w:szCs w:val="18"/>
          <w:lang w:val="x-none"/>
        </w:rPr>
        <w:t>ociepleniowych</w:t>
      </w:r>
      <w:proofErr w:type="spellEnd"/>
      <w:r>
        <w:rPr>
          <w:rFonts w:ascii="Arial" w:hAnsi="Arial" w:cs="Arial"/>
          <w:color w:val="000000"/>
          <w:sz w:val="18"/>
          <w:szCs w:val="18"/>
          <w:lang w:val="x-none"/>
        </w:rPr>
        <w:t>, opracowanej dla realizowanego przedmiotu zamówienia oraz dokonać oceny wizualnej.</w:t>
      </w:r>
    </w:p>
    <w:p w14:paraId="09947A2A"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 xml:space="preserve">Roboty </w:t>
      </w:r>
      <w:proofErr w:type="spellStart"/>
      <w:r>
        <w:rPr>
          <w:rFonts w:ascii="Arial" w:hAnsi="Arial" w:cs="Arial"/>
          <w:color w:val="000000"/>
          <w:sz w:val="18"/>
          <w:szCs w:val="18"/>
          <w:lang w:val="x-none"/>
        </w:rPr>
        <w:t>ociepleniowe</w:t>
      </w:r>
      <w:proofErr w:type="spellEnd"/>
      <w:r>
        <w:rPr>
          <w:rFonts w:ascii="Arial" w:hAnsi="Arial" w:cs="Arial"/>
          <w:color w:val="000000"/>
          <w:sz w:val="18"/>
          <w:szCs w:val="18"/>
          <w:lang w:val="x-none"/>
        </w:rPr>
        <w:t xml:space="preserve"> powinny być odebrane, jeżeli wszystkie wyniki badań są pozytywne, a dostarczone przez wykonawcę dokumenty są kompletne i prawidłowe pod względem merytorycznym.</w:t>
      </w:r>
    </w:p>
    <w:p w14:paraId="201F52E9"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 xml:space="preserve">Jeżeli chociażby jeden wynik badań był negatywny roboty </w:t>
      </w:r>
      <w:proofErr w:type="spellStart"/>
      <w:r>
        <w:rPr>
          <w:rFonts w:ascii="Arial" w:hAnsi="Arial" w:cs="Arial"/>
          <w:color w:val="000000"/>
          <w:sz w:val="18"/>
          <w:szCs w:val="18"/>
          <w:lang w:val="x-none"/>
        </w:rPr>
        <w:t>ociepleniowe</w:t>
      </w:r>
      <w:proofErr w:type="spellEnd"/>
      <w:r>
        <w:rPr>
          <w:rFonts w:ascii="Arial" w:hAnsi="Arial" w:cs="Arial"/>
          <w:color w:val="000000"/>
          <w:sz w:val="18"/>
          <w:szCs w:val="18"/>
          <w:lang w:val="x-none"/>
        </w:rPr>
        <w:t xml:space="preserve"> nie powinny zostać odebrane. W takim przypadku należy wybrać jedno z następujących rozwiązań:</w:t>
      </w:r>
    </w:p>
    <w:p w14:paraId="6CBC6A37"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jeżeli to możliwe, należy ustalić zakres prac korygujących, usunąć niezgodności wykonanego ocieplenia z wymaganiami określonymi w dokumentacji projektowej i specyfikacji technicznej (szczegółowej) i przedstawić je ponownie do odbioru,</w:t>
      </w:r>
    </w:p>
    <w:p w14:paraId="1343BB51"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jeżeli odchylenia od wymagań nie zagrażają bezpieczeństwu użytkownika, trwałości i szczelności ocieplenia lub jego estetyki Zamawiający może wyrazić zgodę na dokonanie odbioru końcowego z jednoczesnym obniżeniem wartości wynagrodzenia w stosunku do ustaleń umownych,</w:t>
      </w:r>
    </w:p>
    <w:p w14:paraId="2875C54E"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w przypadku, gdy nie są możliwe podane wyżej rozwiązania, Wykonawca zobowiązany jest do usunięcia wadliwie wykonanych robót </w:t>
      </w:r>
      <w:proofErr w:type="spellStart"/>
      <w:r>
        <w:rPr>
          <w:rFonts w:ascii="Arial" w:hAnsi="Arial" w:cs="Arial"/>
          <w:color w:val="000000"/>
          <w:sz w:val="18"/>
          <w:szCs w:val="18"/>
          <w:lang w:val="x-none"/>
        </w:rPr>
        <w:t>ociepleniowych</w:t>
      </w:r>
      <w:proofErr w:type="spellEnd"/>
      <w:r>
        <w:rPr>
          <w:rFonts w:ascii="Arial" w:hAnsi="Arial" w:cs="Arial"/>
          <w:color w:val="000000"/>
          <w:sz w:val="18"/>
          <w:szCs w:val="18"/>
          <w:lang w:val="x-none"/>
        </w:rPr>
        <w:t>, wykonać je ponownie i powtórnie zgłosić do odbioru.</w:t>
      </w:r>
    </w:p>
    <w:p w14:paraId="491F01A0"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 przypadku niekompletności dokumentów do odbioru można przystąpić dopiero po ich uzupełnieniu.</w:t>
      </w:r>
    </w:p>
    <w:p w14:paraId="458E2B1F"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Z czynności odbioru sporządza się protokół podpisany przez przedstawicieli Zamawiającego i Wykonawcy. Protokół powinien zawierać co najmniej:</w:t>
      </w:r>
    </w:p>
    <w:p w14:paraId="7A190F7D"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ustalenia podjęte w trakcie prac komisji,</w:t>
      </w:r>
    </w:p>
    <w:p w14:paraId="2E741656"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ocenę wyników badań,</w:t>
      </w:r>
    </w:p>
    <w:p w14:paraId="3689B8AF"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wykaz wad i usterek ze wskazaniem sposobu ich usunięcia,</w:t>
      </w:r>
    </w:p>
    <w:p w14:paraId="5C7EEA70"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stwierdzenie zgodności lub niezgodności wykonania ocieplenia z zamówieniem.</w:t>
      </w:r>
    </w:p>
    <w:p w14:paraId="0BF4B4DD" w14:textId="77777777" w:rsidR="000A3B2B" w:rsidRDefault="000A3B2B" w:rsidP="009E5295">
      <w:pPr>
        <w:autoSpaceDE w:val="0"/>
        <w:autoSpaceDN w:val="0"/>
        <w:adjustRightInd w:val="0"/>
        <w:spacing w:after="30" w:line="240" w:lineRule="auto"/>
        <w:ind w:firstLine="285"/>
        <w:jc w:val="both"/>
        <w:rPr>
          <w:rFonts w:ascii="Arial" w:hAnsi="Arial" w:cs="Arial"/>
          <w:b/>
          <w:bCs/>
          <w:color w:val="000000"/>
          <w:sz w:val="18"/>
          <w:szCs w:val="18"/>
          <w:lang w:val="x-none"/>
        </w:rPr>
      </w:pPr>
      <w:r>
        <w:rPr>
          <w:rFonts w:ascii="Arial" w:hAnsi="Arial" w:cs="Arial"/>
          <w:b/>
          <w:bCs/>
          <w:color w:val="000000"/>
          <w:sz w:val="18"/>
          <w:szCs w:val="18"/>
          <w:lang w:val="x-none"/>
        </w:rPr>
        <w:t>Protokół odbioru końcowego jest podstawą do dokonania rozliczenia końcowego pomiędzy zamawiającym a wykonawcą.</w:t>
      </w:r>
    </w:p>
    <w:p w14:paraId="45CB4486" w14:textId="77777777" w:rsidR="000A3B2B" w:rsidRDefault="000A3B2B" w:rsidP="009E5295">
      <w:pPr>
        <w:autoSpaceDE w:val="0"/>
        <w:autoSpaceDN w:val="0"/>
        <w:adjustRightInd w:val="0"/>
        <w:spacing w:after="30" w:line="240" w:lineRule="auto"/>
        <w:ind w:firstLine="285"/>
        <w:jc w:val="both"/>
        <w:rPr>
          <w:rFonts w:ascii="Arial" w:hAnsi="Arial" w:cs="Arial"/>
          <w:b/>
          <w:bCs/>
          <w:color w:val="000000"/>
          <w:sz w:val="18"/>
          <w:szCs w:val="18"/>
          <w:lang w:val="x-none"/>
        </w:rPr>
      </w:pPr>
    </w:p>
    <w:p w14:paraId="22109209"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8.5.</w:t>
      </w:r>
      <w:r>
        <w:rPr>
          <w:rFonts w:ascii="Arial" w:hAnsi="Arial" w:cs="Arial"/>
          <w:b/>
          <w:bCs/>
          <w:color w:val="000000"/>
          <w:sz w:val="18"/>
          <w:szCs w:val="18"/>
          <w:lang w:val="x-none"/>
        </w:rPr>
        <w:tab/>
        <w:t>Odbiór po upływie okresu rękojmi i gwarancji</w:t>
      </w:r>
    </w:p>
    <w:p w14:paraId="70BF3670"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Celem odbioru po okresie rękojmi i gwarancji jest ocena stanu ocieplenia po użytkowaniu w tym okresie oraz ocena wykonywanych w tym okresie ewentualnych robót poprawkowych, związanych z usuwaniem zgłoszonych wad.</w:t>
      </w:r>
    </w:p>
    <w:p w14:paraId="7298585A"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Odbiór po upływie okresu rękojmi i gwarancji jest dokonywany na podstawie oceny wizualnej ocieplenia, z uwzględnieniem zasad opisanych w pkt. 8.4. „Odbiór końcowy”.</w:t>
      </w:r>
    </w:p>
    <w:p w14:paraId="598263AA"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Pozytywny wynik odbioru pogwarancyjnego jest podstawą do zwrotu kaucji gwarancyjnej, negatywny do ewentualnego dokonania potrąceń wynikających z obniżonej jakości robót.</w:t>
      </w:r>
    </w:p>
    <w:p w14:paraId="7A364B0B"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 xml:space="preserve">Przed upływem okresu gwarancyjnego zamawiający powinien zgłosić wykonawcy wszystkie zauważone wady w wykonanych robotach </w:t>
      </w:r>
      <w:proofErr w:type="spellStart"/>
      <w:r>
        <w:rPr>
          <w:rFonts w:ascii="Arial" w:hAnsi="Arial" w:cs="Arial"/>
          <w:color w:val="000000"/>
          <w:sz w:val="18"/>
          <w:szCs w:val="18"/>
          <w:lang w:val="x-none"/>
        </w:rPr>
        <w:t>ociepleniowych</w:t>
      </w:r>
      <w:proofErr w:type="spellEnd"/>
      <w:r>
        <w:rPr>
          <w:rFonts w:ascii="Arial" w:hAnsi="Arial" w:cs="Arial"/>
          <w:color w:val="000000"/>
          <w:sz w:val="18"/>
          <w:szCs w:val="18"/>
          <w:lang w:val="x-none"/>
        </w:rPr>
        <w:t>.</w:t>
      </w:r>
    </w:p>
    <w:p w14:paraId="0FE9E07B"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p>
    <w:p w14:paraId="1A558F59" w14:textId="77777777" w:rsidR="000A3B2B" w:rsidRDefault="000A3B2B" w:rsidP="009E5295">
      <w:pPr>
        <w:autoSpaceDE w:val="0"/>
        <w:autoSpaceDN w:val="0"/>
        <w:adjustRightInd w:val="0"/>
        <w:spacing w:before="225" w:after="12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9.</w:t>
      </w:r>
      <w:r>
        <w:rPr>
          <w:rFonts w:ascii="Arial" w:hAnsi="Arial" w:cs="Arial"/>
          <w:b/>
          <w:bCs/>
          <w:color w:val="000000"/>
          <w:sz w:val="18"/>
          <w:szCs w:val="18"/>
          <w:lang w:val="x-none"/>
        </w:rPr>
        <w:tab/>
        <w:t>PODSTAWA ROZLICZENIA ROBÓT</w:t>
      </w:r>
    </w:p>
    <w:p w14:paraId="5F6919CE"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9.1.</w:t>
      </w:r>
      <w:r>
        <w:rPr>
          <w:rFonts w:ascii="Arial" w:hAnsi="Arial" w:cs="Arial"/>
          <w:b/>
          <w:bCs/>
          <w:color w:val="000000"/>
          <w:sz w:val="18"/>
          <w:szCs w:val="18"/>
          <w:lang w:val="x-none"/>
        </w:rPr>
        <w:tab/>
        <w:t>Zasady ogólne</w:t>
      </w:r>
    </w:p>
    <w:p w14:paraId="5E0FD0D2"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Ogólne ustalenia dotyczące podstawy płatności podano w ST „Wymagania ogólne” Kod CPV 45000000-7, pkt 9.</w:t>
      </w:r>
    </w:p>
    <w:p w14:paraId="1FCAF217"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47B6221D"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9.2.</w:t>
      </w:r>
      <w:r>
        <w:rPr>
          <w:rFonts w:ascii="Arial" w:hAnsi="Arial" w:cs="Arial"/>
          <w:b/>
          <w:bCs/>
          <w:color w:val="000000"/>
          <w:sz w:val="18"/>
          <w:szCs w:val="18"/>
          <w:lang w:val="x-none"/>
        </w:rPr>
        <w:tab/>
        <w:t>Zasady rozliczenia i płatności</w:t>
      </w:r>
    </w:p>
    <w:p w14:paraId="3147907F"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Podstawą płatności, z uwzględnieniem zapisów zawartych pomiędzy Wykonawcą a Zamawiającym w umowie o wykonanie robót, jest wykonana i odebrana ilość m</w:t>
      </w:r>
      <w:r>
        <w:rPr>
          <w:rFonts w:ascii="Arial" w:hAnsi="Arial" w:cs="Arial"/>
          <w:color w:val="000000"/>
          <w:position w:val="4"/>
          <w:sz w:val="8"/>
          <w:szCs w:val="8"/>
          <w:lang w:val="x-none"/>
        </w:rPr>
        <w:t>2</w:t>
      </w:r>
      <w:r>
        <w:rPr>
          <w:rFonts w:ascii="Arial" w:hAnsi="Arial" w:cs="Arial"/>
          <w:color w:val="000000"/>
          <w:sz w:val="18"/>
          <w:szCs w:val="18"/>
          <w:lang w:val="x-none"/>
        </w:rPr>
        <w:t xml:space="preserve"> powierzchni wykonanego ocieplenia. Przyjmuje się, że cena za te prace w przyjętej ofercie Wykonawcy w przypadku umowy ryczałtowej lub stawka ceny jednostkowej w przypadku rozliczenia kosztorysowego obejmuje wszystkie czynności niezbędne do ich zrealizowania, a w szczególności:</w:t>
      </w:r>
    </w:p>
    <w:p w14:paraId="217F2970"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przygotowanie stanowiska roboczego,</w:t>
      </w:r>
    </w:p>
    <w:p w14:paraId="2665643D"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dostarczenie do stanowiska roboczego materiałów, narzędzi i sprzętu,</w:t>
      </w:r>
    </w:p>
    <w:p w14:paraId="1AC334A1"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obsługę sprzętu oraz ustawienie i rozbiórkę i pracę rusztowań, </w:t>
      </w:r>
    </w:p>
    <w:p w14:paraId="4DC6CE5E"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ocenę i przygotowanie podłoża,</w:t>
      </w:r>
    </w:p>
    <w:p w14:paraId="5EE7C9BB"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zabezpieczenie stolarki okiennej i drzwiowej, okładzin i innych elementów elewacyjnych przed zanieczyszczeniem i uszkodzeniem w trakcie wykonywania BSO,</w:t>
      </w:r>
    </w:p>
    <w:p w14:paraId="7D33061D"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wyznaczenie krawędzi powierzchni BSO (cokół, styki z płaszczyznami innych materiałów elewacyjnych, krawędzie powierzchni) oraz lica płaszczyzny płyt izolacji termicznej,</w:t>
      </w:r>
    </w:p>
    <w:p w14:paraId="297E780E"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gruntowanie podłoża,</w:t>
      </w:r>
    </w:p>
    <w:p w14:paraId="73D06BC1"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przyklejenie płyt izolacji termicznej do podłoża lub mocowanie za pomocą profili mocujących, wypełnienie ewentualnych nieszczelności,</w:t>
      </w:r>
    </w:p>
    <w:p w14:paraId="1DC2AD92"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szlifowanie powierzchni płyt,</w:t>
      </w:r>
    </w:p>
    <w:p w14:paraId="50898797"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mocowanie mechaniczne płyt – zależnie od systemu i projektu robót </w:t>
      </w:r>
      <w:proofErr w:type="spellStart"/>
      <w:r>
        <w:rPr>
          <w:rFonts w:ascii="Arial" w:hAnsi="Arial" w:cs="Arial"/>
          <w:color w:val="000000"/>
          <w:sz w:val="18"/>
          <w:szCs w:val="18"/>
          <w:lang w:val="x-none"/>
        </w:rPr>
        <w:t>ociepleniowych</w:t>
      </w:r>
      <w:proofErr w:type="spellEnd"/>
      <w:r>
        <w:rPr>
          <w:rFonts w:ascii="Arial" w:hAnsi="Arial" w:cs="Arial"/>
          <w:color w:val="000000"/>
          <w:sz w:val="18"/>
          <w:szCs w:val="18"/>
          <w:lang w:val="x-none"/>
        </w:rPr>
        <w:t>,</w:t>
      </w:r>
    </w:p>
    <w:p w14:paraId="4723859F"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naklejenie siatki zbrojącej, wtopienie siatki w warstwę zaprawy i wyrównanie jej,</w:t>
      </w:r>
    </w:p>
    <w:p w14:paraId="38C9EF77"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wykonanie dodatkowych warstw siatki zbrojącej wraz ze zbrojeniem ukośnym otworów,</w:t>
      </w:r>
    </w:p>
    <w:p w14:paraId="35F485BE"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gruntowanie powierzchni warstwy zbrojonej (po związaniu zaprawy), mocowanie ewent. elementów dekoracyjnych (profili),</w:t>
      </w:r>
    </w:p>
    <w:p w14:paraId="00BB97E1"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wyznaczenie przebiegu i montaż profili, listew narożnikowych, ochronnych, brzegowych, dylatacyjnych itp., wraz z docięciem połączeń na narożnikach wklęsłych i wypukłych, wymaganym zabezpieczeniem przed zanieczyszczeniem, mocowaniem dodatkowych pasów siatki zbrojącej itp.,</w:t>
      </w:r>
    </w:p>
    <w:p w14:paraId="37BE3BA6"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wyznaczenie przebiegu i montaż (klejenie) profili dekoracyjnych, wraz z ukształtowaniem połączeń w narożnikach wklęsłych i wypukłych, ewent. zbrojeniem powierzchni, zabezpieczeniem przed zanieczyszczeniem przy wykonywaniu dalszych prac, gruntowaniem, malowaniem,</w:t>
      </w:r>
    </w:p>
    <w:p w14:paraId="18032FE4"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wykonanie warstwy wykończeniowej (po wyznaczeniu ewent. płaszczyzn kolorystycznych) – tynki, okładziny, ewent. malowanie,</w:t>
      </w:r>
    </w:p>
    <w:p w14:paraId="4D5101F0"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usunięcie zabezpieczeń stolarki, okładzin i innych elementów elewacyjnych i ewentualnych zanieczyszczeń,</w:t>
      </w:r>
    </w:p>
    <w:p w14:paraId="37C4324C"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uporządkowanie terenu wykonywania prac i likwidację stanowiska roboczego,</w:t>
      </w:r>
    </w:p>
    <w:p w14:paraId="7CCA6CD7"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usunięcie pozostałości, resztek i odpadów materiałów w sposób uzgodniony ze Zleceniodawcą i zgodnie z zaleceniami producenta.</w:t>
      </w:r>
    </w:p>
    <w:p w14:paraId="7CBE6F22"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 xml:space="preserve">Ostateczne rozliczenie umowy pomiędzy Zamawiającym a Wykonawcą następuje po dokonaniu odbioru pogwarancyjnego. </w:t>
      </w:r>
    </w:p>
    <w:p w14:paraId="30BA7572"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7C386742" w14:textId="77777777" w:rsidR="000A3B2B" w:rsidRDefault="000A3B2B" w:rsidP="009E5295">
      <w:pPr>
        <w:autoSpaceDE w:val="0"/>
        <w:autoSpaceDN w:val="0"/>
        <w:adjustRightInd w:val="0"/>
        <w:spacing w:before="225" w:after="12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10.</w:t>
      </w:r>
      <w:r>
        <w:rPr>
          <w:rFonts w:ascii="Arial" w:hAnsi="Arial" w:cs="Arial"/>
          <w:b/>
          <w:bCs/>
          <w:color w:val="000000"/>
          <w:sz w:val="18"/>
          <w:szCs w:val="18"/>
          <w:lang w:val="x-none"/>
        </w:rPr>
        <w:tab/>
        <w:t>DOKUMENTY ODNIESIENIA</w:t>
      </w:r>
    </w:p>
    <w:p w14:paraId="1ADE4ECF"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10.1. Normy</w:t>
      </w:r>
    </w:p>
    <w:tbl>
      <w:tblPr>
        <w:tblW w:w="0" w:type="auto"/>
        <w:tblCellSpacing w:w="0" w:type="dxa"/>
        <w:tblLayout w:type="fixed"/>
        <w:tblCellMar>
          <w:left w:w="0" w:type="dxa"/>
          <w:right w:w="0" w:type="dxa"/>
        </w:tblCellMar>
        <w:tblLook w:val="0000" w:firstRow="0" w:lastRow="0" w:firstColumn="0" w:lastColumn="0" w:noHBand="0" w:noVBand="0"/>
      </w:tblPr>
      <w:tblGrid>
        <w:gridCol w:w="382"/>
        <w:gridCol w:w="3000"/>
        <w:gridCol w:w="5926"/>
      </w:tblGrid>
      <w:tr w:rsidR="000A3B2B" w14:paraId="33E2E0D0" w14:textId="77777777">
        <w:trPr>
          <w:trHeight w:val="60"/>
          <w:tblCellSpacing w:w="0" w:type="dxa"/>
        </w:trPr>
        <w:tc>
          <w:tcPr>
            <w:tcW w:w="382" w:type="dxa"/>
            <w:tcBorders>
              <w:top w:val="nil"/>
              <w:left w:val="nil"/>
              <w:bottom w:val="nil"/>
              <w:right w:val="nil"/>
            </w:tcBorders>
          </w:tcPr>
          <w:p w14:paraId="5D820A2E"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1.</w:t>
            </w:r>
          </w:p>
        </w:tc>
        <w:tc>
          <w:tcPr>
            <w:tcW w:w="3000" w:type="dxa"/>
            <w:tcBorders>
              <w:top w:val="nil"/>
              <w:left w:val="nil"/>
              <w:bottom w:val="nil"/>
              <w:right w:val="nil"/>
            </w:tcBorders>
          </w:tcPr>
          <w:p w14:paraId="60CD5C47"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PN-EN 13162+A1:2015-04</w:t>
            </w:r>
          </w:p>
        </w:tc>
        <w:tc>
          <w:tcPr>
            <w:tcW w:w="5926" w:type="dxa"/>
            <w:tcBorders>
              <w:top w:val="nil"/>
              <w:left w:val="nil"/>
              <w:bottom w:val="nil"/>
              <w:right w:val="nil"/>
            </w:tcBorders>
          </w:tcPr>
          <w:p w14:paraId="4159FA44"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Wyroby do izolacji cieplnej w budownictwie – Wyroby z wełny mineralnej (MW) produkowane fabrycznie. Specyfikacja.</w:t>
            </w:r>
          </w:p>
        </w:tc>
      </w:tr>
      <w:tr w:rsidR="000A3B2B" w14:paraId="1BF63D37" w14:textId="77777777">
        <w:trPr>
          <w:trHeight w:val="60"/>
          <w:tblCellSpacing w:w="0" w:type="dxa"/>
        </w:trPr>
        <w:tc>
          <w:tcPr>
            <w:tcW w:w="382" w:type="dxa"/>
            <w:tcBorders>
              <w:top w:val="nil"/>
              <w:left w:val="nil"/>
              <w:bottom w:val="nil"/>
              <w:right w:val="nil"/>
            </w:tcBorders>
          </w:tcPr>
          <w:p w14:paraId="21D76ACC"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2.</w:t>
            </w:r>
          </w:p>
        </w:tc>
        <w:tc>
          <w:tcPr>
            <w:tcW w:w="3000" w:type="dxa"/>
            <w:tcBorders>
              <w:top w:val="nil"/>
              <w:left w:val="nil"/>
              <w:bottom w:val="nil"/>
              <w:right w:val="nil"/>
            </w:tcBorders>
          </w:tcPr>
          <w:p w14:paraId="6028E8C7"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PN-EN 13163+A2:2016-12 </w:t>
            </w:r>
          </w:p>
        </w:tc>
        <w:tc>
          <w:tcPr>
            <w:tcW w:w="5926" w:type="dxa"/>
            <w:tcBorders>
              <w:top w:val="nil"/>
              <w:left w:val="nil"/>
              <w:bottom w:val="nil"/>
              <w:right w:val="nil"/>
            </w:tcBorders>
          </w:tcPr>
          <w:p w14:paraId="1C76FDE0"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Wyroby do izolacji cieplnej w budownictwie – Wyroby ze styropianu (EPS) produkowane fabrycznie. Specyfikacja </w:t>
            </w:r>
            <w:r>
              <w:rPr>
                <w:rFonts w:ascii="Arial" w:hAnsi="Arial" w:cs="Arial"/>
                <w:i/>
                <w:iCs/>
                <w:color w:val="000000"/>
                <w:sz w:val="18"/>
                <w:szCs w:val="18"/>
                <w:lang w:val="x-none"/>
              </w:rPr>
              <w:t>(wersja angielska)</w:t>
            </w:r>
            <w:r>
              <w:rPr>
                <w:rFonts w:ascii="Arial" w:hAnsi="Arial" w:cs="Arial"/>
                <w:color w:val="000000"/>
                <w:sz w:val="18"/>
                <w:szCs w:val="18"/>
                <w:lang w:val="x-none"/>
              </w:rPr>
              <w:t>.</w:t>
            </w:r>
          </w:p>
        </w:tc>
      </w:tr>
      <w:tr w:rsidR="000A3B2B" w14:paraId="67CEEA51" w14:textId="77777777">
        <w:trPr>
          <w:trHeight w:val="60"/>
          <w:tblCellSpacing w:w="0" w:type="dxa"/>
        </w:trPr>
        <w:tc>
          <w:tcPr>
            <w:tcW w:w="382" w:type="dxa"/>
            <w:tcBorders>
              <w:top w:val="nil"/>
              <w:left w:val="nil"/>
              <w:bottom w:val="nil"/>
              <w:right w:val="nil"/>
            </w:tcBorders>
          </w:tcPr>
          <w:p w14:paraId="50971B5B"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3.</w:t>
            </w:r>
          </w:p>
        </w:tc>
        <w:tc>
          <w:tcPr>
            <w:tcW w:w="3000" w:type="dxa"/>
            <w:tcBorders>
              <w:top w:val="nil"/>
              <w:left w:val="nil"/>
              <w:bottom w:val="nil"/>
              <w:right w:val="nil"/>
            </w:tcBorders>
          </w:tcPr>
          <w:p w14:paraId="50014AA0"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PN-EN 13164+A1:2015-03 </w:t>
            </w:r>
          </w:p>
        </w:tc>
        <w:tc>
          <w:tcPr>
            <w:tcW w:w="5926" w:type="dxa"/>
            <w:tcBorders>
              <w:top w:val="nil"/>
              <w:left w:val="nil"/>
              <w:bottom w:val="nil"/>
              <w:right w:val="nil"/>
            </w:tcBorders>
          </w:tcPr>
          <w:p w14:paraId="5C98AA6C" w14:textId="77777777" w:rsidR="000A3B2B" w:rsidRDefault="000A3B2B">
            <w:pPr>
              <w:autoSpaceDE w:val="0"/>
              <w:autoSpaceDN w:val="0"/>
              <w:adjustRightInd w:val="0"/>
              <w:spacing w:after="30" w:line="240" w:lineRule="auto"/>
              <w:jc w:val="both"/>
              <w:rPr>
                <w:rFonts w:ascii="Arial" w:hAnsi="Arial" w:cs="Arial"/>
                <w:i/>
                <w:iCs/>
                <w:color w:val="000000"/>
                <w:sz w:val="18"/>
                <w:szCs w:val="18"/>
                <w:lang w:val="x-none"/>
              </w:rPr>
            </w:pPr>
            <w:r>
              <w:rPr>
                <w:rFonts w:ascii="Arial" w:hAnsi="Arial" w:cs="Arial"/>
                <w:color w:val="000000"/>
                <w:sz w:val="18"/>
                <w:szCs w:val="18"/>
                <w:lang w:val="x-none"/>
              </w:rPr>
              <w:t xml:space="preserve">Wyroby do izolacji cieplnej w budownictwie. Wyroby z polistyrenu ekstrudowanego (XPS) produkowane fabrycznie. Specyfikacja </w:t>
            </w:r>
            <w:r>
              <w:rPr>
                <w:rFonts w:ascii="Arial" w:hAnsi="Arial" w:cs="Arial"/>
                <w:i/>
                <w:iCs/>
                <w:color w:val="000000"/>
                <w:sz w:val="18"/>
                <w:szCs w:val="18"/>
                <w:lang w:val="x-none"/>
              </w:rPr>
              <w:t>(wersja angielska).</w:t>
            </w:r>
          </w:p>
        </w:tc>
      </w:tr>
      <w:tr w:rsidR="000A3B2B" w14:paraId="13BB8F15" w14:textId="77777777">
        <w:trPr>
          <w:trHeight w:val="60"/>
          <w:tblCellSpacing w:w="0" w:type="dxa"/>
        </w:trPr>
        <w:tc>
          <w:tcPr>
            <w:tcW w:w="382" w:type="dxa"/>
            <w:tcBorders>
              <w:top w:val="nil"/>
              <w:left w:val="nil"/>
              <w:bottom w:val="nil"/>
              <w:right w:val="nil"/>
            </w:tcBorders>
          </w:tcPr>
          <w:p w14:paraId="080013A6"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4.</w:t>
            </w:r>
          </w:p>
        </w:tc>
        <w:tc>
          <w:tcPr>
            <w:tcW w:w="3000" w:type="dxa"/>
            <w:tcBorders>
              <w:top w:val="nil"/>
              <w:left w:val="nil"/>
              <w:bottom w:val="nil"/>
              <w:right w:val="nil"/>
            </w:tcBorders>
          </w:tcPr>
          <w:p w14:paraId="05FE8234"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PN-EN 13499:2005 </w:t>
            </w:r>
          </w:p>
        </w:tc>
        <w:tc>
          <w:tcPr>
            <w:tcW w:w="5926" w:type="dxa"/>
            <w:tcBorders>
              <w:top w:val="nil"/>
              <w:left w:val="nil"/>
              <w:bottom w:val="nil"/>
              <w:right w:val="nil"/>
            </w:tcBorders>
          </w:tcPr>
          <w:p w14:paraId="0FD5AF87"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Wyroby do izolacji cieplnej w budownictwie. Zewnętrzne zespolone systemy ocieplania (ETICS) ze styropianem. Specyfikacja.</w:t>
            </w:r>
          </w:p>
        </w:tc>
      </w:tr>
      <w:tr w:rsidR="000A3B2B" w14:paraId="485DD525" w14:textId="77777777">
        <w:trPr>
          <w:trHeight w:val="60"/>
          <w:tblCellSpacing w:w="0" w:type="dxa"/>
        </w:trPr>
        <w:tc>
          <w:tcPr>
            <w:tcW w:w="382" w:type="dxa"/>
            <w:tcBorders>
              <w:top w:val="nil"/>
              <w:left w:val="nil"/>
              <w:bottom w:val="nil"/>
              <w:right w:val="nil"/>
            </w:tcBorders>
          </w:tcPr>
          <w:p w14:paraId="1D6CE595"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5.</w:t>
            </w:r>
          </w:p>
        </w:tc>
        <w:tc>
          <w:tcPr>
            <w:tcW w:w="3000" w:type="dxa"/>
            <w:tcBorders>
              <w:top w:val="nil"/>
              <w:left w:val="nil"/>
              <w:bottom w:val="nil"/>
              <w:right w:val="nil"/>
            </w:tcBorders>
          </w:tcPr>
          <w:p w14:paraId="75B04D82"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PN-EN 13500:2005 </w:t>
            </w:r>
          </w:p>
        </w:tc>
        <w:tc>
          <w:tcPr>
            <w:tcW w:w="5926" w:type="dxa"/>
            <w:tcBorders>
              <w:top w:val="nil"/>
              <w:left w:val="nil"/>
              <w:bottom w:val="nil"/>
              <w:right w:val="nil"/>
            </w:tcBorders>
          </w:tcPr>
          <w:p w14:paraId="079A5FE7"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Wyroby do izolacji cieplnej w budownictwie. Zewnętrzne zespolone systemy ocieplania (ETICS) z wełną mineralną. Specyfikacja.</w:t>
            </w:r>
          </w:p>
        </w:tc>
      </w:tr>
      <w:tr w:rsidR="000A3B2B" w14:paraId="6ECBC1D8" w14:textId="77777777">
        <w:trPr>
          <w:trHeight w:val="60"/>
          <w:tblCellSpacing w:w="0" w:type="dxa"/>
        </w:trPr>
        <w:tc>
          <w:tcPr>
            <w:tcW w:w="382" w:type="dxa"/>
            <w:tcBorders>
              <w:top w:val="nil"/>
              <w:left w:val="nil"/>
              <w:bottom w:val="nil"/>
              <w:right w:val="nil"/>
            </w:tcBorders>
          </w:tcPr>
          <w:p w14:paraId="52C6B712"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6.</w:t>
            </w:r>
          </w:p>
        </w:tc>
        <w:tc>
          <w:tcPr>
            <w:tcW w:w="3000" w:type="dxa"/>
            <w:tcBorders>
              <w:top w:val="nil"/>
              <w:left w:val="nil"/>
              <w:bottom w:val="nil"/>
              <w:right w:val="nil"/>
            </w:tcBorders>
          </w:tcPr>
          <w:p w14:paraId="2C6A0415"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PN-EN 13494:2003</w:t>
            </w:r>
          </w:p>
        </w:tc>
        <w:tc>
          <w:tcPr>
            <w:tcW w:w="5926" w:type="dxa"/>
            <w:tcBorders>
              <w:top w:val="nil"/>
              <w:left w:val="nil"/>
              <w:bottom w:val="nil"/>
              <w:right w:val="nil"/>
            </w:tcBorders>
          </w:tcPr>
          <w:p w14:paraId="7A2B6B99"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Wyroby do izolacji cieplnej w budownictwie – Określanie przyczepności między warstwą zaprawy klejącej i warstwą zbrojoną a materiałem do izolacji cieplnej.</w:t>
            </w:r>
          </w:p>
        </w:tc>
      </w:tr>
      <w:tr w:rsidR="000A3B2B" w14:paraId="13934405" w14:textId="77777777">
        <w:trPr>
          <w:trHeight w:val="60"/>
          <w:tblCellSpacing w:w="0" w:type="dxa"/>
        </w:trPr>
        <w:tc>
          <w:tcPr>
            <w:tcW w:w="382" w:type="dxa"/>
            <w:tcBorders>
              <w:top w:val="nil"/>
              <w:left w:val="nil"/>
              <w:bottom w:val="nil"/>
              <w:right w:val="nil"/>
            </w:tcBorders>
          </w:tcPr>
          <w:p w14:paraId="19D85FA7"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7.</w:t>
            </w:r>
          </w:p>
        </w:tc>
        <w:tc>
          <w:tcPr>
            <w:tcW w:w="3000" w:type="dxa"/>
            <w:tcBorders>
              <w:top w:val="nil"/>
              <w:left w:val="nil"/>
              <w:bottom w:val="nil"/>
              <w:right w:val="nil"/>
            </w:tcBorders>
          </w:tcPr>
          <w:p w14:paraId="1CDA379A"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PN-EN 13914-1:2016-06</w:t>
            </w:r>
          </w:p>
        </w:tc>
        <w:tc>
          <w:tcPr>
            <w:tcW w:w="5926" w:type="dxa"/>
            <w:tcBorders>
              <w:top w:val="nil"/>
              <w:left w:val="nil"/>
              <w:bottom w:val="nil"/>
              <w:right w:val="nil"/>
            </w:tcBorders>
          </w:tcPr>
          <w:p w14:paraId="7A93CFAE" w14:textId="77777777" w:rsidR="000A3B2B" w:rsidRDefault="000A3B2B">
            <w:pPr>
              <w:autoSpaceDE w:val="0"/>
              <w:autoSpaceDN w:val="0"/>
              <w:adjustRightInd w:val="0"/>
              <w:spacing w:after="30" w:line="240" w:lineRule="auto"/>
              <w:jc w:val="both"/>
              <w:rPr>
                <w:rFonts w:ascii="Arial" w:hAnsi="Arial" w:cs="Arial"/>
                <w:i/>
                <w:iCs/>
                <w:color w:val="000000"/>
                <w:sz w:val="18"/>
                <w:szCs w:val="18"/>
                <w:lang w:val="x-none"/>
              </w:rPr>
            </w:pPr>
            <w:r>
              <w:rPr>
                <w:rFonts w:ascii="Arial" w:hAnsi="Arial" w:cs="Arial"/>
                <w:color w:val="000000"/>
                <w:sz w:val="18"/>
                <w:szCs w:val="18"/>
                <w:lang w:val="x-none"/>
              </w:rPr>
              <w:t xml:space="preserve">Projektowanie, przygotowywanie i wykonywanie tynkowania zewnętrznego i wewnętrznego – Część 1: Tynkowanie zewnętrzne </w:t>
            </w:r>
            <w:r>
              <w:rPr>
                <w:rFonts w:ascii="Arial" w:hAnsi="Arial" w:cs="Arial"/>
                <w:i/>
                <w:iCs/>
                <w:color w:val="000000"/>
                <w:sz w:val="18"/>
                <w:szCs w:val="18"/>
                <w:lang w:val="x-none"/>
              </w:rPr>
              <w:t>(wersja angielska).</w:t>
            </w:r>
          </w:p>
        </w:tc>
      </w:tr>
      <w:tr w:rsidR="000A3B2B" w14:paraId="7E56D5A1" w14:textId="77777777">
        <w:trPr>
          <w:trHeight w:val="60"/>
          <w:tblCellSpacing w:w="0" w:type="dxa"/>
        </w:trPr>
        <w:tc>
          <w:tcPr>
            <w:tcW w:w="382" w:type="dxa"/>
            <w:tcBorders>
              <w:top w:val="nil"/>
              <w:left w:val="nil"/>
              <w:bottom w:val="nil"/>
              <w:right w:val="nil"/>
            </w:tcBorders>
          </w:tcPr>
          <w:p w14:paraId="13A52665"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8.</w:t>
            </w:r>
          </w:p>
        </w:tc>
        <w:tc>
          <w:tcPr>
            <w:tcW w:w="3000" w:type="dxa"/>
            <w:tcBorders>
              <w:top w:val="nil"/>
              <w:left w:val="nil"/>
              <w:bottom w:val="nil"/>
              <w:right w:val="nil"/>
            </w:tcBorders>
          </w:tcPr>
          <w:p w14:paraId="41BEBB78"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PN-EN 13495:2003</w:t>
            </w:r>
          </w:p>
        </w:tc>
        <w:tc>
          <w:tcPr>
            <w:tcW w:w="5926" w:type="dxa"/>
            <w:tcBorders>
              <w:top w:val="nil"/>
              <w:left w:val="nil"/>
              <w:bottom w:val="nil"/>
              <w:right w:val="nil"/>
            </w:tcBorders>
          </w:tcPr>
          <w:p w14:paraId="4D2ACF12"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Wyroby do izolacji cieplnej w budownictwie – Określanie odporności na odrywanie zewnętrznych zespolonych systemów ocieplania (ETICS) (badanie z blokiem piankowym).</w:t>
            </w:r>
          </w:p>
        </w:tc>
      </w:tr>
      <w:tr w:rsidR="000A3B2B" w14:paraId="7FA6DA5E" w14:textId="77777777">
        <w:trPr>
          <w:trHeight w:val="60"/>
          <w:tblCellSpacing w:w="0" w:type="dxa"/>
        </w:trPr>
        <w:tc>
          <w:tcPr>
            <w:tcW w:w="382" w:type="dxa"/>
            <w:tcBorders>
              <w:top w:val="nil"/>
              <w:left w:val="nil"/>
              <w:bottom w:val="nil"/>
              <w:right w:val="nil"/>
            </w:tcBorders>
          </w:tcPr>
          <w:p w14:paraId="644E7780"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9.</w:t>
            </w:r>
          </w:p>
        </w:tc>
        <w:tc>
          <w:tcPr>
            <w:tcW w:w="3000" w:type="dxa"/>
            <w:tcBorders>
              <w:top w:val="nil"/>
              <w:left w:val="nil"/>
              <w:bottom w:val="nil"/>
              <w:right w:val="nil"/>
            </w:tcBorders>
          </w:tcPr>
          <w:p w14:paraId="314B46A3"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PN-EN 13497:2003</w:t>
            </w:r>
          </w:p>
        </w:tc>
        <w:tc>
          <w:tcPr>
            <w:tcW w:w="5926" w:type="dxa"/>
            <w:tcBorders>
              <w:top w:val="nil"/>
              <w:left w:val="nil"/>
              <w:bottom w:val="nil"/>
              <w:right w:val="nil"/>
            </w:tcBorders>
          </w:tcPr>
          <w:p w14:paraId="2FE1AC97"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Wyroby do izolacji cieplnej w budownictwie – Określanie odporności na uderzenie zewnętrznych zespolonych systemów ocieplania (ETICS).</w:t>
            </w:r>
          </w:p>
        </w:tc>
      </w:tr>
      <w:tr w:rsidR="000A3B2B" w14:paraId="1AA7528A" w14:textId="77777777">
        <w:trPr>
          <w:trHeight w:val="60"/>
          <w:tblCellSpacing w:w="0" w:type="dxa"/>
        </w:trPr>
        <w:tc>
          <w:tcPr>
            <w:tcW w:w="382" w:type="dxa"/>
            <w:tcBorders>
              <w:top w:val="nil"/>
              <w:left w:val="nil"/>
              <w:bottom w:val="nil"/>
              <w:right w:val="nil"/>
            </w:tcBorders>
          </w:tcPr>
          <w:p w14:paraId="3F144D39"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10.</w:t>
            </w:r>
          </w:p>
        </w:tc>
        <w:tc>
          <w:tcPr>
            <w:tcW w:w="3000" w:type="dxa"/>
            <w:tcBorders>
              <w:top w:val="nil"/>
              <w:left w:val="nil"/>
              <w:bottom w:val="nil"/>
              <w:right w:val="nil"/>
            </w:tcBorders>
          </w:tcPr>
          <w:p w14:paraId="08E34DF7"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PN-EN 13498:2003</w:t>
            </w:r>
          </w:p>
        </w:tc>
        <w:tc>
          <w:tcPr>
            <w:tcW w:w="5926" w:type="dxa"/>
            <w:tcBorders>
              <w:top w:val="nil"/>
              <w:left w:val="nil"/>
              <w:bottom w:val="nil"/>
              <w:right w:val="nil"/>
            </w:tcBorders>
          </w:tcPr>
          <w:p w14:paraId="1332B06F"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Wyroby do izolacji cieplnej w budownictwie – Określanie odporności na wgniatanie zewnętrznych zespolonych systemów ocieplania (ETICS).</w:t>
            </w:r>
          </w:p>
        </w:tc>
      </w:tr>
      <w:tr w:rsidR="000A3B2B" w14:paraId="6EE8CACA" w14:textId="77777777">
        <w:trPr>
          <w:trHeight w:val="60"/>
          <w:tblCellSpacing w:w="0" w:type="dxa"/>
        </w:trPr>
        <w:tc>
          <w:tcPr>
            <w:tcW w:w="382" w:type="dxa"/>
            <w:tcBorders>
              <w:top w:val="nil"/>
              <w:left w:val="nil"/>
              <w:bottom w:val="nil"/>
              <w:right w:val="nil"/>
            </w:tcBorders>
          </w:tcPr>
          <w:p w14:paraId="20164529"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11.</w:t>
            </w:r>
          </w:p>
        </w:tc>
        <w:tc>
          <w:tcPr>
            <w:tcW w:w="3000" w:type="dxa"/>
            <w:tcBorders>
              <w:top w:val="nil"/>
              <w:left w:val="nil"/>
              <w:bottom w:val="nil"/>
              <w:right w:val="nil"/>
            </w:tcBorders>
          </w:tcPr>
          <w:p w14:paraId="1168053F"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PN-EN 16383:2016-12</w:t>
            </w:r>
          </w:p>
        </w:tc>
        <w:tc>
          <w:tcPr>
            <w:tcW w:w="5926" w:type="dxa"/>
            <w:tcBorders>
              <w:top w:val="nil"/>
              <w:left w:val="nil"/>
              <w:bottom w:val="nil"/>
              <w:right w:val="nil"/>
            </w:tcBorders>
          </w:tcPr>
          <w:p w14:paraId="5E9E0313" w14:textId="77777777" w:rsidR="000A3B2B" w:rsidRDefault="000A3B2B">
            <w:pPr>
              <w:autoSpaceDE w:val="0"/>
              <w:autoSpaceDN w:val="0"/>
              <w:adjustRightInd w:val="0"/>
              <w:spacing w:after="30" w:line="240" w:lineRule="auto"/>
              <w:jc w:val="both"/>
              <w:rPr>
                <w:rFonts w:ascii="Arial" w:hAnsi="Arial" w:cs="Arial"/>
                <w:i/>
                <w:iCs/>
                <w:color w:val="000000"/>
                <w:sz w:val="18"/>
                <w:szCs w:val="18"/>
                <w:lang w:val="x-none"/>
              </w:rPr>
            </w:pPr>
            <w:r>
              <w:rPr>
                <w:rFonts w:ascii="Arial" w:hAnsi="Arial" w:cs="Arial"/>
                <w:color w:val="000000"/>
                <w:sz w:val="18"/>
                <w:szCs w:val="18"/>
                <w:lang w:val="x-none"/>
              </w:rPr>
              <w:t xml:space="preserve">Wyroby do izolacji cieplnej w budownictwie – Określanie zachowania cieplno-wilgotnościowego zewnętrznych zespolonych systemów ocieplania z tynkami (ETICS) </w:t>
            </w:r>
            <w:r>
              <w:rPr>
                <w:rFonts w:ascii="Arial" w:hAnsi="Arial" w:cs="Arial"/>
                <w:i/>
                <w:iCs/>
                <w:color w:val="000000"/>
                <w:sz w:val="18"/>
                <w:szCs w:val="18"/>
                <w:lang w:val="x-none"/>
              </w:rPr>
              <w:t>(wersja angielska).</w:t>
            </w:r>
          </w:p>
        </w:tc>
      </w:tr>
      <w:tr w:rsidR="000A3B2B" w14:paraId="191B1BDB" w14:textId="77777777">
        <w:trPr>
          <w:trHeight w:val="60"/>
          <w:tblCellSpacing w:w="0" w:type="dxa"/>
        </w:trPr>
        <w:tc>
          <w:tcPr>
            <w:tcW w:w="382" w:type="dxa"/>
            <w:tcBorders>
              <w:top w:val="nil"/>
              <w:left w:val="nil"/>
              <w:bottom w:val="nil"/>
              <w:right w:val="nil"/>
            </w:tcBorders>
          </w:tcPr>
          <w:p w14:paraId="73B88DE2"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12.</w:t>
            </w:r>
          </w:p>
        </w:tc>
        <w:tc>
          <w:tcPr>
            <w:tcW w:w="3000" w:type="dxa"/>
            <w:tcBorders>
              <w:top w:val="nil"/>
              <w:left w:val="nil"/>
              <w:bottom w:val="nil"/>
              <w:right w:val="nil"/>
            </w:tcBorders>
          </w:tcPr>
          <w:p w14:paraId="0A280387"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PN-EN 16724:2016-03</w:t>
            </w:r>
          </w:p>
        </w:tc>
        <w:tc>
          <w:tcPr>
            <w:tcW w:w="5926" w:type="dxa"/>
            <w:tcBorders>
              <w:top w:val="nil"/>
              <w:left w:val="nil"/>
              <w:bottom w:val="nil"/>
              <w:right w:val="nil"/>
            </w:tcBorders>
          </w:tcPr>
          <w:p w14:paraId="3C1BFF3A" w14:textId="77777777" w:rsidR="000A3B2B" w:rsidRDefault="000A3B2B">
            <w:pPr>
              <w:autoSpaceDE w:val="0"/>
              <w:autoSpaceDN w:val="0"/>
              <w:adjustRightInd w:val="0"/>
              <w:spacing w:after="30" w:line="240" w:lineRule="auto"/>
              <w:jc w:val="both"/>
              <w:rPr>
                <w:rFonts w:ascii="Arial" w:hAnsi="Arial" w:cs="Arial"/>
                <w:i/>
                <w:iCs/>
                <w:color w:val="000000"/>
                <w:sz w:val="18"/>
                <w:szCs w:val="18"/>
                <w:lang w:val="x-none"/>
              </w:rPr>
            </w:pPr>
            <w:r>
              <w:rPr>
                <w:rFonts w:ascii="Arial" w:hAnsi="Arial" w:cs="Arial"/>
                <w:color w:val="000000"/>
                <w:sz w:val="18"/>
                <w:szCs w:val="18"/>
                <w:lang w:val="x-none"/>
              </w:rPr>
              <w:t xml:space="preserve">Wyroby do izolacji cieplnej w budownictwie – Instrukcje montażu i mocowania do badania reakcji na ogień zewnętrznych zespolonych systemów ocieplania (ETICS) </w:t>
            </w:r>
            <w:r>
              <w:rPr>
                <w:rFonts w:ascii="Arial" w:hAnsi="Arial" w:cs="Arial"/>
                <w:i/>
                <w:iCs/>
                <w:color w:val="000000"/>
                <w:sz w:val="18"/>
                <w:szCs w:val="18"/>
                <w:lang w:val="x-none"/>
              </w:rPr>
              <w:t>(wersja angielska).</w:t>
            </w:r>
          </w:p>
        </w:tc>
      </w:tr>
    </w:tbl>
    <w:p w14:paraId="4008547C"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1A9DEE2B"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37C6A849"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5B32C8FE"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10.2. Inne dokumenty</w:t>
      </w:r>
    </w:p>
    <w:p w14:paraId="46559542"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Instrukcji i wytyczne producentów/dostawców użytych do robót </w:t>
      </w:r>
      <w:proofErr w:type="spellStart"/>
      <w:r>
        <w:rPr>
          <w:rFonts w:ascii="Arial" w:hAnsi="Arial" w:cs="Arial"/>
          <w:color w:val="000000"/>
          <w:sz w:val="18"/>
          <w:szCs w:val="18"/>
          <w:lang w:val="x-none"/>
        </w:rPr>
        <w:t>bezspoinowych</w:t>
      </w:r>
      <w:proofErr w:type="spellEnd"/>
      <w:r>
        <w:rPr>
          <w:rFonts w:ascii="Arial" w:hAnsi="Arial" w:cs="Arial"/>
          <w:color w:val="000000"/>
          <w:sz w:val="18"/>
          <w:szCs w:val="18"/>
          <w:lang w:val="x-none"/>
        </w:rPr>
        <w:t xml:space="preserve"> systemów ocieplania ścian zewnętrznych (BSO).</w:t>
      </w:r>
    </w:p>
    <w:p w14:paraId="5C4BEEC6" w14:textId="77777777" w:rsidR="000A3B2B" w:rsidRDefault="000A3B2B" w:rsidP="009E5295">
      <w:pPr>
        <w:autoSpaceDE w:val="0"/>
        <w:autoSpaceDN w:val="0"/>
        <w:adjustRightInd w:val="0"/>
        <w:spacing w:after="60" w:line="240" w:lineRule="auto"/>
        <w:jc w:val="both"/>
        <w:rPr>
          <w:rFonts w:ascii="Arial" w:hAnsi="Arial" w:cs="Arial"/>
          <w:color w:val="000000"/>
          <w:sz w:val="18"/>
          <w:szCs w:val="18"/>
          <w:lang w:val="x-none"/>
        </w:rPr>
        <w:sectPr w:rsidR="000A3B2B" w:rsidSect="009E5295">
          <w:pgSz w:w="12240" w:h="15840"/>
          <w:pgMar w:top="1417" w:right="1417" w:bottom="1417" w:left="1417" w:header="708" w:footer="708" w:gutter="0"/>
          <w:cols w:space="708"/>
          <w:noEndnote/>
        </w:sectPr>
      </w:pPr>
    </w:p>
    <w:p w14:paraId="68140E0D" w14:textId="77777777" w:rsidR="000A3B2B" w:rsidRDefault="000A3B2B" w:rsidP="009B52C0">
      <w:pPr>
        <w:pStyle w:val="Styl1"/>
      </w:pPr>
      <w:r>
        <w:t>KRYCIE DACHU PAPĄ</w:t>
      </w:r>
    </w:p>
    <w:p w14:paraId="646BE6AE" w14:textId="77777777" w:rsidR="000A3B2B" w:rsidRDefault="000A3B2B" w:rsidP="009E5295">
      <w:pPr>
        <w:autoSpaceDE w:val="0"/>
        <w:autoSpaceDN w:val="0"/>
        <w:adjustRightInd w:val="0"/>
        <w:spacing w:after="3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1.</w:t>
      </w:r>
      <w:r>
        <w:rPr>
          <w:rFonts w:ascii="Arial" w:hAnsi="Arial" w:cs="Arial"/>
          <w:b/>
          <w:bCs/>
          <w:color w:val="000000"/>
          <w:sz w:val="18"/>
          <w:szCs w:val="18"/>
          <w:lang w:val="x-none"/>
        </w:rPr>
        <w:tab/>
        <w:t>CZĘŚĆ OGÓLNA</w:t>
      </w:r>
    </w:p>
    <w:p w14:paraId="1A7D98E0"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1.1.</w:t>
      </w:r>
      <w:r>
        <w:rPr>
          <w:rFonts w:ascii="Arial" w:hAnsi="Arial" w:cs="Arial"/>
          <w:b/>
          <w:bCs/>
          <w:color w:val="000000"/>
          <w:sz w:val="18"/>
          <w:szCs w:val="18"/>
          <w:lang w:val="x-none"/>
        </w:rPr>
        <w:tab/>
        <w:t>Nazwa nadana zamówieniu przez Zamawiającego</w:t>
      </w:r>
    </w:p>
    <w:p w14:paraId="5F5E7FEC" w14:textId="77777777" w:rsidR="000A3B2B" w:rsidRDefault="000A3B2B" w:rsidP="009E5295">
      <w:pPr>
        <w:tabs>
          <w:tab w:val="right" w:leader="dot" w:pos="7035"/>
        </w:tabs>
        <w:autoSpaceDE w:val="0"/>
        <w:autoSpaceDN w:val="0"/>
        <w:adjustRightInd w:val="0"/>
        <w:spacing w:after="30" w:line="240" w:lineRule="auto"/>
        <w:jc w:val="both"/>
        <w:rPr>
          <w:rFonts w:ascii="Times New Roman" w:hAnsi="Times New Roman" w:cs="Times New Roman"/>
          <w:sz w:val="24"/>
          <w:szCs w:val="24"/>
          <w:lang w:val="x-none"/>
        </w:rPr>
      </w:pPr>
      <w:r w:rsidRPr="00D8129F">
        <w:rPr>
          <w:rFonts w:ascii="Arial" w:hAnsi="Arial" w:cs="Arial"/>
          <w:noProof/>
          <w:color w:val="000000"/>
          <w:sz w:val="18"/>
          <w:szCs w:val="18"/>
          <w:lang w:val="x-none"/>
        </w:rPr>
        <w:t>Termomodernizacja budynku Szkoły Podstawowej nr 3 przy ul. Marii Konopnickiej 2 w Reszlu.</w:t>
      </w:r>
    </w:p>
    <w:p w14:paraId="475E6391"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1.2.</w:t>
      </w:r>
      <w:r>
        <w:rPr>
          <w:rFonts w:ascii="Arial" w:hAnsi="Arial" w:cs="Arial"/>
          <w:b/>
          <w:bCs/>
          <w:color w:val="000000"/>
          <w:sz w:val="18"/>
          <w:szCs w:val="18"/>
          <w:lang w:val="x-none"/>
        </w:rPr>
        <w:tab/>
        <w:t>Przedmiot ST</w:t>
      </w:r>
    </w:p>
    <w:p w14:paraId="0B1E7B8F"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Przedmiotem niniejszej standardowej specyfikacji technicznej (ST) (standardowej) są wymagania dotyczące wykonania i odbioru pokryć dachowych papą wraz z obróbkami blacharskimi oraz rynnami i rurami spustowymi.</w:t>
      </w:r>
    </w:p>
    <w:p w14:paraId="2B76D42C"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p>
    <w:p w14:paraId="08B670CF"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1.3.</w:t>
      </w:r>
      <w:r>
        <w:rPr>
          <w:rFonts w:ascii="Arial" w:hAnsi="Arial" w:cs="Arial"/>
          <w:b/>
          <w:bCs/>
          <w:color w:val="000000"/>
          <w:sz w:val="18"/>
          <w:szCs w:val="18"/>
          <w:lang w:val="x-none"/>
        </w:rPr>
        <w:tab/>
        <w:t>Zakres stosowania ST</w:t>
      </w:r>
    </w:p>
    <w:p w14:paraId="5A1259FD"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Specyfikacja techniczna (ST) może być podstawą opracowania szczegółowej specyfikacji technicznej (SST), która będzie stosowana jako dokument przetargowy i kontraktowy przy zlecaniu i realizacji robót wymienionych w pkt. 1.1.</w:t>
      </w:r>
    </w:p>
    <w:p w14:paraId="0D131FDF"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Projektant sporządzający dokumentację projektową i odpowiednie szczegółowe specyfikacje techniczne wykonania i odbioru robót budowlanych może wprowadzać do niniejszej standardowej specyfikacji zmiany, uzupełnienia lub uściślenia, odpowiednie dla przewidzianych projektem zadania, obiektu i robót, uwzględniające wymagania Zamawiającego oraz konkretne warunki realizacji zadania, obiektu i robót, które są niezbędne do określania ich standardu i jakości.</w:t>
      </w:r>
    </w:p>
    <w:p w14:paraId="31BA6323"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Odstępstwa od wymagań podanych w niniejszej specyfikacji mogą mieć miejsce tylko w przypadkach małych prostych robót i konstrukcji drugorzędnych o niewielkim znaczeniu, dla których istnieje pewność, że podstawowe wymagania będą spełnione przy zastosowaniu metod wykonania na podstawie doświadczenia i przy przestrzeganiu zasad sztuki budowlanej.</w:t>
      </w:r>
    </w:p>
    <w:p w14:paraId="567A073C"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22747A9D"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1.4.</w:t>
      </w:r>
      <w:r>
        <w:rPr>
          <w:rFonts w:ascii="Arial" w:hAnsi="Arial" w:cs="Arial"/>
          <w:b/>
          <w:bCs/>
          <w:color w:val="000000"/>
          <w:sz w:val="18"/>
          <w:szCs w:val="18"/>
          <w:lang w:val="x-none"/>
        </w:rPr>
        <w:tab/>
        <w:t>Zakres robót objętych ST</w:t>
      </w:r>
    </w:p>
    <w:p w14:paraId="6990AF80"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Roboty, których dotyczy specyfikacja, obejmują wszystkie czynności umożliwiające i mające na celu wykonanie pokryć dachowych papą wraz z obróbkami blacharskimi, rynnami i rurami spustowymi oraz elementami wystającymi ponad dach budynku.</w:t>
      </w:r>
    </w:p>
    <w:p w14:paraId="6EA9B2DD"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7F3FC1AA"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1.5.</w:t>
      </w:r>
      <w:r>
        <w:rPr>
          <w:rFonts w:ascii="Arial" w:hAnsi="Arial" w:cs="Arial"/>
          <w:b/>
          <w:bCs/>
          <w:color w:val="000000"/>
          <w:sz w:val="18"/>
          <w:szCs w:val="18"/>
          <w:lang w:val="x-none"/>
        </w:rPr>
        <w:tab/>
        <w:t>Określenia podstawowe</w:t>
      </w:r>
    </w:p>
    <w:p w14:paraId="4BF5A0DA"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Określenia podane w niniejszej ST są zgodne z obowiązującymi odpowiednimi normami oraz określeniami podanymi w ST „Wymagania ogólne” Kod CPV 45000000-7, pkt 1.7.</w:t>
      </w:r>
    </w:p>
    <w:p w14:paraId="29289C0B"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15F72B77"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1.6.</w:t>
      </w:r>
      <w:r>
        <w:rPr>
          <w:rFonts w:ascii="Arial" w:hAnsi="Arial" w:cs="Arial"/>
          <w:b/>
          <w:bCs/>
          <w:color w:val="000000"/>
          <w:sz w:val="18"/>
          <w:szCs w:val="18"/>
          <w:lang w:val="x-none"/>
        </w:rPr>
        <w:tab/>
        <w:t>Ogólne wymagania dotyczące robót</w:t>
      </w:r>
    </w:p>
    <w:p w14:paraId="464B2310"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Wykonawca robót jest odpowiedzialny za jakość ich wykonania oraz za zgodność z dokumentacją projektową, ST i poleceniami Inspektora nadzoru. Ogólne wymagania dotyczące robót podano w ST „Wymagania ogólne” Kod CPV 45000000-7, pkt 1.5.</w:t>
      </w:r>
    </w:p>
    <w:p w14:paraId="4B8CE472"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7724B5C3" w14:textId="77777777" w:rsidR="000A3B2B" w:rsidRDefault="000A3B2B" w:rsidP="009E5295">
      <w:pPr>
        <w:autoSpaceDE w:val="0"/>
        <w:autoSpaceDN w:val="0"/>
        <w:adjustRightInd w:val="0"/>
        <w:spacing w:before="225" w:after="12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2.</w:t>
      </w:r>
      <w:r>
        <w:rPr>
          <w:rFonts w:ascii="Arial" w:hAnsi="Arial" w:cs="Arial"/>
          <w:b/>
          <w:bCs/>
          <w:color w:val="000000"/>
          <w:sz w:val="18"/>
          <w:szCs w:val="18"/>
          <w:lang w:val="x-none"/>
        </w:rPr>
        <w:tab/>
        <w:t xml:space="preserve">WYMAGANIA DOTYCZĄCE MATERIAŁÓW </w:t>
      </w:r>
    </w:p>
    <w:p w14:paraId="565DFD90"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2.1.</w:t>
      </w:r>
      <w:r>
        <w:rPr>
          <w:rFonts w:ascii="Arial" w:hAnsi="Arial" w:cs="Arial"/>
          <w:b/>
          <w:bCs/>
          <w:color w:val="000000"/>
          <w:sz w:val="18"/>
          <w:szCs w:val="18"/>
          <w:lang w:val="x-none"/>
        </w:rPr>
        <w:tab/>
        <w:t xml:space="preserve">Ogólne wymagania </w:t>
      </w:r>
    </w:p>
    <w:p w14:paraId="6ED563BD"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Wymagania ogólne dotyczące materiałów, ich pozyskiwania i składowania podano w ST „Wymagania ogólne” Kod CPV 45000000-7, pkt 2</w:t>
      </w:r>
    </w:p>
    <w:p w14:paraId="0B602F1E"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Wszystkie materiały wykorzystywane przy kryciu dachów papą powinny być wprowadzone do obrotu lub udostępnione na rynku krajowym zgodnie z właściwymi przepisami, a więc posiadać:</w:t>
      </w:r>
    </w:p>
    <w:p w14:paraId="03FC4348"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 xml:space="preserve">– </w:t>
      </w:r>
      <w:r>
        <w:rPr>
          <w:rFonts w:ascii="Arial" w:hAnsi="Arial" w:cs="Arial"/>
          <w:color w:val="000000"/>
          <w:sz w:val="18"/>
          <w:szCs w:val="18"/>
          <w:lang w:val="x-none"/>
        </w:rPr>
        <w:tab/>
        <w:t>oznakowanie znakiem CE co oznacza, że dokonano oceny ich zgodności ze zharmonizowaną normą europejską wprowadzoną do zbioru Polskich Norm lub z europejską oceną techniczną, albo</w:t>
      </w:r>
    </w:p>
    <w:p w14:paraId="7FADC92A"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 xml:space="preserve">– </w:t>
      </w:r>
      <w:r>
        <w:rPr>
          <w:rFonts w:ascii="Arial" w:hAnsi="Arial" w:cs="Arial"/>
          <w:color w:val="000000"/>
          <w:sz w:val="18"/>
          <w:szCs w:val="18"/>
          <w:lang w:val="x-none"/>
        </w:rPr>
        <w:tab/>
        <w:t>oznakowanie znakiem budowlanym, co oznacza że są to wyroby nieobjęte normą zharmonizowaną – dla której zakończył się okres koegzystencji – i dla których nie została wydana europejska ocena techniczna, a dokonano oceny zgodności z Polską Normą lub aprobatą techniczną (do końca okresu ważności tej aprobaty wydanej do 31 grudnia 2016 r., a później krajową oceną techniczną), bądź uznano za „regionalny wyrób budowlany”, albo</w:t>
      </w:r>
    </w:p>
    <w:p w14:paraId="490B504F"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 xml:space="preserve">– </w:t>
      </w:r>
      <w:r>
        <w:rPr>
          <w:rFonts w:ascii="Arial" w:hAnsi="Arial" w:cs="Arial"/>
          <w:color w:val="000000"/>
          <w:sz w:val="18"/>
          <w:szCs w:val="18"/>
          <w:lang w:val="x-none"/>
        </w:rPr>
        <w:tab/>
        <w:t>legalne wprowadzenie do obrotu w innym państwie członkowskim Unii Europejskiej lub w państwie członkowskim Europejskiego Porozumienia o Wolnym Handlu (EFTA)  – stronie umowy o Europejskim Obszarze Gospodarczym oraz w Turcji, o ile wyroby budowlane udostępniane na rynku krajowym są nieobjęte zakresem przedmiotowym zharmonizowanych specyfikacji technicznych, o których mowa w art. 2 pkt 10 rozporządzenia Nr 305/2011, a ich właściwości użytkowe umożliwiają spełnienie podstawowych wymagań przez obiekty budowlane zaprojektowane i budowane w sposób określony w przepisach techniczno-budowlanych, oraz zgodnie z zasadami wiedzy technicznej (wraz z wyrobem budowlanym udostępnianym na rynku krajowym dostarcza się informacje o jego właściwościach użytkowych oznaczonych zgodnie z przepisami państwa, w którym wyrób budowlany został wprowadzony do obrotu, instrukcje stosowania, instrukcje obsługi oraz informacje dotyczące zagrożenia dla zdrowia i bezpieczeństwa, jakie ten wyrób stwarza podczas stosowania i użytkowania), albo</w:t>
      </w:r>
    </w:p>
    <w:p w14:paraId="5214D0DF"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 xml:space="preserve">– </w:t>
      </w:r>
      <w:r>
        <w:rPr>
          <w:rFonts w:ascii="Arial" w:hAnsi="Arial" w:cs="Arial"/>
          <w:color w:val="000000"/>
          <w:sz w:val="18"/>
          <w:szCs w:val="18"/>
          <w:lang w:val="x-none"/>
        </w:rPr>
        <w:tab/>
        <w:t>dopuszczenie do jednostkowego zastosowania w obiekcie budowlanym.</w:t>
      </w:r>
    </w:p>
    <w:p w14:paraId="039DE39E"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Wykonawca obowiązany jest posiadać na budowie dostępną w każdej chwili do kontroli pełną dokumentację dotyczącą znajdujących się na budowie materiałów przeznaczonych do wykonania pokryć dachowych.</w:t>
      </w:r>
    </w:p>
    <w:p w14:paraId="5B31C763"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p>
    <w:p w14:paraId="1FBB1A80"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2.2.</w:t>
      </w:r>
      <w:r>
        <w:rPr>
          <w:rFonts w:ascii="Arial" w:hAnsi="Arial" w:cs="Arial"/>
          <w:b/>
          <w:bCs/>
          <w:color w:val="000000"/>
          <w:sz w:val="18"/>
          <w:szCs w:val="18"/>
          <w:lang w:val="x-none"/>
        </w:rPr>
        <w:tab/>
        <w:t>Główne materiały stosowane do wykonania pokryć dachowych</w:t>
      </w:r>
    </w:p>
    <w:p w14:paraId="67F46BCD" w14:textId="77777777" w:rsidR="000A3B2B" w:rsidRDefault="000A3B2B" w:rsidP="009E529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2.2.</w:t>
      </w:r>
      <w:r>
        <w:rPr>
          <w:rFonts w:ascii="Arial" w:hAnsi="Arial" w:cs="Arial"/>
          <w:b/>
          <w:bCs/>
          <w:color w:val="000000"/>
          <w:sz w:val="18"/>
          <w:szCs w:val="18"/>
        </w:rPr>
        <w:t>1</w:t>
      </w:r>
      <w:r>
        <w:rPr>
          <w:rFonts w:ascii="Arial" w:hAnsi="Arial" w:cs="Arial"/>
          <w:b/>
          <w:bCs/>
          <w:color w:val="000000"/>
          <w:sz w:val="18"/>
          <w:szCs w:val="18"/>
          <w:lang w:val="x-none"/>
        </w:rPr>
        <w:t>.</w:t>
      </w:r>
      <w:r>
        <w:rPr>
          <w:rFonts w:ascii="Arial" w:hAnsi="Arial" w:cs="Arial"/>
          <w:b/>
          <w:bCs/>
          <w:color w:val="000000"/>
          <w:sz w:val="18"/>
          <w:szCs w:val="18"/>
          <w:lang w:val="x-none"/>
        </w:rPr>
        <w:tab/>
        <w:t>Papy modyfikowane SBS</w:t>
      </w:r>
    </w:p>
    <w:p w14:paraId="26D8865E"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Papy modyfikowane elastomerami SBS na bazie osnów z welonu szklanego lub tkaniny szklanej charakteryzują się dużą elastycznością, wysoką przyczepnością do podłoża oraz odpornością na temperatury w zakresie od -20°C do +120°C. Dzięki tym cechom papy te stosowane są najczęściej na dachach obiektów o dużych powierzchniach np. halach fabrycznych, marketach itp. oraz wszędzie tam, gdzie dachy ulegają znacznym odkształceniom, ruchom konstrukcyjnym i drganiom. Papa musi spełniać wymagania normy PN-EN 13707 Elastyczne wyroby wodochronne – Wyroby asfaltowe na osnowie do pokryć dachowych – Definicje i właściwości.</w:t>
      </w:r>
    </w:p>
    <w:p w14:paraId="5BA79764" w14:textId="77777777" w:rsidR="000A3B2B" w:rsidRDefault="000A3B2B" w:rsidP="009E529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2.2.</w:t>
      </w:r>
      <w:r>
        <w:rPr>
          <w:rFonts w:ascii="Arial" w:hAnsi="Arial" w:cs="Arial"/>
          <w:b/>
          <w:bCs/>
          <w:color w:val="000000"/>
          <w:sz w:val="18"/>
          <w:szCs w:val="18"/>
        </w:rPr>
        <w:t>2</w:t>
      </w:r>
      <w:r>
        <w:rPr>
          <w:rFonts w:ascii="Arial" w:hAnsi="Arial" w:cs="Arial"/>
          <w:b/>
          <w:bCs/>
          <w:color w:val="000000"/>
          <w:sz w:val="18"/>
          <w:szCs w:val="18"/>
          <w:lang w:val="x-none"/>
        </w:rPr>
        <w:t>.</w:t>
      </w:r>
      <w:r>
        <w:rPr>
          <w:rFonts w:ascii="Arial" w:hAnsi="Arial" w:cs="Arial"/>
          <w:b/>
          <w:bCs/>
          <w:color w:val="000000"/>
          <w:sz w:val="18"/>
          <w:szCs w:val="18"/>
          <w:lang w:val="x-none"/>
        </w:rPr>
        <w:tab/>
        <w:t>Lepik asfaltowy i asfaltowo-polimerowy z wypełniaczami stosowany na gorąco</w:t>
      </w:r>
    </w:p>
    <w:p w14:paraId="4767CFF6"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Lepik stosowany na gorąco winien spełniać wymagania normy PN-B-24625 Lepik asfaltowy i asfaltowo-polimerowy z wypełniaczami stosowane na gorąco.</w:t>
      </w:r>
    </w:p>
    <w:p w14:paraId="74A1FB23" w14:textId="77777777" w:rsidR="000A3B2B" w:rsidRDefault="000A3B2B" w:rsidP="009E529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2.2.</w:t>
      </w:r>
      <w:r>
        <w:rPr>
          <w:rFonts w:ascii="Arial" w:hAnsi="Arial" w:cs="Arial"/>
          <w:b/>
          <w:bCs/>
          <w:color w:val="000000"/>
          <w:sz w:val="18"/>
          <w:szCs w:val="18"/>
        </w:rPr>
        <w:t>3</w:t>
      </w:r>
      <w:r>
        <w:rPr>
          <w:rFonts w:ascii="Arial" w:hAnsi="Arial" w:cs="Arial"/>
          <w:b/>
          <w:bCs/>
          <w:color w:val="000000"/>
          <w:sz w:val="18"/>
          <w:szCs w:val="18"/>
          <w:lang w:val="x-none"/>
        </w:rPr>
        <w:t>.</w:t>
      </w:r>
      <w:r>
        <w:rPr>
          <w:rFonts w:ascii="Arial" w:hAnsi="Arial" w:cs="Arial"/>
          <w:b/>
          <w:bCs/>
          <w:color w:val="000000"/>
          <w:sz w:val="18"/>
          <w:szCs w:val="18"/>
          <w:lang w:val="x-none"/>
        </w:rPr>
        <w:tab/>
        <w:t>Lepiki i masy asfaltowe stosowane na zimno</w:t>
      </w:r>
    </w:p>
    <w:p w14:paraId="052C67B4"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Lepiki oraz masy asfaltowe stosowane na zimno winny spełniać wymagania normy PN-B-24620 Lepiki, masy i roztwory asfaltowe stosowane na zimno.</w:t>
      </w:r>
    </w:p>
    <w:p w14:paraId="13930CC8" w14:textId="77777777" w:rsidR="000A3B2B" w:rsidRDefault="000A3B2B" w:rsidP="009E529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2.2.</w:t>
      </w:r>
      <w:r>
        <w:rPr>
          <w:rFonts w:ascii="Arial" w:hAnsi="Arial" w:cs="Arial"/>
          <w:b/>
          <w:bCs/>
          <w:color w:val="000000"/>
          <w:sz w:val="18"/>
          <w:szCs w:val="18"/>
        </w:rPr>
        <w:t>4</w:t>
      </w:r>
      <w:r>
        <w:rPr>
          <w:rFonts w:ascii="Arial" w:hAnsi="Arial" w:cs="Arial"/>
          <w:b/>
          <w:bCs/>
          <w:color w:val="000000"/>
          <w:sz w:val="18"/>
          <w:szCs w:val="18"/>
          <w:lang w:val="x-none"/>
        </w:rPr>
        <w:t>.</w:t>
      </w:r>
      <w:r>
        <w:rPr>
          <w:rFonts w:ascii="Arial" w:hAnsi="Arial" w:cs="Arial"/>
          <w:b/>
          <w:bCs/>
          <w:color w:val="000000"/>
          <w:sz w:val="18"/>
          <w:szCs w:val="18"/>
          <w:lang w:val="x-none"/>
        </w:rPr>
        <w:tab/>
        <w:t>Roztwór asfaltowy do gruntowania</w:t>
      </w:r>
    </w:p>
    <w:p w14:paraId="0B5E0477"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Wymagania wg normy PN-74/B-24622.</w:t>
      </w:r>
    </w:p>
    <w:p w14:paraId="30DDF85D" w14:textId="77777777" w:rsidR="000A3B2B" w:rsidRDefault="000A3B2B" w:rsidP="009E529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2.2.</w:t>
      </w:r>
      <w:r>
        <w:rPr>
          <w:rFonts w:ascii="Arial" w:hAnsi="Arial" w:cs="Arial"/>
          <w:b/>
          <w:bCs/>
          <w:color w:val="000000"/>
          <w:sz w:val="18"/>
          <w:szCs w:val="18"/>
        </w:rPr>
        <w:t>5</w:t>
      </w:r>
      <w:r>
        <w:rPr>
          <w:rFonts w:ascii="Arial" w:hAnsi="Arial" w:cs="Arial"/>
          <w:b/>
          <w:bCs/>
          <w:color w:val="000000"/>
          <w:sz w:val="18"/>
          <w:szCs w:val="18"/>
          <w:lang w:val="x-none"/>
        </w:rPr>
        <w:t>.</w:t>
      </w:r>
      <w:r>
        <w:rPr>
          <w:rFonts w:ascii="Arial" w:hAnsi="Arial" w:cs="Arial"/>
          <w:b/>
          <w:bCs/>
          <w:color w:val="000000"/>
          <w:sz w:val="18"/>
          <w:szCs w:val="18"/>
          <w:lang w:val="x-none"/>
        </w:rPr>
        <w:tab/>
        <w:t>Kit asfaltowy uszlachetniony KF</w:t>
      </w:r>
    </w:p>
    <w:p w14:paraId="4E8DC4ED"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Wymagania wg normy PN-75/B-30175.</w:t>
      </w:r>
    </w:p>
    <w:p w14:paraId="2FC89A54" w14:textId="77777777" w:rsidR="000A3B2B" w:rsidRDefault="000A3B2B" w:rsidP="009E529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2.2.</w:t>
      </w:r>
      <w:r>
        <w:rPr>
          <w:rFonts w:ascii="Arial" w:hAnsi="Arial" w:cs="Arial"/>
          <w:b/>
          <w:bCs/>
          <w:color w:val="000000"/>
          <w:sz w:val="18"/>
          <w:szCs w:val="18"/>
        </w:rPr>
        <w:t>6</w:t>
      </w:r>
      <w:r>
        <w:rPr>
          <w:rFonts w:ascii="Arial" w:hAnsi="Arial" w:cs="Arial"/>
          <w:b/>
          <w:bCs/>
          <w:color w:val="000000"/>
          <w:sz w:val="18"/>
          <w:szCs w:val="18"/>
          <w:lang w:val="x-none"/>
        </w:rPr>
        <w:t>.</w:t>
      </w:r>
      <w:r>
        <w:rPr>
          <w:rFonts w:ascii="Arial" w:hAnsi="Arial" w:cs="Arial"/>
          <w:b/>
          <w:bCs/>
          <w:color w:val="000000"/>
          <w:sz w:val="18"/>
          <w:szCs w:val="18"/>
          <w:lang w:val="x-none"/>
        </w:rPr>
        <w:tab/>
        <w:t>Blacha stalowa ocynkowana płaska wg normy PN-61/B-10245, PN-73/H-92122</w:t>
      </w:r>
    </w:p>
    <w:p w14:paraId="3DD56760"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Blachy stalowe płaskie o grub. min. 0,5 mm obustronnie ocynkowane w arkuszach.</w:t>
      </w:r>
    </w:p>
    <w:p w14:paraId="3EEBA611"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Grubość powłoki cynku wynosi min. 275 g/m</w:t>
      </w:r>
      <w:r>
        <w:rPr>
          <w:rFonts w:ascii="Arial" w:hAnsi="Arial" w:cs="Arial"/>
          <w:color w:val="000000"/>
          <w:position w:val="4"/>
          <w:sz w:val="8"/>
          <w:szCs w:val="8"/>
          <w:lang w:val="x-none"/>
        </w:rPr>
        <w:t>2</w:t>
      </w:r>
      <w:r>
        <w:rPr>
          <w:rFonts w:ascii="Arial" w:hAnsi="Arial" w:cs="Arial"/>
          <w:color w:val="000000"/>
          <w:sz w:val="18"/>
          <w:szCs w:val="18"/>
          <w:lang w:val="x-none"/>
        </w:rPr>
        <w:t>.</w:t>
      </w:r>
    </w:p>
    <w:p w14:paraId="714EABFF"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Materiały pokrywcze mogą być przyjęte na budowę, jeżeli spełniają następujące warunki:</w:t>
      </w:r>
    </w:p>
    <w:p w14:paraId="72293CF6"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odpowiadają wyrobom wymienionym w dokumentacji projektowej,</w:t>
      </w:r>
    </w:p>
    <w:p w14:paraId="331495CA"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są właściwie opakowane i oznakowane,</w:t>
      </w:r>
    </w:p>
    <w:p w14:paraId="37C339EE"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spełniają wymagane właściwości wykazane w odpowiednich dokumentach,</w:t>
      </w:r>
    </w:p>
    <w:p w14:paraId="5792273E"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producent dostarczył dokumenty świadczące o ich dopuszczeniu, zgodnie z właściwymi przepisami, do obrotu lub udostępnieniu na rynku krajowym bądź do jednostkowego zastosowania (kopie deklaracji właściwości użytkowych, oświadczenie producenta o zapewnieniu zgodności wyrobu budowlanego dopuszczonego do jednostkowego zastosowania z indywidualną dokumentacją techniczną, itp.) oraz karty techniczne /katalogowe wyrobów lub firmowe wytyczne/zalecenia stosowania wyrobów, karty charakterystyki wyrobów, informacje o zawartości substancji niebezpiecznych, itp.</w:t>
      </w:r>
    </w:p>
    <w:p w14:paraId="1CF84FD1"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Wszystkie materiały dekarskie powinny być przechowywane i magazynowane zgodnie z instrukcją producenta oraz według odpowiednich norm wyrobu.</w:t>
      </w:r>
    </w:p>
    <w:p w14:paraId="7D1AB3AD"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Przyjęcie materiałów i wyrobów na budowę powinno być potwierdzane wpisem do dziennika budowy.</w:t>
      </w:r>
    </w:p>
    <w:p w14:paraId="046C013E" w14:textId="77777777" w:rsidR="000A3B2B" w:rsidRDefault="000A3B2B" w:rsidP="009E5295">
      <w:pPr>
        <w:autoSpaceDE w:val="0"/>
        <w:autoSpaceDN w:val="0"/>
        <w:adjustRightInd w:val="0"/>
        <w:spacing w:before="225" w:after="12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3.</w:t>
      </w:r>
      <w:r>
        <w:rPr>
          <w:rFonts w:ascii="Arial" w:hAnsi="Arial" w:cs="Arial"/>
          <w:b/>
          <w:bCs/>
          <w:color w:val="000000"/>
          <w:sz w:val="18"/>
          <w:szCs w:val="18"/>
          <w:lang w:val="x-none"/>
        </w:rPr>
        <w:tab/>
        <w:t>WYMAGANIA DOTYCZĄCE SPRZĘTU, MASZYN I NARZĘDZI</w:t>
      </w:r>
    </w:p>
    <w:p w14:paraId="3E7851B5"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3.1.</w:t>
      </w:r>
      <w:r>
        <w:rPr>
          <w:rFonts w:ascii="Arial" w:hAnsi="Arial" w:cs="Arial"/>
          <w:b/>
          <w:bCs/>
          <w:color w:val="000000"/>
          <w:sz w:val="18"/>
          <w:szCs w:val="18"/>
          <w:lang w:val="x-none"/>
        </w:rPr>
        <w:tab/>
        <w:t>Ogólne wymagania</w:t>
      </w:r>
    </w:p>
    <w:p w14:paraId="28E370B6"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Wymagania ogólne dotyczące sprzętu podano w ST „Wymagania ogólne” Kod CPV 45000000-7, pkt 3.</w:t>
      </w:r>
    </w:p>
    <w:p w14:paraId="3867B56F"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7DA82974"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3.2.</w:t>
      </w:r>
      <w:r>
        <w:rPr>
          <w:rFonts w:ascii="Arial" w:hAnsi="Arial" w:cs="Arial"/>
          <w:b/>
          <w:bCs/>
          <w:color w:val="000000"/>
          <w:sz w:val="18"/>
          <w:szCs w:val="18"/>
          <w:lang w:val="x-none"/>
        </w:rPr>
        <w:tab/>
        <w:t>Sprzęt do wykonywania robót</w:t>
      </w:r>
    </w:p>
    <w:p w14:paraId="374B47F1"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Roboty wykonuje się ręcznie przy użyciu typowych narzędzi takich jak:</w:t>
      </w:r>
    </w:p>
    <w:p w14:paraId="5E13CBAE"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nóż do cięcia papy i szpachelka,</w:t>
      </w:r>
    </w:p>
    <w:p w14:paraId="3879B7F7"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drabiny i pomosty robocze,</w:t>
      </w:r>
    </w:p>
    <w:p w14:paraId="30934BD5"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szczotka dekarska i miotła,</w:t>
      </w:r>
    </w:p>
    <w:p w14:paraId="1DD100B3"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wkrętarka elektryczna,</w:t>
      </w:r>
    </w:p>
    <w:p w14:paraId="76149017"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wałek dociskowy z silikonową rolką,</w:t>
      </w:r>
    </w:p>
    <w:p w14:paraId="0DE8C3FC"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sztywna i lekka, odpowiednio wygięta rurka do prowadzenia rolki papy podczas zgrzewania,</w:t>
      </w:r>
    </w:p>
    <w:p w14:paraId="35B35751"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palnik gazowy z wężem długości min. 15 m i z reduktorem i butla z gazem propan-butan,</w:t>
      </w:r>
    </w:p>
    <w:p w14:paraId="3C297DD1"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mały palnik do obróbek dekarskich i butla z gazem propan-butan,</w:t>
      </w:r>
    </w:p>
    <w:p w14:paraId="1ECC8808"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agregat do natrysku mas bitumicznych,</w:t>
      </w:r>
    </w:p>
    <w:p w14:paraId="278B4ADD"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wałki, pędzle i inny drobny sprzęt.</w:t>
      </w:r>
    </w:p>
    <w:p w14:paraId="25C3BD5B"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614400F5" w14:textId="77777777" w:rsidR="000A3B2B" w:rsidRDefault="000A3B2B" w:rsidP="009E5295">
      <w:pPr>
        <w:autoSpaceDE w:val="0"/>
        <w:autoSpaceDN w:val="0"/>
        <w:adjustRightInd w:val="0"/>
        <w:spacing w:before="225" w:after="12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4.</w:t>
      </w:r>
      <w:r>
        <w:rPr>
          <w:rFonts w:ascii="Arial" w:hAnsi="Arial" w:cs="Arial"/>
          <w:b/>
          <w:bCs/>
          <w:color w:val="000000"/>
          <w:sz w:val="18"/>
          <w:szCs w:val="18"/>
          <w:lang w:val="x-none"/>
        </w:rPr>
        <w:tab/>
        <w:t>WYMAGANIA DOTYCZĄCE TRANSPORTU</w:t>
      </w:r>
    </w:p>
    <w:p w14:paraId="08E599FD"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4.1.</w:t>
      </w:r>
      <w:r>
        <w:rPr>
          <w:rFonts w:ascii="Arial" w:hAnsi="Arial" w:cs="Arial"/>
          <w:b/>
          <w:bCs/>
          <w:color w:val="000000"/>
          <w:sz w:val="18"/>
          <w:szCs w:val="18"/>
          <w:lang w:val="x-none"/>
        </w:rPr>
        <w:tab/>
        <w:t xml:space="preserve">Ogólne wymagania </w:t>
      </w:r>
    </w:p>
    <w:p w14:paraId="6B51305C"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Wymagania ogólne dotyczące transportu podano w ST „Wymagania ogólne” Kod CPV 45000000-7, pkt 4.</w:t>
      </w:r>
    </w:p>
    <w:p w14:paraId="24B93521"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703808A1"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4.2.</w:t>
      </w:r>
      <w:r>
        <w:rPr>
          <w:rFonts w:ascii="Arial" w:hAnsi="Arial" w:cs="Arial"/>
          <w:b/>
          <w:bCs/>
          <w:color w:val="000000"/>
          <w:sz w:val="18"/>
          <w:szCs w:val="18"/>
          <w:lang w:val="x-none"/>
        </w:rPr>
        <w:tab/>
        <w:t>Transport materiałów</w:t>
      </w:r>
    </w:p>
    <w:p w14:paraId="30AFF9EE" w14:textId="77777777" w:rsidR="000A3B2B" w:rsidRDefault="000A3B2B" w:rsidP="009E529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4.2.1.</w:t>
      </w:r>
      <w:r>
        <w:rPr>
          <w:rFonts w:ascii="Arial" w:hAnsi="Arial" w:cs="Arial"/>
          <w:b/>
          <w:bCs/>
          <w:color w:val="000000"/>
          <w:sz w:val="18"/>
          <w:szCs w:val="18"/>
          <w:lang w:val="x-none"/>
        </w:rPr>
        <w:tab/>
        <w:t>Pakowanie, przechowywanie i transport pap:</w:t>
      </w:r>
    </w:p>
    <w:p w14:paraId="6A13F999"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1)</w:t>
      </w:r>
      <w:r>
        <w:rPr>
          <w:rFonts w:ascii="Arial" w:hAnsi="Arial" w:cs="Arial"/>
          <w:color w:val="000000"/>
          <w:sz w:val="18"/>
          <w:szCs w:val="18"/>
          <w:lang w:val="x-none"/>
        </w:rPr>
        <w:tab/>
        <w:t>Rolki papy powinny być odpowiednio zabezpieczone i oznakowane. Na każdej rolce papy powinna być umieszczona nalepka z podstawowymi danymi określonymi w normie lub świadectwie.</w:t>
      </w:r>
    </w:p>
    <w:p w14:paraId="1B5B5021"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2)</w:t>
      </w:r>
      <w:r>
        <w:rPr>
          <w:rFonts w:ascii="Arial" w:hAnsi="Arial" w:cs="Arial"/>
          <w:color w:val="000000"/>
          <w:sz w:val="18"/>
          <w:szCs w:val="18"/>
          <w:lang w:val="x-none"/>
        </w:rPr>
        <w:tab/>
        <w:t>Rolki papy podczas transportu należy układać w jednej warstwie w pozycji stojącej, zabezpieczone przed przewracaniem się i uszkodzeniem. Należy je układać w sposób uniemożliwiający przemieszczanie się ich podczas transportu.</w:t>
      </w:r>
    </w:p>
    <w:p w14:paraId="191DCAE5"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3)</w:t>
      </w:r>
      <w:r>
        <w:rPr>
          <w:rFonts w:ascii="Arial" w:hAnsi="Arial" w:cs="Arial"/>
          <w:color w:val="000000"/>
          <w:sz w:val="18"/>
          <w:szCs w:val="18"/>
          <w:lang w:val="x-none"/>
        </w:rPr>
        <w:tab/>
        <w:t>Rolki papy należy przechowywać w pomieszczeniach krytych, chroniących przed zawilgoceniem i działaniem promieni słonecznych, w odległości co najmniej 120 cm od grzejników.</w:t>
      </w:r>
    </w:p>
    <w:p w14:paraId="26FD82EB"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4)</w:t>
      </w:r>
      <w:r>
        <w:rPr>
          <w:rFonts w:ascii="Arial" w:hAnsi="Arial" w:cs="Arial"/>
          <w:color w:val="000000"/>
          <w:sz w:val="18"/>
          <w:szCs w:val="18"/>
          <w:lang w:val="x-none"/>
        </w:rPr>
        <w:tab/>
        <w:t>Rolki papy w trakcie składowania należy układać w stosy (do 1200 szt.) w pozycji stojącej, w jednej warstwie. Minimalna odległość między stosami – 80 cm.</w:t>
      </w:r>
    </w:p>
    <w:p w14:paraId="66942F09" w14:textId="77777777" w:rsidR="000A3B2B" w:rsidRDefault="000A3B2B" w:rsidP="009E529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4.2.2.</w:t>
      </w:r>
      <w:r>
        <w:rPr>
          <w:rFonts w:ascii="Arial" w:hAnsi="Arial" w:cs="Arial"/>
          <w:b/>
          <w:bCs/>
          <w:color w:val="000000"/>
          <w:sz w:val="18"/>
          <w:szCs w:val="18"/>
          <w:lang w:val="x-none"/>
        </w:rPr>
        <w:tab/>
        <w:t>Przechowywanie lepików i mas asfaltowych</w:t>
      </w:r>
    </w:p>
    <w:p w14:paraId="5DDD58EA"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Lepik asfaltowy i materiały wiążące powinny być pakowane, przechowywane i transportowane w sposób wskazany przez producentów. Lepiki i masy asfaltowe należy przechowywać w szczelnie zamkniętych oryginalnych opakowaniach w miejscach zabezpieczonych przed bezpośrednim nasłonecznieniem, z dala od źródeł ciepła i otwartego ognia. </w:t>
      </w:r>
    </w:p>
    <w:p w14:paraId="0FA8F163" w14:textId="77777777" w:rsidR="000A3B2B" w:rsidRDefault="000A3B2B" w:rsidP="009E529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4.2.3.</w:t>
      </w:r>
      <w:r>
        <w:rPr>
          <w:rFonts w:ascii="Arial" w:hAnsi="Arial" w:cs="Arial"/>
          <w:b/>
          <w:bCs/>
          <w:color w:val="000000"/>
          <w:sz w:val="18"/>
          <w:szCs w:val="18"/>
          <w:lang w:val="x-none"/>
        </w:rPr>
        <w:tab/>
        <w:t>Przechowywanie rynien i rur spustowych blach i obróbek blacharskich</w:t>
      </w:r>
    </w:p>
    <w:p w14:paraId="5F41176A"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1)</w:t>
      </w:r>
      <w:r>
        <w:rPr>
          <w:rFonts w:ascii="Arial" w:hAnsi="Arial" w:cs="Arial"/>
          <w:color w:val="000000"/>
          <w:sz w:val="18"/>
          <w:szCs w:val="18"/>
          <w:lang w:val="x-none"/>
        </w:rPr>
        <w:tab/>
        <w:t xml:space="preserve">Gotowe obróbki blacharskie składować w pomieszczeniach suchych i przewiewnych, na podporach 10x20 cm, rozmieszczonych co jeden metr. Istnieje możliwość składowania paczek jedna na drugiej (maks. po trzy paczki), trzeba jednak przełożyć je listwami. </w:t>
      </w:r>
    </w:p>
    <w:p w14:paraId="5F2C1D0A"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2)</w:t>
      </w:r>
      <w:r>
        <w:rPr>
          <w:rFonts w:ascii="Arial" w:hAnsi="Arial" w:cs="Arial"/>
          <w:color w:val="000000"/>
          <w:sz w:val="18"/>
          <w:szCs w:val="18"/>
          <w:lang w:val="x-none"/>
        </w:rPr>
        <w:tab/>
        <w:t>Arkusze blachy należy chronić przed zamoczeniem, które mogłoby doprowadzić do korozji. Paczek nie należy niczym obciążać, a tym bardziej chodzić po nich. Arkusze mogą być również tymczasowo składowane na wolnym powietrzu, ale powinny być wtedy przykryte i właściwie wentylowane. Nie zaleca się składowania ich bezpośrednio na gruncie, bo mogłoby dojść do ich zabrudzenia.</w:t>
      </w:r>
    </w:p>
    <w:p w14:paraId="3A62F92D" w14:textId="77777777" w:rsidR="000A3B2B" w:rsidRDefault="000A3B2B" w:rsidP="009E5295">
      <w:pPr>
        <w:autoSpaceDE w:val="0"/>
        <w:autoSpaceDN w:val="0"/>
        <w:adjustRightInd w:val="0"/>
        <w:spacing w:after="30" w:line="240" w:lineRule="auto"/>
        <w:ind w:left="285" w:firstLine="285"/>
        <w:jc w:val="both"/>
        <w:rPr>
          <w:rFonts w:ascii="Arial" w:hAnsi="Arial" w:cs="Arial"/>
          <w:color w:val="000000"/>
          <w:sz w:val="18"/>
          <w:szCs w:val="18"/>
          <w:lang w:val="x-none"/>
        </w:rPr>
      </w:pPr>
      <w:r>
        <w:rPr>
          <w:rFonts w:ascii="Arial" w:hAnsi="Arial" w:cs="Arial"/>
          <w:color w:val="000000"/>
          <w:sz w:val="18"/>
          <w:szCs w:val="18"/>
          <w:lang w:val="x-none"/>
        </w:rPr>
        <w:t xml:space="preserve">Rynny i rury pakowane są w rękawy foliowe. Pozostałe elementy pakowane są w pudla kartonowe. Wszystkie elementy systemu rynnowego należy przechowywać w suchych, wentylowanych pomieszczeniach. </w:t>
      </w:r>
    </w:p>
    <w:p w14:paraId="01FE0672"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094A07C1" w14:textId="77777777" w:rsidR="000A3B2B" w:rsidRDefault="000A3B2B" w:rsidP="009E5295">
      <w:pPr>
        <w:autoSpaceDE w:val="0"/>
        <w:autoSpaceDN w:val="0"/>
        <w:adjustRightInd w:val="0"/>
        <w:spacing w:before="225" w:after="12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5.</w:t>
      </w:r>
      <w:r>
        <w:rPr>
          <w:rFonts w:ascii="Arial" w:hAnsi="Arial" w:cs="Arial"/>
          <w:b/>
          <w:bCs/>
          <w:color w:val="000000"/>
          <w:sz w:val="18"/>
          <w:szCs w:val="18"/>
          <w:lang w:val="x-none"/>
        </w:rPr>
        <w:tab/>
        <w:t xml:space="preserve">WYMAGANIA DOTYCZĄCE WYKONANIA ROBÓT </w:t>
      </w:r>
    </w:p>
    <w:p w14:paraId="78181D67"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5.1.</w:t>
      </w:r>
      <w:r>
        <w:rPr>
          <w:rFonts w:ascii="Arial" w:hAnsi="Arial" w:cs="Arial"/>
          <w:b/>
          <w:bCs/>
          <w:color w:val="000000"/>
          <w:sz w:val="18"/>
          <w:szCs w:val="18"/>
          <w:lang w:val="x-none"/>
        </w:rPr>
        <w:tab/>
        <w:t>Wymagania ogólne</w:t>
      </w:r>
    </w:p>
    <w:p w14:paraId="502CE248"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Ogólne zasady dotyczące wykonania robót ST „Wymagania ogólne” Kod CPV 45000000-7, pkt 5. </w:t>
      </w:r>
    </w:p>
    <w:p w14:paraId="64F1C809"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Podstawowe zasady wykonawcze wymieniono poniżej:</w:t>
      </w:r>
    </w:p>
    <w:p w14:paraId="2A93DFFB"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1.</w:t>
      </w:r>
      <w:r>
        <w:rPr>
          <w:rFonts w:ascii="Arial" w:hAnsi="Arial" w:cs="Arial"/>
          <w:color w:val="000000"/>
          <w:sz w:val="18"/>
          <w:szCs w:val="18"/>
          <w:lang w:val="x-none"/>
        </w:rPr>
        <w:tab/>
        <w:t>Prace dekarskie można rozpocząć dopiero po zakończeniu robót budowlanych na powierzchni połaci dachowej, np. tynkowaniu kominów, wyprowadzaniu wywiewek kanalizacyjnych, tynkowaniu powierzchni pionowych, na które będą wyprowadzone (wywijane) warstwy pokrycia papowego, osadzeniu klocków do mocowania obróbek blacharskich, uchwytów rynnowych itp.</w:t>
      </w:r>
    </w:p>
    <w:p w14:paraId="06046A71"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2.</w:t>
      </w:r>
      <w:r>
        <w:rPr>
          <w:rFonts w:ascii="Arial" w:hAnsi="Arial" w:cs="Arial"/>
          <w:color w:val="000000"/>
          <w:sz w:val="18"/>
          <w:szCs w:val="18"/>
          <w:lang w:val="x-none"/>
        </w:rPr>
        <w:tab/>
        <w:t>W przypadku, gdy w projekcie budowlanym brak jest szczegółowych rozwiązań przed przystąpieniem do układania nowego pokrycia lub renowacji starego należy dokładnie zapoznać się ze stanem dachu i w uzgodnieniu z Inspektorem nadzoru dokonać wyboru odpowiednich materiałów oraz technologii robót, a także zdecydować czy potrzebne będzie wykonania wentylacji pokrycia (konieczne w przypadku pokryć stropodachów niewentylowanych).</w:t>
      </w:r>
    </w:p>
    <w:p w14:paraId="727424C0"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3.</w:t>
      </w:r>
      <w:r>
        <w:rPr>
          <w:rFonts w:ascii="Arial" w:hAnsi="Arial" w:cs="Arial"/>
          <w:color w:val="000000"/>
          <w:sz w:val="18"/>
          <w:szCs w:val="18"/>
          <w:lang w:val="x-none"/>
        </w:rPr>
        <w:tab/>
        <w:t>Do wykonania pokrycia dachowego można przystąpić po sprawdzeniu zgodności wykonania podłoża i podkładu z projektem SST oraz wymaganiami szczegółowymi dla danego rodzaju pokrycia. W szczególności należy sprawdzić czy kąt nachylenia połaci spełnia wymagania PN-B-02361:2010 Pochylenia połaci dachowych.</w:t>
      </w:r>
    </w:p>
    <w:p w14:paraId="6CB2C053"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4.</w:t>
      </w:r>
      <w:r>
        <w:rPr>
          <w:rFonts w:ascii="Arial" w:hAnsi="Arial" w:cs="Arial"/>
          <w:color w:val="000000"/>
          <w:sz w:val="18"/>
          <w:szCs w:val="18"/>
          <w:lang w:val="x-none"/>
        </w:rPr>
        <w:tab/>
        <w:t>Bezpośrednio przed przystąpieniem do prac dekarskich należy dokonać pomiarów połaci dachowej, sprawdzić osadzenie wpustów dachowych, wielkość spadków połaci dachu oraz określić ilość przerw dylatacyjnych i w oparciu o dokonane ustalenia precyzyjnie rozplanować rozłożenie poszczególnych pasów papy na powierzchni dachu.</w:t>
      </w:r>
    </w:p>
    <w:p w14:paraId="2089239E"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5.</w:t>
      </w:r>
      <w:r>
        <w:rPr>
          <w:rFonts w:ascii="Arial" w:hAnsi="Arial" w:cs="Arial"/>
          <w:color w:val="000000"/>
          <w:sz w:val="18"/>
          <w:szCs w:val="18"/>
          <w:lang w:val="x-none"/>
        </w:rPr>
        <w:tab/>
        <w:t>Prace dekarskie z użyciem pap można wykonywać w temperaturze:</w:t>
      </w:r>
    </w:p>
    <w:p w14:paraId="48283ACA" w14:textId="77777777" w:rsidR="000A3B2B" w:rsidRDefault="000A3B2B" w:rsidP="009E5295">
      <w:pPr>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nie niższej niż 0°C w przypadku pap modyfikowanych SBS,</w:t>
      </w:r>
    </w:p>
    <w:p w14:paraId="4A6441C8" w14:textId="77777777" w:rsidR="000A3B2B" w:rsidRDefault="000A3B2B" w:rsidP="009E5295">
      <w:pPr>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nie niższej niż +5°C w przypadku pap oksydowanych.</w:t>
      </w:r>
    </w:p>
    <w:p w14:paraId="033C6CCD"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6.</w:t>
      </w:r>
      <w:r>
        <w:rPr>
          <w:rFonts w:ascii="Arial" w:hAnsi="Arial" w:cs="Arial"/>
          <w:color w:val="000000"/>
          <w:sz w:val="18"/>
          <w:szCs w:val="18"/>
          <w:lang w:val="x-none"/>
        </w:rPr>
        <w:tab/>
        <w:t>Papa przed użyciem do robót powinna być przez min. 24 godz. przechowywana w temperaturze 18-20°C i wynoszona na dach bezpośrednio przed układaniem.</w:t>
      </w:r>
    </w:p>
    <w:p w14:paraId="4026B177"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7.</w:t>
      </w:r>
      <w:r>
        <w:rPr>
          <w:rFonts w:ascii="Arial" w:hAnsi="Arial" w:cs="Arial"/>
          <w:color w:val="000000"/>
          <w:sz w:val="18"/>
          <w:szCs w:val="18"/>
          <w:lang w:val="x-none"/>
        </w:rPr>
        <w:tab/>
        <w:t>Nie wolno prowadzić prac dekarskich na dachach o mocno zawilgoconej lub oblodzonej powierzchni, a także podczas opadów atmosferycznych lub silnego wiatru.</w:t>
      </w:r>
    </w:p>
    <w:p w14:paraId="2772F687"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8.</w:t>
      </w:r>
      <w:r>
        <w:rPr>
          <w:rFonts w:ascii="Arial" w:hAnsi="Arial" w:cs="Arial"/>
          <w:color w:val="000000"/>
          <w:sz w:val="18"/>
          <w:szCs w:val="18"/>
          <w:lang w:val="x-none"/>
        </w:rPr>
        <w:tab/>
        <w:t xml:space="preserve">Roboty dekarskie rozpoczyna się od osadzenia dybli drewnianych, rynien, haków i innego oprzyrządowania, oraz od wstępnego wykonania z papy podkładowej obróbek detali dachowych takich jak </w:t>
      </w:r>
      <w:proofErr w:type="spellStart"/>
      <w:r>
        <w:rPr>
          <w:rFonts w:ascii="Arial" w:hAnsi="Arial" w:cs="Arial"/>
          <w:color w:val="000000"/>
          <w:sz w:val="18"/>
          <w:szCs w:val="18"/>
          <w:lang w:val="x-none"/>
        </w:rPr>
        <w:t>ogniomury</w:t>
      </w:r>
      <w:proofErr w:type="spellEnd"/>
      <w:r>
        <w:rPr>
          <w:rFonts w:ascii="Arial" w:hAnsi="Arial" w:cs="Arial"/>
          <w:color w:val="000000"/>
          <w:sz w:val="18"/>
          <w:szCs w:val="18"/>
          <w:lang w:val="x-none"/>
        </w:rPr>
        <w:t>, kominy, świetliki.</w:t>
      </w:r>
    </w:p>
    <w:p w14:paraId="006870CA"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p>
    <w:p w14:paraId="41BB9D65"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5.2.</w:t>
      </w:r>
      <w:r>
        <w:rPr>
          <w:rFonts w:ascii="Arial" w:hAnsi="Arial" w:cs="Arial"/>
          <w:b/>
          <w:bCs/>
          <w:color w:val="000000"/>
          <w:sz w:val="18"/>
          <w:szCs w:val="18"/>
          <w:lang w:val="x-none"/>
        </w:rPr>
        <w:tab/>
        <w:t>Przygotowanie podłoża</w:t>
      </w:r>
    </w:p>
    <w:p w14:paraId="55920562"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Podłoża przeznaczone pod pokrycia papowe powinny odpowiadać wymaganiom określonym w PN-EN 14964 Sztywne podłoża pod nieciągłe pokrycia dachowe – Definicje i właściwości oraz muszą spełniać niżej wymienione podstawowe wymagania:</w:t>
      </w:r>
    </w:p>
    <w:p w14:paraId="5DE552B9"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podłoże powinno być równe, co ma decydujące znaczenie dla prawidłowego spływu wody, przyczepności papy do podłoża oraz estetyki wykonanego pokrycia; przyjmuje się, że prześwit pomiędzy powierzchnią podłoża, a łatą kontrolną o długości 2 m nie może przekraczać 5 mm;</w:t>
      </w:r>
    </w:p>
    <w:p w14:paraId="41A3600B"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podłoże powinno być odpowiednio </w:t>
      </w:r>
      <w:proofErr w:type="spellStart"/>
      <w:r>
        <w:rPr>
          <w:rFonts w:ascii="Arial" w:hAnsi="Arial" w:cs="Arial"/>
          <w:color w:val="000000"/>
          <w:sz w:val="18"/>
          <w:szCs w:val="18"/>
          <w:lang w:val="x-none"/>
        </w:rPr>
        <w:t>zdylatowane</w:t>
      </w:r>
      <w:proofErr w:type="spellEnd"/>
      <w:r>
        <w:rPr>
          <w:rFonts w:ascii="Arial" w:hAnsi="Arial" w:cs="Arial"/>
          <w:color w:val="000000"/>
          <w:sz w:val="18"/>
          <w:szCs w:val="18"/>
          <w:lang w:val="x-none"/>
        </w:rPr>
        <w:t>;</w:t>
      </w:r>
    </w:p>
    <w:p w14:paraId="33A861DC"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wytrzymałość i sztywność podłoża powinny zapewniać przeniesienie przewidywanych obciążeń występujących podczas wykonywania robót oraz podczas eksploatacji dachu;</w:t>
      </w:r>
    </w:p>
    <w:p w14:paraId="5DBF02EC"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podłoże powinno być oczyszczone z kurzu i zanieczyszczeń oraz zagruntowane asfaltowym środkiem gruntującym;</w:t>
      </w:r>
    </w:p>
    <w:p w14:paraId="03DFF4F3"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zaleca się, aby przy obróbkach elementów wystających nad powierzchnię dachu stosować kliny z twardej wełny mineralnej lub styropianu oklejonego papą.</w:t>
      </w:r>
    </w:p>
    <w:p w14:paraId="41C4C041" w14:textId="77777777" w:rsidR="000A3B2B" w:rsidRDefault="000A3B2B" w:rsidP="009E529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5.2.1.</w:t>
      </w:r>
      <w:r>
        <w:rPr>
          <w:rFonts w:ascii="Arial" w:hAnsi="Arial" w:cs="Arial"/>
          <w:b/>
          <w:bCs/>
          <w:color w:val="000000"/>
          <w:sz w:val="18"/>
          <w:szCs w:val="18"/>
          <w:lang w:val="x-none"/>
        </w:rPr>
        <w:tab/>
        <w:t>Podłoże betonowe</w:t>
      </w:r>
    </w:p>
    <w:p w14:paraId="34105D5F"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Podłoża betonowe i z zaprawy cementowej muszą być dojrzałe i uzyskać przed rozpoczęciem układania pokrycia papowego wilgotność mniejszą niż 6%. Jeżeli wilgotność będzie większa należy się liczyć z mniejszą przyczepnością do podłoża ułożonej papy, a także z tworzeniem się pęcherzy w pokryciu. Na powierzchni podłoża nie mogą występować rysy skurczowe i spękania.</w:t>
      </w:r>
    </w:p>
    <w:p w14:paraId="72DAE498"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 xml:space="preserve">Wylewki ułożone na warstwie izolacji termicznej powinny mieć grubość minimum 3,5 cm. Podłoże takie należy </w:t>
      </w:r>
      <w:proofErr w:type="spellStart"/>
      <w:r>
        <w:rPr>
          <w:rFonts w:ascii="Arial" w:hAnsi="Arial" w:cs="Arial"/>
          <w:color w:val="000000"/>
          <w:sz w:val="18"/>
          <w:szCs w:val="18"/>
          <w:lang w:val="x-none"/>
        </w:rPr>
        <w:t>zdylatować</w:t>
      </w:r>
      <w:proofErr w:type="spellEnd"/>
      <w:r>
        <w:rPr>
          <w:rFonts w:ascii="Arial" w:hAnsi="Arial" w:cs="Arial"/>
          <w:color w:val="000000"/>
          <w:sz w:val="18"/>
          <w:szCs w:val="18"/>
          <w:lang w:val="x-none"/>
        </w:rPr>
        <w:t xml:space="preserve"> na pola o boku 1,5-2,0 m w obu kierunkach, dylatacje powinny pokrywać się z dylatacjami konstrukcji dachu.</w:t>
      </w:r>
    </w:p>
    <w:p w14:paraId="52808850"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Podłoże przed układaniem papy należy zagruntować asfaltowym roztworem gruntującym. Do gruntowania gładzi cementowej wykonanej na płytach styropianowych należy stosować dyspersję asfaltową, nie wolno natomiast stosować roztworów asfaltowych zawierających rozpuszczalniki organiczne.</w:t>
      </w:r>
    </w:p>
    <w:p w14:paraId="27FA50E3" w14:textId="77777777" w:rsidR="000A3B2B" w:rsidRDefault="000A3B2B" w:rsidP="009E529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5.2.</w:t>
      </w:r>
      <w:r>
        <w:rPr>
          <w:rFonts w:ascii="Arial" w:hAnsi="Arial" w:cs="Arial"/>
          <w:b/>
          <w:bCs/>
          <w:color w:val="000000"/>
          <w:sz w:val="18"/>
          <w:szCs w:val="18"/>
        </w:rPr>
        <w:t>2</w:t>
      </w:r>
      <w:r>
        <w:rPr>
          <w:rFonts w:ascii="Arial" w:hAnsi="Arial" w:cs="Arial"/>
          <w:b/>
          <w:bCs/>
          <w:color w:val="000000"/>
          <w:sz w:val="18"/>
          <w:szCs w:val="18"/>
          <w:lang w:val="x-none"/>
        </w:rPr>
        <w:t>.</w:t>
      </w:r>
      <w:r>
        <w:rPr>
          <w:rFonts w:ascii="Arial" w:hAnsi="Arial" w:cs="Arial"/>
          <w:b/>
          <w:bCs/>
          <w:color w:val="000000"/>
          <w:sz w:val="18"/>
          <w:szCs w:val="18"/>
          <w:lang w:val="x-none"/>
        </w:rPr>
        <w:tab/>
        <w:t>Podłoże z płyt styropianowych/polistyrenowych</w:t>
      </w:r>
    </w:p>
    <w:p w14:paraId="48FDD68D"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Płyty styropianowe do izolacji termicznej mające stanowić podłoże pod pokrycie papowe powinny posiadać odpowiednią wytrzymałość i sztywność zapewniającą przeniesienie obciążeń zewnętrznych występujących w czasie użytkowania dachu oraz obciążeń spowodowanych pracami dekarskimi. Pod bezpośrednie krycie papą należy stosować płyty ze styropianu samogasnącego zgodne z PN-EN 13163 Wyroby do izolacji cieplnej w budownictwie – Wyroby ze styropianu (EPS) produkowane fabrycznie – Specyfikacja, o gęstości objętościowej co najmniej 30 kg/m</w:t>
      </w:r>
      <w:r>
        <w:rPr>
          <w:rFonts w:ascii="Arial" w:hAnsi="Arial" w:cs="Arial"/>
          <w:color w:val="000000"/>
          <w:position w:val="4"/>
          <w:sz w:val="8"/>
          <w:szCs w:val="8"/>
          <w:lang w:val="x-none"/>
        </w:rPr>
        <w:t>3</w:t>
      </w:r>
      <w:r>
        <w:rPr>
          <w:rFonts w:ascii="Arial" w:hAnsi="Arial" w:cs="Arial"/>
          <w:color w:val="000000"/>
          <w:sz w:val="18"/>
          <w:szCs w:val="18"/>
          <w:lang w:val="x-none"/>
        </w:rPr>
        <w:t xml:space="preserve"> i naprężeniu ściskającym przy 10% odkształceniu względnym co najmniej 200 </w:t>
      </w:r>
      <w:proofErr w:type="spellStart"/>
      <w:r>
        <w:rPr>
          <w:rFonts w:ascii="Arial" w:hAnsi="Arial" w:cs="Arial"/>
          <w:color w:val="000000"/>
          <w:sz w:val="18"/>
          <w:szCs w:val="18"/>
          <w:lang w:val="x-none"/>
        </w:rPr>
        <w:t>kPa</w:t>
      </w:r>
      <w:proofErr w:type="spellEnd"/>
      <w:r>
        <w:rPr>
          <w:rFonts w:ascii="Arial" w:hAnsi="Arial" w:cs="Arial"/>
          <w:color w:val="000000"/>
          <w:sz w:val="18"/>
          <w:szCs w:val="18"/>
          <w:lang w:val="x-none"/>
        </w:rPr>
        <w:t xml:space="preserve"> lub płyty z polistyrenu ekstrudowanego.</w:t>
      </w:r>
    </w:p>
    <w:p w14:paraId="4D1CC101"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Rozróżniamy następujące rodzaje płyt stosowanych do termoizolacji:</w:t>
      </w:r>
    </w:p>
    <w:p w14:paraId="63251EC6"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płyty styropianowe – frezowane i proste,</w:t>
      </w:r>
    </w:p>
    <w:p w14:paraId="221A82D9"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płyty warstwowe ze styropianu oklejonego papą – jednostronnie i dwustronnie,</w:t>
      </w:r>
    </w:p>
    <w:p w14:paraId="6E1A8E67"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płyty izolacyjne z polistyrenu ekstrudowanego dopuszczone do bezpośredniego krycia papą,</w:t>
      </w:r>
    </w:p>
    <w:p w14:paraId="0BD601E1"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płyty izolacyjne z polistyrenu ekstrudowanego oklejonego papą.</w:t>
      </w:r>
    </w:p>
    <w:p w14:paraId="2C12BCFA"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Termoizolacja składająca się z kilku warstw płyt sklejonych ze sobą powinna być tak wykonana, by spoiny między płytami w każdej z warstw były przesunięte względem siebie o co najmniej 20 cm. Płyty styropianowe laminowane należy mocować do podłoża za pomocą łączników mechanicznych, względnie przyklejać lepikiem asfaltowym na zimno lub specjalnymi masami asfaltowymi odpowiednimi do takiego zastosowania. W przypadku klejenia, w strefie brzegowej i narożnej, płyty należy dodatkowo mocować łącznikami mechanicznymi. Do klejenia styropianu nie wolno stosować lepików asfaltowych na zimno na rozpuszczalnikach organicznych.</w:t>
      </w:r>
    </w:p>
    <w:p w14:paraId="65E88B0D"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Płyty laminowane dwustronnie można mocować mechanicznie względnie kleić do podłoża stosując lepik asfaltowy na gorąco.</w:t>
      </w:r>
    </w:p>
    <w:p w14:paraId="252B4F76"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Kliny oraz odboje styropianowe mocuje się tak jak płyty laminowane jednostronnie.</w:t>
      </w:r>
    </w:p>
    <w:p w14:paraId="09941E43"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Zakłady na połączeniach płyt należy przykleić do płyt sąsiednich.</w:t>
      </w:r>
    </w:p>
    <w:p w14:paraId="1259B341"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Podłoże z płyt termoizolacyjnych musi być zabezpieczone przed zawilgoceniem poprzez niezwłoczne ułożenie na nim co najmniej jednej warstwy papy.</w:t>
      </w:r>
    </w:p>
    <w:p w14:paraId="163E7FF6"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p>
    <w:p w14:paraId="76BFAE72"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5.3.</w:t>
      </w:r>
      <w:r>
        <w:rPr>
          <w:rFonts w:ascii="Arial" w:hAnsi="Arial" w:cs="Arial"/>
          <w:b/>
          <w:bCs/>
          <w:color w:val="000000"/>
          <w:sz w:val="18"/>
          <w:szCs w:val="18"/>
          <w:lang w:val="x-none"/>
        </w:rPr>
        <w:tab/>
        <w:t>Zasady ogólne wykonywania pokryć papowych</w:t>
      </w:r>
    </w:p>
    <w:p w14:paraId="32944074"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Poniżej podano podstawowe zasady dotyczące wykonywania pokryć papowych:</w:t>
      </w:r>
    </w:p>
    <w:p w14:paraId="7C79717C"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Pokrycia papowe należy wykonywać w porze suchej, przy temperaturze powyżej 5°C.</w:t>
      </w:r>
    </w:p>
    <w:p w14:paraId="5A03AFF6"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Na połaciach o nachyleniu mniejszym niż 20% papę układa się pasami równoległymi do okapu, a przy nachyleniu połaci powyżej 20% – pasami prostopadłymi do okapu.</w:t>
      </w:r>
    </w:p>
    <w:p w14:paraId="5A824B67"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Przy pochyleniu połaci powyżej 30% arkusze papy powinny być przerzucone przez kalenicę i zamocowane mechanicznie.</w:t>
      </w:r>
    </w:p>
    <w:p w14:paraId="5393A2DB"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Szerokość zakładów arkuszy papy w każdej warstwie powinna wynosić co najmniej 10 cm; należy je wykonywać zgodnie z kierunkiem spadku połaci.</w:t>
      </w:r>
    </w:p>
    <w:p w14:paraId="61DB8FBC"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Zakłady każdej następnej warstwy papy powinny być przesunięte względem zakładów warstwy spodniej odpowiednio: przy kryciu dwuwarstwowym o ½ szerokości arkusza, przy trzywarstwowym – o ⅓ szerokości arkusza.</w:t>
      </w:r>
    </w:p>
    <w:p w14:paraId="3F2619E1"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 pokryciach układanych bezpośrednio na izolacji termicznej jedna z warstw powinna być wykonana z papy na tkaninie szklanej lub włókninie poliestrowej.</w:t>
      </w:r>
    </w:p>
    <w:p w14:paraId="33BBACDF"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Papa na welonie szklanym może stanowić tylko jedną warstwę w wielowarstwowym pokryciu papowym.</w:t>
      </w:r>
    </w:p>
    <w:p w14:paraId="41E3C293"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Papy na taśmie aluminiowej nie należy stosować na stropodachach pełnych oraz w pokryciach układanych bezpośrednio na podłożu termoizolacyjnym.</w:t>
      </w:r>
    </w:p>
    <w:p w14:paraId="59AC59E4"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 miejscach załamania powierzchni połaci dachowej i w korytach odwadniających pokrycie należy wzmocnić, układając pod pierwszą warstwę pokrycia dodatkową warstwę papy.</w:t>
      </w:r>
    </w:p>
    <w:p w14:paraId="44016D86"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 przypadku przyklejania pap do podłoża z płyt izolacji termicznej należy stosować wyłącznie lepik asfaltowy bez wypełniaczy na gorąco. W pokryciach papowych wielowarstwowych przyklejanych do podłoża betonowego można stosować do klejenia warstw górnych lepik na zimno. Stosowanie lepików w odwrotnej kolejności jest niedopuszczalne.</w:t>
      </w:r>
    </w:p>
    <w:p w14:paraId="05D38487"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Temperatura lepiku asfaltowego stosowanego na gorąco w chwili użycia powinna wynosić od 160°C do 180°C, a dla lepiku stosowanego na podłoże ze styropianu od 120°C do 130°C.</w:t>
      </w:r>
    </w:p>
    <w:p w14:paraId="1E8FD02A"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Przy przyklejaniu pap lepikiem asfaltowym na zimno należy przestrzegać odparowania rozpuszczalników zawartych w warstwie rozprowadzonego lepiku. Okres odparowywania rozpuszczalników zależy od warunków atmosferycznych i wynosi od ~30 min. w okresie upalnego lata do ~2 godz. i więcej w okresach, gdy temperatura zewnętrzna osiąga ~10°C. Przy temperaturze poniżej 10°C zabrania się wykonywania pokryć dachowych z zastosowaniem lepików asfaltowych na zimno.</w:t>
      </w:r>
    </w:p>
    <w:p w14:paraId="0E3199AD"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Pokrycia papowe powinny być </w:t>
      </w:r>
      <w:proofErr w:type="spellStart"/>
      <w:r>
        <w:rPr>
          <w:rFonts w:ascii="Arial" w:hAnsi="Arial" w:cs="Arial"/>
          <w:color w:val="000000"/>
          <w:sz w:val="18"/>
          <w:szCs w:val="18"/>
          <w:lang w:val="x-none"/>
        </w:rPr>
        <w:t>dylatowane</w:t>
      </w:r>
      <w:proofErr w:type="spellEnd"/>
      <w:r>
        <w:rPr>
          <w:rFonts w:ascii="Arial" w:hAnsi="Arial" w:cs="Arial"/>
          <w:color w:val="000000"/>
          <w:sz w:val="18"/>
          <w:szCs w:val="18"/>
          <w:lang w:val="x-none"/>
        </w:rPr>
        <w:t xml:space="preserve"> w tych samych miejscach i płaszczyznach, w których wykonano dylatacje konstrukcji budynku lub dylatacje z sąsiednim budynkiem.</w:t>
      </w:r>
    </w:p>
    <w:p w14:paraId="1FE14117"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Wierzchnia warstwa pokrycia powinna być zabezpieczona warstwą ochronną przed nadmiernym działaniem promieniowania słonecznego. W pokryciach papowych funkcję tę spełnia posypka papowa naniesiona fabrycznie na papę wierzchniego krycia. Na powłokach asfaltowych </w:t>
      </w:r>
      <w:proofErr w:type="spellStart"/>
      <w:r>
        <w:rPr>
          <w:rFonts w:ascii="Arial" w:hAnsi="Arial" w:cs="Arial"/>
          <w:color w:val="000000"/>
          <w:sz w:val="18"/>
          <w:szCs w:val="18"/>
          <w:lang w:val="x-none"/>
        </w:rPr>
        <w:t>bezspoinowych</w:t>
      </w:r>
      <w:proofErr w:type="spellEnd"/>
      <w:r>
        <w:rPr>
          <w:rFonts w:ascii="Arial" w:hAnsi="Arial" w:cs="Arial"/>
          <w:color w:val="000000"/>
          <w:sz w:val="18"/>
          <w:szCs w:val="18"/>
          <w:lang w:val="x-none"/>
        </w:rPr>
        <w:t xml:space="preserve"> warstwa ochronna może być wykonana z posypki mineralnej lub jako powłoka odblaskowa z masy asfaltowo-aluminiowej lub innej masy mającej aprobatę techniczną – wydaną do 31 grudnia 2016 r., a po zakończeniu okresu jej ważności krajową ocenę techniczną.</w:t>
      </w:r>
    </w:p>
    <w:p w14:paraId="1F8ACE86"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Krycie dachów papą powinno być wykonywane od okapu w kierunku kalenicy.</w:t>
      </w:r>
    </w:p>
    <w:p w14:paraId="2B21A2E1"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Pokrycia papowe z zastosowaniem lepiku asfaltowego na zimno mogą być wykonywane tylko na podłożach betonowych lub z zaprawy cementowej. Nie dopuszcza się klejenia pap lepikiem asfaltowym na zimno na podłożach z płyt izolacji termicznej, styropianu, wełny mineralnej itp. Odstępstwo od tego wymagania jest możliwe jedynie w przypadku oceny lepiku na zimno jako przydatnego do zakresu zastosowania zapisanego w aprobacie technicznej.</w:t>
      </w:r>
    </w:p>
    <w:p w14:paraId="44724E0E"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Na podłożach z płyt izolacji termicznej na pierwszą warstwę pokrycia należy zastosować papę o zwiększonej wytrzymałości na rozrywanie i przedziurawienie – odpowiadającą wymaganiom dla papy asfaltowej na tkaninie technicznej.</w:t>
      </w:r>
    </w:p>
    <w:p w14:paraId="70295164"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7C244F27"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5.</w:t>
      </w:r>
      <w:r>
        <w:rPr>
          <w:rFonts w:ascii="Arial" w:hAnsi="Arial" w:cs="Arial"/>
          <w:b/>
          <w:bCs/>
          <w:color w:val="000000"/>
          <w:sz w:val="18"/>
          <w:szCs w:val="18"/>
        </w:rPr>
        <w:t>4</w:t>
      </w:r>
      <w:r>
        <w:rPr>
          <w:rFonts w:ascii="Arial" w:hAnsi="Arial" w:cs="Arial"/>
          <w:b/>
          <w:bCs/>
          <w:color w:val="000000"/>
          <w:sz w:val="18"/>
          <w:szCs w:val="18"/>
          <w:lang w:val="x-none"/>
        </w:rPr>
        <w:t>.</w:t>
      </w:r>
      <w:r>
        <w:rPr>
          <w:rFonts w:ascii="Arial" w:hAnsi="Arial" w:cs="Arial"/>
          <w:b/>
          <w:bCs/>
          <w:color w:val="000000"/>
          <w:sz w:val="18"/>
          <w:szCs w:val="18"/>
          <w:lang w:val="x-none"/>
        </w:rPr>
        <w:tab/>
        <w:t>Pokrycia papami termozgrzewalnymi</w:t>
      </w:r>
    </w:p>
    <w:p w14:paraId="17FD85AE"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Sposób układania pap jest ważnym czynnikiem prawidłowego funkcjonowania całego systemu izolacyjnego. Wybór odpowiedniej metody zależy od typu oraz kąta nachylenia podłoża, od zastosowania dodatkowego obciążenia (ciężkich warstw ochronnych – balastu), a także od ogólnego stanu technicznego powierzchni izolowanej. </w:t>
      </w:r>
    </w:p>
    <w:p w14:paraId="73FE1716"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Metoda pokrycia powinna być zdefiniowana w dokumentacji projektowej. Jeśli nie jest wyboru odpowiedniej metody dokona Inspektor nadzoru w uzgodnieniu z Wykonawcą. W zależności od sytuacji papy można układać metodami:</w:t>
      </w:r>
    </w:p>
    <w:p w14:paraId="75C88DA4"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bez zgrzewania,</w:t>
      </w:r>
    </w:p>
    <w:p w14:paraId="29EEC716"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r>
      <w:proofErr w:type="spellStart"/>
      <w:r>
        <w:rPr>
          <w:rFonts w:ascii="Arial" w:hAnsi="Arial" w:cs="Arial"/>
          <w:color w:val="000000"/>
          <w:sz w:val="18"/>
          <w:szCs w:val="18"/>
          <w:lang w:val="x-none"/>
        </w:rPr>
        <w:t>półzgrzewania</w:t>
      </w:r>
      <w:proofErr w:type="spellEnd"/>
      <w:r>
        <w:rPr>
          <w:rFonts w:ascii="Arial" w:hAnsi="Arial" w:cs="Arial"/>
          <w:color w:val="000000"/>
          <w:sz w:val="18"/>
          <w:szCs w:val="18"/>
          <w:lang w:val="x-none"/>
        </w:rPr>
        <w:t>,</w:t>
      </w:r>
    </w:p>
    <w:p w14:paraId="4858703B"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pełnego zgrzewania,</w:t>
      </w:r>
    </w:p>
    <w:p w14:paraId="03D66E17"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klejenia,</w:t>
      </w:r>
    </w:p>
    <w:p w14:paraId="544A15FC"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mocowania mechanicznego.</w:t>
      </w:r>
    </w:p>
    <w:p w14:paraId="393A5624"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 każdym z tych przypadków typ układania odnosi się zawsze do pierwszej warstwy papy. Przy wielu warstwach wszystkie następne są zawsze w pełni zgrzewane.</w:t>
      </w:r>
    </w:p>
    <w:p w14:paraId="0E0764A5"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 xml:space="preserve">Wskazane jest ułożenie, jako pierwszej warstwy, papy podkładowej mocowanej mechanicznie. </w:t>
      </w:r>
    </w:p>
    <w:p w14:paraId="4CACBEF2"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Zaleca się zastosowanie pap o zwiększonej wytrzymałości na rozrywanie i przedziurawienie tj. pap na wkładce z tkaniny szklanej lub włókniny poliestrowej.</w:t>
      </w:r>
    </w:p>
    <w:p w14:paraId="1A261BD0"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Krycie dachów papą powinno być wykonywane od okapu w kierunku kalenicy. Przy nachyleniach dachu do 20% papę należy układać pasami równoległymi do okapu, natomiast przy większym spadku papę układa się pasami prostopadłymi do okapu ze względu na możliwość osuwania się układanych pasów papy.</w:t>
      </w:r>
    </w:p>
    <w:p w14:paraId="4305C27E"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 xml:space="preserve">Minimalny spadek dachu powinien być taki, aby nawet po wystąpieniu ugięcia elementów konstrukcyjnych dachu zapewniał skuteczne odprowadzenie wody i nie może być mniejszy niż 1%. </w:t>
      </w:r>
    </w:p>
    <w:p w14:paraId="4F034400"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Przed ułożeniem papy rolkę należy rozwinąć w miejscu, w którym będzie układana w celu rozprostowania i po przymierzeniu z uwzględnieniem zakładów oraz ewentualnym przycięciu, zwinąć ją z dwóch końców do środka.</w:t>
      </w:r>
    </w:p>
    <w:p w14:paraId="4B5480E0"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Zasadnicza operacja układania papy metodą zgrzewania polega na rozgrzewaniu podłoża oraz spodniej strony papy, aż do momentu zauważalnego topienia się masy przy jednoczesnym, powolnym rozwijaniu rolki. O prawidłowym zgrzaniu papy do podłoża świadczy odpowiedni wypływ masy, który powinien wynosić od 0,5 do 1 cm na całej długości pasa zgrzewanej papy. Brak wypływu lub wypływ nierównomierny świadczy o nieprawidłowym zgrzaniu papy z podłożem.</w:t>
      </w:r>
    </w:p>
    <w:p w14:paraId="03E0F928"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Pasy papy powinny być tak rozmieszczone, aby zakłady zarówno poprzeczne jak i wzdłużne nie pokrywały się. Pasy papy nawierzchniowej należy przesunąć względem papy podkładowej o połowę szerokości rolki. Aby uniknąć zgrubień na zakładach zaleca się odcięcie pod kątem 45% narożnika z każdego pasa znajdującego się na spodzie zakładu.</w:t>
      </w:r>
    </w:p>
    <w:p w14:paraId="68C31698"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Papy zgrzewalne oksydowane na wkładce z welonu szklanego mogą stanowić tylko jedną warstwę w wielowarstwowym pokryciu dachowym.</w:t>
      </w:r>
    </w:p>
    <w:p w14:paraId="1F46C5B9"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Na podłożach z płyt izolacji termicznej (wełna, styropian) na pierwszą warstwę pokrycia należy zastosować papę o zwiększonej wytrzymałości na rozrywanie i przedziurawienie tj. papę na wkładce z tkaniny szklanej lub włókniny poliestrowej.</w:t>
      </w:r>
    </w:p>
    <w:p w14:paraId="791C1163" w14:textId="77777777" w:rsidR="000A3B2B" w:rsidRDefault="000A3B2B" w:rsidP="009E529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5.</w:t>
      </w:r>
      <w:r>
        <w:rPr>
          <w:rFonts w:ascii="Arial" w:hAnsi="Arial" w:cs="Arial"/>
          <w:b/>
          <w:bCs/>
          <w:color w:val="000000"/>
          <w:sz w:val="18"/>
          <w:szCs w:val="18"/>
        </w:rPr>
        <w:t>4</w:t>
      </w:r>
      <w:r>
        <w:rPr>
          <w:rFonts w:ascii="Arial" w:hAnsi="Arial" w:cs="Arial"/>
          <w:b/>
          <w:bCs/>
          <w:color w:val="000000"/>
          <w:sz w:val="18"/>
          <w:szCs w:val="18"/>
          <w:lang w:val="x-none"/>
        </w:rPr>
        <w:t>.1.</w:t>
      </w:r>
      <w:r>
        <w:rPr>
          <w:rFonts w:ascii="Arial" w:hAnsi="Arial" w:cs="Arial"/>
          <w:b/>
          <w:bCs/>
          <w:color w:val="000000"/>
          <w:sz w:val="18"/>
          <w:szCs w:val="18"/>
          <w:lang w:val="x-none"/>
        </w:rPr>
        <w:tab/>
        <w:t>Pokrycie jednowarstwowe z papy asfaltowo-polimerowej</w:t>
      </w:r>
    </w:p>
    <w:p w14:paraId="44D3F23C"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Pokrycia jednowarstwowe należy wykonywać tylko z pap asfaltowo-polimerowych wierzchniego krycia o grubości min. 4,0 mm (mierzonej w pasie bez posypki), przeznaczonych do jednowarstwowego krycia.</w:t>
      </w:r>
    </w:p>
    <w:p w14:paraId="1200B799"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Papa w pokryciu jednowarstwowym może być układana:</w:t>
      </w:r>
    </w:p>
    <w:p w14:paraId="40902D37"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a)</w:t>
      </w:r>
      <w:r>
        <w:rPr>
          <w:rFonts w:ascii="Arial" w:hAnsi="Arial" w:cs="Arial"/>
          <w:color w:val="000000"/>
          <w:sz w:val="18"/>
          <w:szCs w:val="18"/>
          <w:lang w:val="x-none"/>
        </w:rPr>
        <w:tab/>
        <w:t>metodą zgrzewania na całej powierzchni,</w:t>
      </w:r>
    </w:p>
    <w:p w14:paraId="76237F81"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b)</w:t>
      </w:r>
      <w:r>
        <w:rPr>
          <w:rFonts w:ascii="Arial" w:hAnsi="Arial" w:cs="Arial"/>
          <w:color w:val="000000"/>
          <w:sz w:val="18"/>
          <w:szCs w:val="18"/>
          <w:lang w:val="x-none"/>
        </w:rPr>
        <w:tab/>
        <w:t>metodą mocowania mechanicznego w obrębie zakładu; do podłoża mechanicznego mocowana jest spodnia część zakładu, natomiast część wierzchnia jest doklejana do warstwy spodniej.</w:t>
      </w:r>
    </w:p>
    <w:p w14:paraId="4ADF609D"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Liczba łączników mocujących jest obliczana indywidualnie w przypadku każdego obiektu, z uwzględnieniem wartości ssania wiatru w poszczególnych obszarach połaci dachowej.</w:t>
      </w:r>
    </w:p>
    <w:p w14:paraId="768A3E79"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 przypadku mocowania mechanicznego papy na podłożu z materiału termoizolacyjnego łączniki mocujące są kotwione w warstwie nośnej znajdującej się poniżej warstwy termoizolacyjnej.</w:t>
      </w:r>
    </w:p>
    <w:p w14:paraId="308BA730"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 rejonie połaci o pochyleniu poniżej 3% (np. zlewni połaciowych, koryt odwadniających) niezbędne jest wzmocnienie pokrycia poprzez ułożenie w tym obszarze na podłożu dodatkowo warstwy podkładowej.</w:t>
      </w:r>
    </w:p>
    <w:p w14:paraId="7899A065" w14:textId="77777777" w:rsidR="000A3B2B" w:rsidRDefault="000A3B2B" w:rsidP="009E529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5.</w:t>
      </w:r>
      <w:r>
        <w:rPr>
          <w:rFonts w:ascii="Arial" w:hAnsi="Arial" w:cs="Arial"/>
          <w:b/>
          <w:bCs/>
          <w:color w:val="000000"/>
          <w:sz w:val="18"/>
          <w:szCs w:val="18"/>
        </w:rPr>
        <w:t>4</w:t>
      </w:r>
      <w:r>
        <w:rPr>
          <w:rFonts w:ascii="Arial" w:hAnsi="Arial" w:cs="Arial"/>
          <w:b/>
          <w:bCs/>
          <w:color w:val="000000"/>
          <w:sz w:val="18"/>
          <w:szCs w:val="18"/>
          <w:lang w:val="x-none"/>
        </w:rPr>
        <w:t>.2.</w:t>
      </w:r>
      <w:r>
        <w:rPr>
          <w:rFonts w:ascii="Arial" w:hAnsi="Arial" w:cs="Arial"/>
          <w:b/>
          <w:bCs/>
          <w:color w:val="000000"/>
          <w:sz w:val="18"/>
          <w:szCs w:val="18"/>
          <w:lang w:val="x-none"/>
        </w:rPr>
        <w:tab/>
        <w:t>Pokrycie dwuwarstwowe z papy asfaltowej zgrzewalnej</w:t>
      </w:r>
    </w:p>
    <w:p w14:paraId="38AB393B"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Pokrycie z dwóch warstw papy asfaltowej zgrzewalnej może być wykonywane na połaciach dachowych o pochyleniu zgodnym z podanym w normie PN-B-02361:2010 Pochylenia połaci dachowych na podłożu:</w:t>
      </w:r>
    </w:p>
    <w:p w14:paraId="1BBF4DB3"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a)</w:t>
      </w:r>
      <w:r>
        <w:rPr>
          <w:rFonts w:ascii="Arial" w:hAnsi="Arial" w:cs="Arial"/>
          <w:color w:val="000000"/>
          <w:sz w:val="18"/>
          <w:szCs w:val="18"/>
          <w:lang w:val="x-none"/>
        </w:rPr>
        <w:tab/>
        <w:t>betonowym,</w:t>
      </w:r>
    </w:p>
    <w:p w14:paraId="15148786"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b)</w:t>
      </w:r>
      <w:r>
        <w:rPr>
          <w:rFonts w:ascii="Arial" w:hAnsi="Arial" w:cs="Arial"/>
          <w:color w:val="000000"/>
          <w:sz w:val="18"/>
          <w:szCs w:val="18"/>
          <w:lang w:val="x-none"/>
        </w:rPr>
        <w:tab/>
        <w:t>na płycie warstwowej ze styropianu z okleiną z pap asfaltowych; papa stanowiąca okleinę płyt styropianowych nie jest wliczana do liczby warstw pokrycia.</w:t>
      </w:r>
    </w:p>
    <w:p w14:paraId="4F9FDBB2"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Papa asfaltowa zgrzewalna jest przeznaczona do przyklejania do podłoża oraz sklejania dwóch jej warstw metodą zgrzewania, tj. przez podgrzewanie spodniej powierzchni papy płomieniem palnika gazowego do momentu nadtopienia masy powłokowej.</w:t>
      </w:r>
    </w:p>
    <w:p w14:paraId="42BC2876"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Przy przyklejaniu pap zgrzewalnych za pomocą palnika na gaz propan-butan należy przestrzegać następujących zasad:</w:t>
      </w:r>
    </w:p>
    <w:p w14:paraId="476906D1"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a)</w:t>
      </w:r>
      <w:r>
        <w:rPr>
          <w:rFonts w:ascii="Arial" w:hAnsi="Arial" w:cs="Arial"/>
          <w:color w:val="000000"/>
          <w:sz w:val="18"/>
          <w:szCs w:val="18"/>
          <w:lang w:val="x-none"/>
        </w:rPr>
        <w:tab/>
        <w:t>palnik powinien być ustawiony w taki sposób, aby jednocześnie podgrzewał podłoże i wstęgę papy od strony przekładki antyadhezyjnej. Jedynym wyjątkiem jest klejenie papy na powierzchni płyty warstwowej z rdzeniem styropianowym, kiedy nie dopuszcza się ogrzewania podłoża,</w:t>
      </w:r>
    </w:p>
    <w:p w14:paraId="23375280"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b)</w:t>
      </w:r>
      <w:r>
        <w:rPr>
          <w:rFonts w:ascii="Arial" w:hAnsi="Arial" w:cs="Arial"/>
          <w:color w:val="000000"/>
          <w:sz w:val="18"/>
          <w:szCs w:val="18"/>
          <w:lang w:val="x-none"/>
        </w:rPr>
        <w:tab/>
        <w:t>w celu uniknięcia zniszczenia papy działanie płomienia powinno być krótkotrwałe, a płomień palnika powinien być ciągle przemieszczany w miarę nadtapiania masy powłokowej,</w:t>
      </w:r>
    </w:p>
    <w:p w14:paraId="1C64B26C"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c)</w:t>
      </w:r>
      <w:r>
        <w:rPr>
          <w:rFonts w:ascii="Arial" w:hAnsi="Arial" w:cs="Arial"/>
          <w:color w:val="000000"/>
          <w:sz w:val="18"/>
          <w:szCs w:val="18"/>
          <w:lang w:val="x-none"/>
        </w:rPr>
        <w:tab/>
        <w:t>niedopuszczalne jest miejscowe nagrzewanie papy, prowadzące do nadmiernego spływu masy asfaltowej lub jej zapalenia,</w:t>
      </w:r>
    </w:p>
    <w:p w14:paraId="5E1D9C5E"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d)</w:t>
      </w:r>
      <w:r>
        <w:rPr>
          <w:rFonts w:ascii="Arial" w:hAnsi="Arial" w:cs="Arial"/>
          <w:color w:val="000000"/>
          <w:sz w:val="18"/>
          <w:szCs w:val="18"/>
          <w:lang w:val="x-none"/>
        </w:rPr>
        <w:tab/>
        <w:t>fragment wstęgi papy z nadtopioną powłoką asfaltową należy natychmiast docisnąć do ogrzewanego podłoża wałkiem o długości równej szerokości pasma papy.</w:t>
      </w:r>
    </w:p>
    <w:p w14:paraId="3104B8C3" w14:textId="77777777" w:rsidR="000A3B2B" w:rsidRDefault="000A3B2B" w:rsidP="009E529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5.</w:t>
      </w:r>
      <w:r>
        <w:rPr>
          <w:rFonts w:ascii="Arial" w:hAnsi="Arial" w:cs="Arial"/>
          <w:b/>
          <w:bCs/>
          <w:color w:val="000000"/>
          <w:sz w:val="18"/>
          <w:szCs w:val="18"/>
        </w:rPr>
        <w:t>4</w:t>
      </w:r>
      <w:r>
        <w:rPr>
          <w:rFonts w:ascii="Arial" w:hAnsi="Arial" w:cs="Arial"/>
          <w:b/>
          <w:bCs/>
          <w:color w:val="000000"/>
          <w:sz w:val="18"/>
          <w:szCs w:val="18"/>
          <w:lang w:val="x-none"/>
        </w:rPr>
        <w:t>.3.</w:t>
      </w:r>
      <w:r>
        <w:rPr>
          <w:rFonts w:ascii="Arial" w:hAnsi="Arial" w:cs="Arial"/>
          <w:b/>
          <w:bCs/>
          <w:color w:val="000000"/>
          <w:sz w:val="18"/>
          <w:szCs w:val="18"/>
          <w:lang w:val="x-none"/>
        </w:rPr>
        <w:tab/>
        <w:t>Pokrycie papowe wentylowane</w:t>
      </w:r>
    </w:p>
    <w:p w14:paraId="1D30D8EC"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Pokrycie papowe wentylowane jest to pokrycie, w którym pierwszą warstwę wykonuje się z papy perforowanej lub papy podkładowej wentylacyjnej z gruboziarnistą posypką (klejonej posypką w kierunku do podłoża) i na tak wykonanej warstwie przykleja się właściwe warstwy pokrycia.</w:t>
      </w:r>
    </w:p>
    <w:p w14:paraId="75FEA588"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Pokrycie papowe wentylowane wykonuje się na stropodachach niewentylowanych i wszędzie tam, gdzie może pojawić się dyfuzja pary. Pokrycie wentylowane może być wykonane ma zawilgoconym podłożu, jeżeli nie ma możliwości odsuszenia go przed przystąpieniem do wykonania pokrycia.</w:t>
      </w:r>
    </w:p>
    <w:p w14:paraId="45213D67"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Papy perforowanej nie wlicza się do liczby warstw pokrycia, papa wentylacyjna zaś (wykonana w postaci wstęgi ciągłej, bez perforacji) może być wliczana jako pierwsza podkładowa warstwa pokrycia.</w:t>
      </w:r>
    </w:p>
    <w:p w14:paraId="273D80F2"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Wentylacja przestrzeni utworzonej pod powierzchnią papy perforowanej lub wentylacyjnej może następować w miejscach zamocowań obróbek dekarskich lub przez specjalne kominki wentylacyjne.</w:t>
      </w:r>
    </w:p>
    <w:p w14:paraId="7D88864C"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Papa asfaltowa wentylacyjna jest przyklejana punktowo do podłoża. Powierzchnia doklejenia do podłoża powinna być ustalona na podstawie obliczeń uwzględniających wartość ssania wiatru indywidualnie w przypadku każdego obiektu, z podziałem dachu na strefy narażone na różne wartości tego typu obciążeń. Papę wentylacyjną układa się bezpośrednio na czystym i odkurzonym oraz zagruntowanym miejscowo (punktowo) podłożu. Poszczególne arkusze (pasma) papy wentylacyjnej należy przyklejać do zagruntowanych miejsc podłoża oraz sklejać ze sobą na zakład szerokości 10 cm. Gdyby na szerokości zakładu znajdowała się posypka, należy ją dokładnie usunąć przed sklejeniem papy.</w:t>
      </w:r>
    </w:p>
    <w:p w14:paraId="79950F43"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 przypadku zastosowania papy perforowanej papa ta powinna być ułożona luzem na zagruntowanym podłożu, bez łączenia jej na zakład, lecz jedynie na styk czołowy. Pierwsza warstwa pokrycia papowego jest przyklejana do podłoża przez otwory w papie perforowanej oraz do pozostałej powierzchnie papy perforowanej.</w:t>
      </w:r>
    </w:p>
    <w:p w14:paraId="66776EB4"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Papy wentylacyjnej i perforowanej nie należy układać w miejscach, w których może nastąpić wnikanie wody pod pokrycie dachowe, na przykład w paśmie przyokapowym, przy wpustach dachowych, przy dylatacjach konstrukcyjnych budynku itp. W miejscach tych należy odsunąć papę wentylacyjną na odległość ~50 cm i nakleić pasmo papy podkładowej.</w:t>
      </w:r>
    </w:p>
    <w:p w14:paraId="0EDEE8DA"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Przy odpowietrzaniu przestrzeni spod papy wentylacyjnej kominkami wentylacyjnymi średnicę kominka należy ustalić w zależności od powierzchni przypadającej na jeden kominek. Kominków wentylacyjnych nie należy ustawiać w najniższych partiach połaci dachowych.</w:t>
      </w:r>
    </w:p>
    <w:p w14:paraId="1897B788"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p>
    <w:p w14:paraId="0F68A910"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5.</w:t>
      </w:r>
      <w:r>
        <w:rPr>
          <w:rFonts w:ascii="Arial" w:hAnsi="Arial" w:cs="Arial"/>
          <w:b/>
          <w:bCs/>
          <w:color w:val="000000"/>
          <w:sz w:val="18"/>
          <w:szCs w:val="18"/>
        </w:rPr>
        <w:t>5</w:t>
      </w:r>
      <w:r>
        <w:rPr>
          <w:rFonts w:ascii="Arial" w:hAnsi="Arial" w:cs="Arial"/>
          <w:b/>
          <w:bCs/>
          <w:color w:val="000000"/>
          <w:sz w:val="18"/>
          <w:szCs w:val="18"/>
          <w:lang w:val="x-none"/>
        </w:rPr>
        <w:t>.</w:t>
      </w:r>
      <w:r>
        <w:rPr>
          <w:rFonts w:ascii="Arial" w:hAnsi="Arial" w:cs="Arial"/>
          <w:b/>
          <w:bCs/>
          <w:color w:val="000000"/>
          <w:sz w:val="18"/>
          <w:szCs w:val="18"/>
          <w:lang w:val="x-none"/>
        </w:rPr>
        <w:tab/>
        <w:t xml:space="preserve">Powłoki </w:t>
      </w:r>
      <w:proofErr w:type="spellStart"/>
      <w:r>
        <w:rPr>
          <w:rFonts w:ascii="Arial" w:hAnsi="Arial" w:cs="Arial"/>
          <w:b/>
          <w:bCs/>
          <w:color w:val="000000"/>
          <w:sz w:val="18"/>
          <w:szCs w:val="18"/>
          <w:lang w:val="x-none"/>
        </w:rPr>
        <w:t>bezspoinowe</w:t>
      </w:r>
      <w:proofErr w:type="spellEnd"/>
      <w:r>
        <w:rPr>
          <w:rFonts w:ascii="Arial" w:hAnsi="Arial" w:cs="Arial"/>
          <w:b/>
          <w:bCs/>
          <w:color w:val="000000"/>
          <w:sz w:val="18"/>
          <w:szCs w:val="18"/>
          <w:lang w:val="x-none"/>
        </w:rPr>
        <w:t xml:space="preserve"> z mas asfaltowych i asfaltowo-polimerowych</w:t>
      </w:r>
    </w:p>
    <w:p w14:paraId="3D2A7752"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Powłoki </w:t>
      </w:r>
      <w:proofErr w:type="spellStart"/>
      <w:r>
        <w:rPr>
          <w:rFonts w:ascii="Arial" w:hAnsi="Arial" w:cs="Arial"/>
          <w:color w:val="000000"/>
          <w:sz w:val="18"/>
          <w:szCs w:val="18"/>
          <w:lang w:val="x-none"/>
        </w:rPr>
        <w:t>bezspoinowe</w:t>
      </w:r>
      <w:proofErr w:type="spellEnd"/>
      <w:r>
        <w:rPr>
          <w:rFonts w:ascii="Arial" w:hAnsi="Arial" w:cs="Arial"/>
          <w:color w:val="000000"/>
          <w:sz w:val="18"/>
          <w:szCs w:val="18"/>
          <w:lang w:val="x-none"/>
        </w:rPr>
        <w:t xml:space="preserve"> wykonuje się z mas asfaltowych i asfaltowo-polimerowych:</w:t>
      </w:r>
    </w:p>
    <w:p w14:paraId="21305A96"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a)</w:t>
      </w:r>
      <w:r>
        <w:rPr>
          <w:rFonts w:ascii="Arial" w:hAnsi="Arial" w:cs="Arial"/>
          <w:color w:val="000000"/>
          <w:sz w:val="18"/>
          <w:szCs w:val="18"/>
          <w:lang w:val="x-none"/>
        </w:rPr>
        <w:tab/>
        <w:t>na trzech lub dwóch warstwach pap asfaltowych układanych na podłożu betonowym, na dachach o pochyleniu połaci od 1% do 20%,</w:t>
      </w:r>
    </w:p>
    <w:p w14:paraId="570FDF25"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b)</w:t>
      </w:r>
      <w:r>
        <w:rPr>
          <w:rFonts w:ascii="Arial" w:hAnsi="Arial" w:cs="Arial"/>
          <w:color w:val="000000"/>
          <w:sz w:val="18"/>
          <w:szCs w:val="18"/>
          <w:lang w:val="x-none"/>
        </w:rPr>
        <w:tab/>
        <w:t>na trzech warstwach pap asfaltowych układanych na izolacji termicznej, na dachach o pochyleniu połaci od 3% do 20%,</w:t>
      </w:r>
    </w:p>
    <w:p w14:paraId="16F06031"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c)</w:t>
      </w:r>
      <w:r>
        <w:rPr>
          <w:rFonts w:ascii="Arial" w:hAnsi="Arial" w:cs="Arial"/>
          <w:color w:val="000000"/>
          <w:sz w:val="18"/>
          <w:szCs w:val="18"/>
          <w:lang w:val="x-none"/>
        </w:rPr>
        <w:tab/>
        <w:t>na trzech warstwach pap asfaltowych układanych na podłożu drewnianym, na dachach o pochyleniu połaci od 2% do 20%.</w:t>
      </w:r>
    </w:p>
    <w:p w14:paraId="1EA6F1CC"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 xml:space="preserve">Powłoki </w:t>
      </w:r>
      <w:proofErr w:type="spellStart"/>
      <w:r>
        <w:rPr>
          <w:rFonts w:ascii="Arial" w:hAnsi="Arial" w:cs="Arial"/>
          <w:color w:val="000000"/>
          <w:sz w:val="18"/>
          <w:szCs w:val="18"/>
          <w:lang w:val="x-none"/>
        </w:rPr>
        <w:t>bezspoinowe</w:t>
      </w:r>
      <w:proofErr w:type="spellEnd"/>
      <w:r>
        <w:rPr>
          <w:rFonts w:ascii="Arial" w:hAnsi="Arial" w:cs="Arial"/>
          <w:color w:val="000000"/>
          <w:sz w:val="18"/>
          <w:szCs w:val="18"/>
          <w:lang w:val="x-none"/>
        </w:rPr>
        <w:t xml:space="preserve"> układane na starym, użytkowym pokryciu papowym, regeneruje jedynie powierzchnię masy powłokowej wierzchniej warstwy pokrycia, nie stanowią zaś zabezpieczenia przed przenikaniem wód opadowych pod pokrycie w przypadku występowania uszkodzeń mechanicznych związanych z przerwaniem ciągłości pokrycia papowego.</w:t>
      </w:r>
    </w:p>
    <w:p w14:paraId="0596E938"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p>
    <w:p w14:paraId="097DAF1C"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5.</w:t>
      </w:r>
      <w:r>
        <w:rPr>
          <w:rFonts w:ascii="Arial" w:hAnsi="Arial" w:cs="Arial"/>
          <w:b/>
          <w:bCs/>
          <w:color w:val="000000"/>
          <w:sz w:val="18"/>
          <w:szCs w:val="18"/>
        </w:rPr>
        <w:t>6</w:t>
      </w:r>
      <w:r>
        <w:rPr>
          <w:rFonts w:ascii="Arial" w:hAnsi="Arial" w:cs="Arial"/>
          <w:b/>
          <w:bCs/>
          <w:color w:val="000000"/>
          <w:sz w:val="18"/>
          <w:szCs w:val="18"/>
          <w:lang w:val="x-none"/>
        </w:rPr>
        <w:t>.</w:t>
      </w:r>
      <w:r>
        <w:rPr>
          <w:rFonts w:ascii="Arial" w:hAnsi="Arial" w:cs="Arial"/>
          <w:b/>
          <w:bCs/>
          <w:color w:val="000000"/>
          <w:sz w:val="18"/>
          <w:szCs w:val="18"/>
          <w:lang w:val="x-none"/>
        </w:rPr>
        <w:tab/>
        <w:t>Obróbki blacharskie</w:t>
      </w:r>
    </w:p>
    <w:p w14:paraId="35B38DA1"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Obróbki blacharskie powinny być dostosowane do rodzaju pokrycia.</w:t>
      </w:r>
    </w:p>
    <w:p w14:paraId="444D25C4"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Obróbki blacharskie z blachy stalowej i stalowej ocynkowanej o grubości od 0,5 mm do 0,6 mm można wykonywać o każdej porze roku, lecz w temperaturze nie niższej od –15°C. Robót nie można wykonywać na oblodzonych podłożach.</w:t>
      </w:r>
    </w:p>
    <w:p w14:paraId="5EAEA698"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Przy wykonywaniu obróbek blacharskich należy pamiętać o konieczności zachowania dylatacji. Dylatacje konstrukcyjne powinny być zabezpieczone w sposób umożliwiający przeniesienie ruchów poziomych i pionowych dachu w taki sposób, aby następował szybki odpływ wody z obszaru dylatacji.</w:t>
      </w:r>
    </w:p>
    <w:p w14:paraId="6D39FF9D"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p>
    <w:p w14:paraId="6510278A"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5.</w:t>
      </w:r>
      <w:r>
        <w:rPr>
          <w:rFonts w:ascii="Arial" w:hAnsi="Arial" w:cs="Arial"/>
          <w:b/>
          <w:bCs/>
          <w:color w:val="000000"/>
          <w:sz w:val="18"/>
          <w:szCs w:val="18"/>
        </w:rPr>
        <w:t>7</w:t>
      </w:r>
      <w:r>
        <w:rPr>
          <w:rFonts w:ascii="Arial" w:hAnsi="Arial" w:cs="Arial"/>
          <w:b/>
          <w:bCs/>
          <w:color w:val="000000"/>
          <w:sz w:val="18"/>
          <w:szCs w:val="18"/>
          <w:lang w:val="x-none"/>
        </w:rPr>
        <w:t>.</w:t>
      </w:r>
      <w:r>
        <w:rPr>
          <w:rFonts w:ascii="Arial" w:hAnsi="Arial" w:cs="Arial"/>
          <w:b/>
          <w:bCs/>
          <w:color w:val="000000"/>
          <w:sz w:val="18"/>
          <w:szCs w:val="18"/>
          <w:lang w:val="x-none"/>
        </w:rPr>
        <w:tab/>
        <w:t xml:space="preserve"> Urządzenia do odprowadzania wód opadowych</w:t>
      </w:r>
    </w:p>
    <w:p w14:paraId="37C9BC90"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W dachach (stropodachach) z odwodnieniem zewnętrznym w warstwach </w:t>
      </w:r>
      <w:proofErr w:type="spellStart"/>
      <w:r>
        <w:rPr>
          <w:rFonts w:ascii="Arial" w:hAnsi="Arial" w:cs="Arial"/>
          <w:color w:val="000000"/>
          <w:sz w:val="18"/>
          <w:szCs w:val="18"/>
          <w:lang w:val="x-none"/>
        </w:rPr>
        <w:t>przekrycia</w:t>
      </w:r>
      <w:proofErr w:type="spellEnd"/>
      <w:r>
        <w:rPr>
          <w:rFonts w:ascii="Arial" w:hAnsi="Arial" w:cs="Arial"/>
          <w:color w:val="000000"/>
          <w:sz w:val="18"/>
          <w:szCs w:val="18"/>
          <w:lang w:val="x-none"/>
        </w:rPr>
        <w:t xml:space="preserve"> powinny być osadzone uchwyty rynnowe (</w:t>
      </w:r>
      <w:proofErr w:type="spellStart"/>
      <w:r>
        <w:rPr>
          <w:rFonts w:ascii="Arial" w:hAnsi="Arial" w:cs="Arial"/>
          <w:color w:val="000000"/>
          <w:sz w:val="18"/>
          <w:szCs w:val="18"/>
          <w:lang w:val="x-none"/>
        </w:rPr>
        <w:t>rynhaki</w:t>
      </w:r>
      <w:proofErr w:type="spellEnd"/>
      <w:r>
        <w:rPr>
          <w:rFonts w:ascii="Arial" w:hAnsi="Arial" w:cs="Arial"/>
          <w:color w:val="000000"/>
          <w:sz w:val="18"/>
          <w:szCs w:val="18"/>
          <w:lang w:val="x-none"/>
        </w:rPr>
        <w:t>) o wyregulowanym spadku podłużnym.</w:t>
      </w:r>
    </w:p>
    <w:p w14:paraId="5153BB93"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 dachach (stropodachach) z odwodnieniem wewnętrznym w podłożu powinny być wyrobione koryta odwadniające o przekroju trójkątnym lub trapezowym. Nie należy stosować koryt o przekroju prostokątnym. Niedopuszczalne jest sytuowanie koryt wzdłuż ścian attykowych, wzdłuż ścian przyległych budynków wyższych w odległości mniejszej niż 0,5 m oraz nad dylatacjami konstrukcyjnymi.</w:t>
      </w:r>
    </w:p>
    <w:p w14:paraId="144FD963"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Spadki koryt dachowych nie powinny być mniejsze niż 1,5%, a rozstaw rur spustowych nie powinien przekraczać 25,0 m.</w:t>
      </w:r>
    </w:p>
    <w:p w14:paraId="56535C6B"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Wpusty dachowe powinny być osadzane w korytach. W korytach o przekroju trójkątnym i trapezowym podłoże wokół wpustu w promieniu min. 25 cm od brzegu wpustu powinno być poziome – w celu osadzenia kołnierza wpustu.</w:t>
      </w:r>
    </w:p>
    <w:p w14:paraId="570D4A37"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Wpusty dachowe powinny być usytuowane w najniższych miejscach koryta. Niedopuszczalne jest sytuowanie wpustów dachowych w odległości mniejszej niż 0,5 m od elementów wyprowadzonych ponad dach.</w:t>
      </w:r>
    </w:p>
    <w:p w14:paraId="33E4F58D"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Wloty wpustów dachowych powinny być zabezpieczone specjalnymi kołpakami ochronnymi nałożonymi na wpust przed możliwością zanieczyszczenia liśćmi lub innymi elementami mogącymi stać się przyczyną niedrożności rur spustowych.</w:t>
      </w:r>
    </w:p>
    <w:p w14:paraId="71ACE654"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Przekroje poprzeczne rynien dachowych, rur spustowych i wpustów dachowych powinny być określone w dokumentacji projektowej. Jeśli tak nie jest decyzję w tej sprawie podejmuje Inspektor nadzoru uwzględniając wielkość odwadnianych powierzchni dachu.</w:t>
      </w:r>
    </w:p>
    <w:p w14:paraId="110D28FE"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Rynny i rury spustowe z blachy powinny odpowiadać wymaganiom podanym w normie PN-EN 612:2006 Rynny dachowe z arkuszy metalowych z okrągłym usztywnionym obrzeżem przedniej strony i rury spustowe łączone na zakład.</w:t>
      </w:r>
    </w:p>
    <w:p w14:paraId="40EA5125"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Rynny dachowe i elementy wyposażenia z PCV powinny odpowiadać wymaganiom w normie PN-EN 607:2005 Rynny dachowe i elementy wyposażenia z PVC-U – Definicje, wymagania i badania.</w:t>
      </w:r>
    </w:p>
    <w:p w14:paraId="7837CD1B"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Rury spustowe mogą być montowane po sprawdzeniu drożności przewodów kanalizacyjnych.</w:t>
      </w:r>
    </w:p>
    <w:p w14:paraId="0FC48EC1"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Rynny z blachy stalowej ocynkowanej powinny być:</w:t>
      </w:r>
    </w:p>
    <w:p w14:paraId="02A54507"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a)</w:t>
      </w:r>
      <w:r>
        <w:rPr>
          <w:rFonts w:ascii="Arial" w:hAnsi="Arial" w:cs="Arial"/>
          <w:color w:val="000000"/>
          <w:sz w:val="18"/>
          <w:szCs w:val="18"/>
          <w:lang w:val="x-none"/>
        </w:rPr>
        <w:tab/>
        <w:t>wykonane z pojedynczych członów odpowiadających długości arkusza blachy i składany w elementy wieloczłonowe,</w:t>
      </w:r>
    </w:p>
    <w:p w14:paraId="1955D8E4"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b)</w:t>
      </w:r>
      <w:r>
        <w:rPr>
          <w:rFonts w:ascii="Arial" w:hAnsi="Arial" w:cs="Arial"/>
          <w:color w:val="000000"/>
          <w:sz w:val="18"/>
          <w:szCs w:val="18"/>
          <w:lang w:val="x-none"/>
        </w:rPr>
        <w:tab/>
        <w:t>łączone w złączach poziomych na zakład szerokości 40 mm; złącza powinny być lutowane na całej długości,</w:t>
      </w:r>
    </w:p>
    <w:p w14:paraId="0D6E50EA"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c)</w:t>
      </w:r>
      <w:r>
        <w:rPr>
          <w:rFonts w:ascii="Arial" w:hAnsi="Arial" w:cs="Arial"/>
          <w:color w:val="000000"/>
          <w:sz w:val="18"/>
          <w:szCs w:val="18"/>
          <w:lang w:val="x-none"/>
        </w:rPr>
        <w:tab/>
        <w:t>mocowane do uchwytów, rozstawionych w odstępach nie większych niż 50 cm,</w:t>
      </w:r>
    </w:p>
    <w:p w14:paraId="5C22E052"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d)</w:t>
      </w:r>
      <w:r>
        <w:rPr>
          <w:rFonts w:ascii="Arial" w:hAnsi="Arial" w:cs="Arial"/>
          <w:color w:val="000000"/>
          <w:sz w:val="18"/>
          <w:szCs w:val="18"/>
          <w:lang w:val="x-none"/>
        </w:rPr>
        <w:tab/>
        <w:t>rynny powinny mieć wlutowane wpusty do rur spustowych.</w:t>
      </w:r>
    </w:p>
    <w:p w14:paraId="41049649"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Rury spustowe z blachy stalowej ocynkowanej powinny być:</w:t>
      </w:r>
    </w:p>
    <w:p w14:paraId="680648F5"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a)</w:t>
      </w:r>
      <w:r>
        <w:rPr>
          <w:rFonts w:ascii="Arial" w:hAnsi="Arial" w:cs="Arial"/>
          <w:color w:val="000000"/>
          <w:sz w:val="18"/>
          <w:szCs w:val="18"/>
          <w:lang w:val="x-none"/>
        </w:rPr>
        <w:tab/>
        <w:t>wykonane z pojedynczych członów odpowiadających długości arkusza blachy i składane w elementy wieloczłonowe,</w:t>
      </w:r>
    </w:p>
    <w:p w14:paraId="5429C20F"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b)</w:t>
      </w:r>
      <w:r>
        <w:rPr>
          <w:rFonts w:ascii="Arial" w:hAnsi="Arial" w:cs="Arial"/>
          <w:color w:val="000000"/>
          <w:sz w:val="18"/>
          <w:szCs w:val="18"/>
          <w:lang w:val="x-none"/>
        </w:rPr>
        <w:tab/>
        <w:t>łączone w złączach pionowych na rąbek pojedynczy leżący, a w złączach poziomych na zakład szerokości 40 mm; złącza powinny być lutowane na całej długości,</w:t>
      </w:r>
    </w:p>
    <w:p w14:paraId="6106983B"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c)</w:t>
      </w:r>
      <w:r>
        <w:rPr>
          <w:rFonts w:ascii="Arial" w:hAnsi="Arial" w:cs="Arial"/>
          <w:color w:val="000000"/>
          <w:sz w:val="18"/>
          <w:szCs w:val="18"/>
          <w:lang w:val="x-none"/>
        </w:rPr>
        <w:tab/>
        <w:t>mocowane do ścian uchwytami, rozstawionymi w odstępach nie większych niż 3 m w sposób trwały przez wbicie trzpienia w spoiny muru lub osadzenie w zaprawie cementowej w wykutych gniazdach,</w:t>
      </w:r>
    </w:p>
    <w:p w14:paraId="550B0705" w14:textId="77777777" w:rsidR="000A3B2B" w:rsidRDefault="000A3B2B" w:rsidP="009E5295">
      <w:pPr>
        <w:autoSpaceDE w:val="0"/>
        <w:autoSpaceDN w:val="0"/>
        <w:adjustRightInd w:val="0"/>
        <w:spacing w:after="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d)</w:t>
      </w:r>
      <w:r>
        <w:rPr>
          <w:rFonts w:ascii="Arial" w:hAnsi="Arial" w:cs="Arial"/>
          <w:color w:val="000000"/>
          <w:sz w:val="18"/>
          <w:szCs w:val="18"/>
          <w:lang w:val="x-none"/>
        </w:rPr>
        <w:tab/>
        <w:t>rury spustowe odprowadzające wodę do kanalizacji powinny być wpuszczone do rury żeliwnej lub PCV na głębokość kielicha.</w:t>
      </w:r>
    </w:p>
    <w:p w14:paraId="231920C3" w14:textId="77777777" w:rsidR="000A3B2B" w:rsidRDefault="000A3B2B" w:rsidP="009E5295">
      <w:pPr>
        <w:autoSpaceDE w:val="0"/>
        <w:autoSpaceDN w:val="0"/>
        <w:adjustRightInd w:val="0"/>
        <w:spacing w:after="0" w:line="240" w:lineRule="auto"/>
        <w:jc w:val="both"/>
        <w:rPr>
          <w:rFonts w:ascii="Arial" w:hAnsi="Arial" w:cs="Arial"/>
          <w:color w:val="000000"/>
          <w:sz w:val="18"/>
          <w:szCs w:val="18"/>
          <w:lang w:val="x-none"/>
        </w:rPr>
      </w:pPr>
    </w:p>
    <w:p w14:paraId="160A996E" w14:textId="77777777" w:rsidR="000A3B2B" w:rsidRDefault="000A3B2B" w:rsidP="009E5295">
      <w:pPr>
        <w:autoSpaceDE w:val="0"/>
        <w:autoSpaceDN w:val="0"/>
        <w:adjustRightInd w:val="0"/>
        <w:spacing w:before="225" w:after="12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6.</w:t>
      </w:r>
      <w:r>
        <w:rPr>
          <w:rFonts w:ascii="Arial" w:hAnsi="Arial" w:cs="Arial"/>
          <w:b/>
          <w:bCs/>
          <w:color w:val="000000"/>
          <w:sz w:val="18"/>
          <w:szCs w:val="18"/>
          <w:lang w:val="x-none"/>
        </w:rPr>
        <w:tab/>
        <w:t>KONTROLA JAKOŚCI ROBÓT</w:t>
      </w:r>
    </w:p>
    <w:p w14:paraId="2FACDA78"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6.1.</w:t>
      </w:r>
      <w:r>
        <w:rPr>
          <w:rFonts w:ascii="Arial" w:hAnsi="Arial" w:cs="Arial"/>
          <w:b/>
          <w:bCs/>
          <w:color w:val="000000"/>
          <w:sz w:val="18"/>
          <w:szCs w:val="18"/>
          <w:lang w:val="x-none"/>
        </w:rPr>
        <w:tab/>
        <w:t xml:space="preserve">Ogólne wymagania </w:t>
      </w:r>
    </w:p>
    <w:p w14:paraId="1545E857"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Wymagania ogólne dotyczące kontroli jakości robót podano w ST „Wymagania ogólne” Kod CPV 45000000-7, pkt 6. Kontrola jakości robót polega na sprawdzeniu zgodności ich wykonania z wymaganiami niniejszej specyfikacji.</w:t>
      </w:r>
    </w:p>
    <w:p w14:paraId="35EF14AB"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Uznaje się, że badania dały wynik pozytywny gdy wszystkie właściwości materiałów i robót pokrycia dachowego są zgodne z wymaganiami niniejszej specyfikacji technicznej, przywołanymi normami i zaleceniami producenta zastosowanych do wykonania robót materiałów.</w:t>
      </w:r>
    </w:p>
    <w:p w14:paraId="2FF8AD67"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p>
    <w:p w14:paraId="7221149E"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6.2.</w:t>
      </w:r>
      <w:r>
        <w:rPr>
          <w:rFonts w:ascii="Arial" w:hAnsi="Arial" w:cs="Arial"/>
          <w:b/>
          <w:bCs/>
          <w:color w:val="000000"/>
          <w:sz w:val="18"/>
          <w:szCs w:val="18"/>
          <w:lang w:val="x-none"/>
        </w:rPr>
        <w:tab/>
        <w:t>Badania w czasie wykonywania robót</w:t>
      </w:r>
    </w:p>
    <w:p w14:paraId="7A20E72F" w14:textId="77777777" w:rsidR="000A3B2B" w:rsidRDefault="000A3B2B" w:rsidP="009E529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6.2.1.</w:t>
      </w:r>
      <w:r>
        <w:rPr>
          <w:rFonts w:ascii="Arial" w:hAnsi="Arial" w:cs="Arial"/>
          <w:b/>
          <w:bCs/>
          <w:color w:val="000000"/>
          <w:sz w:val="18"/>
          <w:szCs w:val="18"/>
          <w:lang w:val="x-none"/>
        </w:rPr>
        <w:tab/>
        <w:t>Badanie materiałów</w:t>
      </w:r>
    </w:p>
    <w:p w14:paraId="5B51E498"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Przed zastosowaniem do robót materiały i wyroby winny być poddane kontroli pod względem zgodności z wymogami projektu i SST. </w:t>
      </w:r>
    </w:p>
    <w:p w14:paraId="6FBB720F" w14:textId="77777777" w:rsidR="000A3B2B" w:rsidRDefault="000A3B2B" w:rsidP="009E529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6.2.2.</w:t>
      </w:r>
      <w:r>
        <w:rPr>
          <w:rFonts w:ascii="Arial" w:hAnsi="Arial" w:cs="Arial"/>
          <w:b/>
          <w:bCs/>
          <w:color w:val="000000"/>
          <w:sz w:val="18"/>
          <w:szCs w:val="18"/>
          <w:lang w:val="x-none"/>
        </w:rPr>
        <w:tab/>
        <w:t>Badanie podłoża</w:t>
      </w:r>
    </w:p>
    <w:p w14:paraId="0513974C"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Podłoże pod pokrycie musi być mocne, równe i mieć odpowiedni spadek. Szczegółowe wymogi zależne są od rodzaju podłoża i zostały opisane szczegółowo w pkt. 5.2. </w:t>
      </w:r>
    </w:p>
    <w:p w14:paraId="5B9FFD2C" w14:textId="77777777" w:rsidR="000A3B2B" w:rsidRDefault="000A3B2B" w:rsidP="009E529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6.2.3.</w:t>
      </w:r>
      <w:r>
        <w:rPr>
          <w:rFonts w:ascii="Arial" w:hAnsi="Arial" w:cs="Arial"/>
          <w:b/>
          <w:bCs/>
          <w:color w:val="000000"/>
          <w:sz w:val="18"/>
          <w:szCs w:val="18"/>
          <w:lang w:val="x-none"/>
        </w:rPr>
        <w:tab/>
        <w:t>Kontrola wykonania pokryć</w:t>
      </w:r>
    </w:p>
    <w:p w14:paraId="23C07487"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Kontrola wykonania pokryć polega na sprawdzeniu zgodności ich wykonania z zasadami podanymi w pkt. 5, przywołanymi normami oraz szczegółowymi zaleceniami producentów materiałów zastosowanych do wykonania pokryć.</w:t>
      </w:r>
    </w:p>
    <w:p w14:paraId="294315F8"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Kontrola ta przeprowadzana jest:</w:t>
      </w:r>
    </w:p>
    <w:p w14:paraId="0DAE840B"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a)</w:t>
      </w:r>
      <w:r>
        <w:rPr>
          <w:rFonts w:ascii="Arial" w:hAnsi="Arial" w:cs="Arial"/>
          <w:color w:val="000000"/>
          <w:sz w:val="18"/>
          <w:szCs w:val="18"/>
          <w:lang w:val="x-none"/>
        </w:rPr>
        <w:tab/>
        <w:t>w odniesieniu do prac zanikających (kontrola międzyoperacyjna) – bezpośrednio podczas wykonania prac pokrywczych,</w:t>
      </w:r>
    </w:p>
    <w:p w14:paraId="7B0C4F44"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b)</w:t>
      </w:r>
      <w:r>
        <w:rPr>
          <w:rFonts w:ascii="Arial" w:hAnsi="Arial" w:cs="Arial"/>
          <w:color w:val="000000"/>
          <w:sz w:val="18"/>
          <w:szCs w:val="18"/>
          <w:lang w:val="x-none"/>
        </w:rPr>
        <w:tab/>
        <w:t>w odniesieniu do właściwości całego pokrycia (kontrola końcowa) – po zakończeniu prac pokrywczych.</w:t>
      </w:r>
    </w:p>
    <w:p w14:paraId="2249E987"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Kontrola międzyoperacyjna pokryć papowych polega na bieżącym sprawdzeniu zgodności wykonanych prac z wymaganiami niniejszej specyfikacji technicznej oraz szczegółowymi zaleceniami producentów materiałów zastosowanych do wykonania pokryć.</w:t>
      </w:r>
    </w:p>
    <w:p w14:paraId="0890A368"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p>
    <w:p w14:paraId="2FD98B93"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6.3.</w:t>
      </w:r>
      <w:r>
        <w:rPr>
          <w:rFonts w:ascii="Arial" w:hAnsi="Arial" w:cs="Arial"/>
          <w:b/>
          <w:bCs/>
          <w:color w:val="000000"/>
          <w:sz w:val="18"/>
          <w:szCs w:val="18"/>
          <w:lang w:val="x-none"/>
        </w:rPr>
        <w:tab/>
        <w:t>Kontrola wykonania odwodnienia – rynny i rury spustowe</w:t>
      </w:r>
    </w:p>
    <w:p w14:paraId="47CC421F"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Kontrola wykonania rynien obejmuje:</w:t>
      </w:r>
    </w:p>
    <w:p w14:paraId="02117030"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sprawdzenie wykonania elementów rynien oraz ich połączeń,</w:t>
      </w:r>
    </w:p>
    <w:p w14:paraId="72099B81"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sprawdzenie rozmieszczenia uchwytów,</w:t>
      </w:r>
    </w:p>
    <w:p w14:paraId="759F9B4C"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sprawdzenia spadków podłużnych i szczelności, obowiązkowo za pomocą wody (spadek rynny nie może być mniejszy niż 0,5%),</w:t>
      </w:r>
    </w:p>
    <w:p w14:paraId="0715B80F"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sprawdzenie usytuowania zewnętrznej linii poziomej i linii stanowiącej przedłużenie powierzchni </w:t>
      </w:r>
      <w:proofErr w:type="spellStart"/>
      <w:r>
        <w:rPr>
          <w:rFonts w:ascii="Arial" w:hAnsi="Arial" w:cs="Arial"/>
          <w:color w:val="000000"/>
          <w:sz w:val="18"/>
          <w:szCs w:val="18"/>
          <w:lang w:val="x-none"/>
        </w:rPr>
        <w:t>przekrycia</w:t>
      </w:r>
      <w:proofErr w:type="spellEnd"/>
      <w:r>
        <w:rPr>
          <w:rFonts w:ascii="Arial" w:hAnsi="Arial" w:cs="Arial"/>
          <w:color w:val="000000"/>
          <w:sz w:val="18"/>
          <w:szCs w:val="18"/>
          <w:lang w:val="x-none"/>
        </w:rPr>
        <w:t xml:space="preserve"> – brzeg zewnętrzny rynny powinien być niżej o 10 mm od brzegu wewnętrznego.</w:t>
      </w:r>
    </w:p>
    <w:p w14:paraId="6742DE41"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Kontrola rur spustowych obejmuje:</w:t>
      </w:r>
    </w:p>
    <w:p w14:paraId="0B555668"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sprawdzenie połączenia sztucerów z rynnami i rurami spustowymi,</w:t>
      </w:r>
    </w:p>
    <w:p w14:paraId="63E091BF"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sprawdzenie rozmieszczenia obejm i uchwytów,</w:t>
      </w:r>
    </w:p>
    <w:p w14:paraId="39442E8B"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sprawdzenie pionowości,</w:t>
      </w:r>
    </w:p>
    <w:p w14:paraId="07BA6264"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sprawdzenie szczelności,</w:t>
      </w:r>
    </w:p>
    <w:p w14:paraId="145D4C48"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sprawdzenie wykonania wylotu rynny lub jej połączenia z kanalizacją deszczową. </w:t>
      </w:r>
    </w:p>
    <w:p w14:paraId="5A44113D"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p>
    <w:p w14:paraId="00563C03"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6.4.</w:t>
      </w:r>
      <w:r>
        <w:rPr>
          <w:rFonts w:ascii="Arial" w:hAnsi="Arial" w:cs="Arial"/>
          <w:b/>
          <w:bCs/>
          <w:color w:val="000000"/>
          <w:sz w:val="18"/>
          <w:szCs w:val="18"/>
          <w:lang w:val="x-none"/>
        </w:rPr>
        <w:tab/>
        <w:t xml:space="preserve"> Badania końcowe</w:t>
      </w:r>
    </w:p>
    <w:p w14:paraId="0748F352"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Badania końcowe poszczególnych etapów robót oraz wykonanej okładziny przeprowadza się zgodnie z zasadami opisanymi w pkt. 8. ODBIÓR ROBÓT.</w:t>
      </w:r>
    </w:p>
    <w:p w14:paraId="14AB350F"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071F3F02" w14:textId="77777777" w:rsidR="000A3B2B" w:rsidRDefault="000A3B2B" w:rsidP="009E5295">
      <w:pPr>
        <w:autoSpaceDE w:val="0"/>
        <w:autoSpaceDN w:val="0"/>
        <w:adjustRightInd w:val="0"/>
        <w:spacing w:before="225" w:after="12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7.</w:t>
      </w:r>
      <w:r>
        <w:rPr>
          <w:rFonts w:ascii="Arial" w:hAnsi="Arial" w:cs="Arial"/>
          <w:b/>
          <w:bCs/>
          <w:color w:val="000000"/>
          <w:sz w:val="18"/>
          <w:szCs w:val="18"/>
          <w:lang w:val="x-none"/>
        </w:rPr>
        <w:tab/>
        <w:t>WYMAGANIA DOTYCZĄCE PRZEDMIARU I OBMIARU ROBÓT</w:t>
      </w:r>
    </w:p>
    <w:p w14:paraId="54C0EDA7"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7.1.</w:t>
      </w:r>
      <w:r>
        <w:rPr>
          <w:rFonts w:ascii="Arial" w:hAnsi="Arial" w:cs="Arial"/>
          <w:b/>
          <w:bCs/>
          <w:color w:val="000000"/>
          <w:sz w:val="18"/>
          <w:szCs w:val="18"/>
          <w:lang w:val="x-none"/>
        </w:rPr>
        <w:tab/>
        <w:t xml:space="preserve">Ogólne wymagania </w:t>
      </w:r>
    </w:p>
    <w:p w14:paraId="086A1186"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Ogólne zasady przedmiaru i obmiaru podano w ST „Wymagania ogólne” Kod CPV 45000000-7, pkt 7.</w:t>
      </w:r>
    </w:p>
    <w:p w14:paraId="682F0869"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p>
    <w:p w14:paraId="6F628FF7"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7.2.</w:t>
      </w:r>
      <w:r>
        <w:rPr>
          <w:rFonts w:ascii="Arial" w:hAnsi="Arial" w:cs="Arial"/>
          <w:b/>
          <w:bCs/>
          <w:color w:val="000000"/>
          <w:sz w:val="18"/>
          <w:szCs w:val="18"/>
          <w:lang w:val="x-none"/>
        </w:rPr>
        <w:tab/>
        <w:t xml:space="preserve">Jednostki obmiarowe </w:t>
      </w:r>
    </w:p>
    <w:p w14:paraId="3339DF2E"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Jednostką obmiarową dla wymienionych niżej robót jest:</w:t>
      </w:r>
    </w:p>
    <w:p w14:paraId="4E33C9A4"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dla robót – krycie dachu papą – m</w:t>
      </w:r>
      <w:r>
        <w:rPr>
          <w:rFonts w:ascii="Arial" w:hAnsi="Arial" w:cs="Arial"/>
          <w:color w:val="000000"/>
          <w:position w:val="4"/>
          <w:sz w:val="8"/>
          <w:szCs w:val="8"/>
          <w:lang w:val="x-none"/>
        </w:rPr>
        <w:t>2</w:t>
      </w:r>
      <w:r>
        <w:rPr>
          <w:rFonts w:ascii="Arial" w:hAnsi="Arial" w:cs="Arial"/>
          <w:color w:val="000000"/>
          <w:sz w:val="18"/>
          <w:szCs w:val="18"/>
          <w:lang w:val="x-none"/>
        </w:rPr>
        <w:t xml:space="preserve"> pokrytej powierzchni dachu, </w:t>
      </w:r>
    </w:p>
    <w:p w14:paraId="33CB81EE"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dla robót – obróbki blacharskie – m</w:t>
      </w:r>
      <w:r>
        <w:rPr>
          <w:rFonts w:ascii="Arial" w:hAnsi="Arial" w:cs="Arial"/>
          <w:color w:val="000000"/>
          <w:position w:val="4"/>
          <w:sz w:val="8"/>
          <w:szCs w:val="8"/>
          <w:lang w:val="x-none"/>
        </w:rPr>
        <w:t>2</w:t>
      </w:r>
      <w:r>
        <w:rPr>
          <w:rFonts w:ascii="Arial" w:hAnsi="Arial" w:cs="Arial"/>
          <w:color w:val="000000"/>
          <w:sz w:val="18"/>
          <w:szCs w:val="18"/>
          <w:lang w:val="x-none"/>
        </w:rPr>
        <w:t xml:space="preserve"> rozwinięcia obróbki lub m długości obróbki,</w:t>
      </w:r>
    </w:p>
    <w:p w14:paraId="214449C6"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dla robót – rynny i rury spustowe – m wykonanych rynien lub rur spustowych.</w:t>
      </w:r>
    </w:p>
    <w:p w14:paraId="53CF0140"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Z powierzchni dachu nie potrąca się urządzeń obcych, jak np. wywiewki itp. o ile powierzchnia każdego przekracza 0,50 m</w:t>
      </w:r>
      <w:r>
        <w:rPr>
          <w:rFonts w:ascii="Arial" w:hAnsi="Arial" w:cs="Arial"/>
          <w:color w:val="000000"/>
          <w:position w:val="4"/>
          <w:sz w:val="8"/>
          <w:szCs w:val="8"/>
          <w:lang w:val="x-none"/>
        </w:rPr>
        <w:t>2</w:t>
      </w:r>
      <w:r>
        <w:rPr>
          <w:rFonts w:ascii="Arial" w:hAnsi="Arial" w:cs="Arial"/>
          <w:color w:val="000000"/>
          <w:sz w:val="18"/>
          <w:szCs w:val="18"/>
          <w:lang w:val="x-none"/>
        </w:rPr>
        <w:t>.</w:t>
      </w:r>
    </w:p>
    <w:p w14:paraId="476FE9AA"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2B63EA70" w14:textId="77777777" w:rsidR="000A3B2B" w:rsidRDefault="000A3B2B" w:rsidP="009E5295">
      <w:pPr>
        <w:autoSpaceDE w:val="0"/>
        <w:autoSpaceDN w:val="0"/>
        <w:adjustRightInd w:val="0"/>
        <w:spacing w:before="225" w:after="12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8.</w:t>
      </w:r>
      <w:r>
        <w:rPr>
          <w:rFonts w:ascii="Arial" w:hAnsi="Arial" w:cs="Arial"/>
          <w:b/>
          <w:bCs/>
          <w:color w:val="000000"/>
          <w:sz w:val="18"/>
          <w:szCs w:val="18"/>
          <w:lang w:val="x-none"/>
        </w:rPr>
        <w:tab/>
        <w:t>SPOSÓB ODBIORU ROBÓT</w:t>
      </w:r>
    </w:p>
    <w:p w14:paraId="33258FB3"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8.1.</w:t>
      </w:r>
      <w:r>
        <w:rPr>
          <w:rFonts w:ascii="Arial" w:hAnsi="Arial" w:cs="Arial"/>
          <w:b/>
          <w:bCs/>
          <w:color w:val="000000"/>
          <w:sz w:val="18"/>
          <w:szCs w:val="18"/>
          <w:lang w:val="x-none"/>
        </w:rPr>
        <w:tab/>
        <w:t xml:space="preserve">Ogólne wymagania </w:t>
      </w:r>
    </w:p>
    <w:p w14:paraId="430684AB"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Wymagania ogólne dotyczące odbioru robót podano w ST „Wymagania ogólne” Kod CPV 45000000-7, pkt 8. </w:t>
      </w:r>
    </w:p>
    <w:p w14:paraId="6C1C6843"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Podstawę do odbioru wykonania robót pokrywczych papowych stanowi stwierdzenie zgodności ich wykonania z dokumentacją projektową wraz z ewentualnymi zatwierdzonymi zmianami i zaleceniami Inspektora nadzoru.</w:t>
      </w:r>
    </w:p>
    <w:p w14:paraId="18D8D1DF"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p>
    <w:p w14:paraId="50F8117B"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8.2.</w:t>
      </w:r>
      <w:r>
        <w:rPr>
          <w:rFonts w:ascii="Arial" w:hAnsi="Arial" w:cs="Arial"/>
          <w:b/>
          <w:bCs/>
          <w:color w:val="000000"/>
          <w:sz w:val="18"/>
          <w:szCs w:val="18"/>
          <w:lang w:val="x-none"/>
        </w:rPr>
        <w:tab/>
        <w:t>Odbiór podłoża</w:t>
      </w:r>
    </w:p>
    <w:p w14:paraId="57C381BC"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Badania podłoża należy przeprowadzić w trakcie odbioru częściowego, podczas suchej pogody, przed przystąpieniem do pokrycia połaci dachowych.</w:t>
      </w:r>
    </w:p>
    <w:p w14:paraId="0254F247"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Sprawdzenie równości powierzchni podłoża (deskowania) należy przeprowadzać za pomocą łaty kontrolnej o długości 2 m lub za pomocą szablonu z podziałką milimetrową. Prześwit między sprawdzaną powierzchnią a łatą nie powinien przekroczyć 5 mm.</w:t>
      </w:r>
    </w:p>
    <w:p w14:paraId="0FDF2D44"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7FD84844"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8.3.</w:t>
      </w:r>
      <w:r>
        <w:rPr>
          <w:rFonts w:ascii="Arial" w:hAnsi="Arial" w:cs="Arial"/>
          <w:b/>
          <w:bCs/>
          <w:color w:val="000000"/>
          <w:sz w:val="18"/>
          <w:szCs w:val="18"/>
          <w:lang w:val="x-none"/>
        </w:rPr>
        <w:tab/>
        <w:t>Odbiór robót pokrywczych</w:t>
      </w:r>
    </w:p>
    <w:p w14:paraId="2759633F"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Roboty pokrywcze, jako roboty zanikające, wymagają odbiorów częściowych. Badania w czasie odbioru częściowego należy przeprowadzać dla tych robót, do których dostęp później jest niemożliwy lub utrudniony.</w:t>
      </w:r>
    </w:p>
    <w:p w14:paraId="2B413C2F" w14:textId="77777777" w:rsidR="000A3B2B" w:rsidRDefault="000A3B2B" w:rsidP="009E529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8.3.1.</w:t>
      </w:r>
      <w:r>
        <w:rPr>
          <w:rFonts w:ascii="Arial" w:hAnsi="Arial" w:cs="Arial"/>
          <w:b/>
          <w:bCs/>
          <w:color w:val="000000"/>
          <w:sz w:val="18"/>
          <w:szCs w:val="18"/>
          <w:lang w:val="x-none"/>
        </w:rPr>
        <w:tab/>
        <w:t>Odbiór częściowy</w:t>
      </w:r>
    </w:p>
    <w:p w14:paraId="00AE97D1"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Odbiór częściowy powinien obejmować sprawdzenie:</w:t>
      </w:r>
    </w:p>
    <w:p w14:paraId="4502DE01"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a)</w:t>
      </w:r>
      <w:r>
        <w:rPr>
          <w:rFonts w:ascii="Arial" w:hAnsi="Arial" w:cs="Arial"/>
          <w:color w:val="000000"/>
          <w:sz w:val="18"/>
          <w:szCs w:val="18"/>
          <w:lang w:val="x-none"/>
        </w:rPr>
        <w:tab/>
        <w:t>podłoża,</w:t>
      </w:r>
    </w:p>
    <w:p w14:paraId="1A0BA53B"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b)</w:t>
      </w:r>
      <w:r>
        <w:rPr>
          <w:rFonts w:ascii="Arial" w:hAnsi="Arial" w:cs="Arial"/>
          <w:color w:val="000000"/>
          <w:sz w:val="18"/>
          <w:szCs w:val="18"/>
          <w:lang w:val="x-none"/>
        </w:rPr>
        <w:tab/>
        <w:t>jakości zastosowanych materiałów,</w:t>
      </w:r>
    </w:p>
    <w:p w14:paraId="4BCE97B5"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c)</w:t>
      </w:r>
      <w:r>
        <w:rPr>
          <w:rFonts w:ascii="Arial" w:hAnsi="Arial" w:cs="Arial"/>
          <w:color w:val="000000"/>
          <w:sz w:val="18"/>
          <w:szCs w:val="18"/>
          <w:lang w:val="x-none"/>
        </w:rPr>
        <w:tab/>
        <w:t>dokładności wykonania poszczególnych warstw pokrycia,</w:t>
      </w:r>
    </w:p>
    <w:p w14:paraId="4F9EDB56"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d)</w:t>
      </w:r>
      <w:r>
        <w:rPr>
          <w:rFonts w:ascii="Arial" w:hAnsi="Arial" w:cs="Arial"/>
          <w:color w:val="000000"/>
          <w:sz w:val="18"/>
          <w:szCs w:val="18"/>
          <w:lang w:val="x-none"/>
        </w:rPr>
        <w:tab/>
        <w:t>dokładności wykonania obróbek blacharskich i ich połączenia z pokryciem.</w:t>
      </w:r>
    </w:p>
    <w:p w14:paraId="1C515141"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Dokonanie odbioru częściowego powinno być potwierdzone wpisem do dziennika budowy.</w:t>
      </w:r>
    </w:p>
    <w:p w14:paraId="76A6EA60"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Badania końcowe pokrycia należy przeprowadzić po zakończeniu robót, po deszczu.</w:t>
      </w:r>
    </w:p>
    <w:p w14:paraId="7C7A54D1"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Podstawę do odbioru robót pokrywczych stanowią następujące dokumenty:</w:t>
      </w:r>
    </w:p>
    <w:p w14:paraId="7C14BE26"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a)</w:t>
      </w:r>
      <w:r>
        <w:rPr>
          <w:rFonts w:ascii="Arial" w:hAnsi="Arial" w:cs="Arial"/>
          <w:color w:val="000000"/>
          <w:sz w:val="18"/>
          <w:szCs w:val="18"/>
          <w:lang w:val="x-none"/>
        </w:rPr>
        <w:tab/>
        <w:t>dokumentacja projektowa i dokumentacja powykonawcza,</w:t>
      </w:r>
    </w:p>
    <w:p w14:paraId="42CFAB1F"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b)</w:t>
      </w:r>
      <w:r>
        <w:rPr>
          <w:rFonts w:ascii="Arial" w:hAnsi="Arial" w:cs="Arial"/>
          <w:color w:val="000000"/>
          <w:sz w:val="18"/>
          <w:szCs w:val="18"/>
          <w:lang w:val="x-none"/>
        </w:rPr>
        <w:tab/>
        <w:t>dziennik budowy z zapisem stwierdzającym odbiór częściowy podłoża oraz poszczególnych warstw lub fragmentów pokrycia,</w:t>
      </w:r>
    </w:p>
    <w:p w14:paraId="33E48CB8"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c)</w:t>
      </w:r>
      <w:r>
        <w:rPr>
          <w:rFonts w:ascii="Arial" w:hAnsi="Arial" w:cs="Arial"/>
          <w:color w:val="000000"/>
          <w:sz w:val="18"/>
          <w:szCs w:val="18"/>
          <w:lang w:val="x-none"/>
        </w:rPr>
        <w:tab/>
        <w:t>zapisy dotyczące wykonywania robót pokrywczych i rodzaju zastosowanych materiałów,</w:t>
      </w:r>
    </w:p>
    <w:p w14:paraId="61F73B1E"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d)</w:t>
      </w:r>
      <w:r>
        <w:rPr>
          <w:rFonts w:ascii="Arial" w:hAnsi="Arial" w:cs="Arial"/>
          <w:color w:val="000000"/>
          <w:sz w:val="18"/>
          <w:szCs w:val="18"/>
          <w:lang w:val="x-none"/>
        </w:rPr>
        <w:tab/>
        <w:t>protokoły odbioru materiałów i wyrobów oraz robót pokrywczych, które powinny zawierać:</w:t>
      </w:r>
    </w:p>
    <w:p w14:paraId="64A3EAA7" w14:textId="77777777" w:rsidR="000A3B2B" w:rsidRDefault="000A3B2B" w:rsidP="009E5295">
      <w:pPr>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zestawienie wyników badań międzyoperacyjnych i końcowych,</w:t>
      </w:r>
    </w:p>
    <w:p w14:paraId="7F6DF310" w14:textId="77777777" w:rsidR="000A3B2B" w:rsidRDefault="000A3B2B" w:rsidP="009E5295">
      <w:pPr>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stwierdzenie zgodności lub niezgodności wykonania robót pokrywczych z dokumentacją,</w:t>
      </w:r>
    </w:p>
    <w:p w14:paraId="3812AA51" w14:textId="77777777" w:rsidR="000A3B2B" w:rsidRDefault="000A3B2B" w:rsidP="009E5295">
      <w:pPr>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spis dokumentacji przekazywanej inwestorowi, w skład tej dokumentacji powinien wchodzić program utrzymania pokrycia.</w:t>
      </w:r>
    </w:p>
    <w:p w14:paraId="3F1CC8DB" w14:textId="77777777" w:rsidR="000A3B2B" w:rsidRDefault="000A3B2B" w:rsidP="009E529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8.3.2.</w:t>
      </w:r>
      <w:r>
        <w:rPr>
          <w:rFonts w:ascii="Arial" w:hAnsi="Arial" w:cs="Arial"/>
          <w:b/>
          <w:bCs/>
          <w:color w:val="000000"/>
          <w:sz w:val="18"/>
          <w:szCs w:val="18"/>
          <w:lang w:val="x-none"/>
        </w:rPr>
        <w:tab/>
        <w:t>Odbiór pokrycia z papy</w:t>
      </w:r>
    </w:p>
    <w:p w14:paraId="4E5254D2"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Sprawdzenie przyklejenia papy do podłoża oraz papy do papy należy przeprowadzić przez nacięcie i odrywanie paska papy szerokości nie większej niż 5 cm, z tym że pasek papy należy naciąć nad miejscem przyklejenia papy.</w:t>
      </w:r>
    </w:p>
    <w:p w14:paraId="478CDF45"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Sprawdzenie szerokości zakładów papy należy dokonać w trakcie odbiorów częściowych i końcowych przez pomiar szerokości zakładów w trzech dowolnych miejscach na każde 100 m</w:t>
      </w:r>
      <w:r>
        <w:rPr>
          <w:rFonts w:ascii="Arial" w:hAnsi="Arial" w:cs="Arial"/>
          <w:color w:val="000000"/>
          <w:position w:val="4"/>
          <w:sz w:val="8"/>
          <w:szCs w:val="8"/>
          <w:lang w:val="x-none"/>
        </w:rPr>
        <w:t>2</w:t>
      </w:r>
      <w:r>
        <w:rPr>
          <w:rFonts w:ascii="Arial" w:hAnsi="Arial" w:cs="Arial"/>
          <w:color w:val="000000"/>
          <w:sz w:val="18"/>
          <w:szCs w:val="18"/>
          <w:lang w:val="x-none"/>
        </w:rPr>
        <w:t xml:space="preserve">. </w:t>
      </w:r>
    </w:p>
    <w:p w14:paraId="025E31E3" w14:textId="77777777" w:rsidR="000A3B2B" w:rsidRDefault="000A3B2B" w:rsidP="009E529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8.3.3.</w:t>
      </w:r>
      <w:r>
        <w:rPr>
          <w:rFonts w:ascii="Arial" w:hAnsi="Arial" w:cs="Arial"/>
          <w:b/>
          <w:bCs/>
          <w:color w:val="000000"/>
          <w:sz w:val="18"/>
          <w:szCs w:val="18"/>
          <w:lang w:val="x-none"/>
        </w:rPr>
        <w:tab/>
        <w:t>Odbiór obróbek blacharskich, rynien i rur spustowych</w:t>
      </w:r>
    </w:p>
    <w:p w14:paraId="72AC8071"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Odbiór obróbek blacharskich, rynien i rur spustowych obejmuje:</w:t>
      </w:r>
    </w:p>
    <w:p w14:paraId="5EC86AFC"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a)</w:t>
      </w:r>
      <w:r>
        <w:rPr>
          <w:rFonts w:ascii="Arial" w:hAnsi="Arial" w:cs="Arial"/>
          <w:color w:val="000000"/>
          <w:sz w:val="18"/>
          <w:szCs w:val="18"/>
          <w:lang w:val="x-none"/>
        </w:rPr>
        <w:tab/>
        <w:t>sprawdzenie prawidłowości połączeń poziomych i pionowych,</w:t>
      </w:r>
    </w:p>
    <w:p w14:paraId="49BD20BC"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b)</w:t>
      </w:r>
      <w:r>
        <w:rPr>
          <w:rFonts w:ascii="Arial" w:hAnsi="Arial" w:cs="Arial"/>
          <w:color w:val="000000"/>
          <w:sz w:val="18"/>
          <w:szCs w:val="18"/>
          <w:lang w:val="x-none"/>
        </w:rPr>
        <w:tab/>
        <w:t>sprawdzenie mocowania elementów do deskowania lub ścian,</w:t>
      </w:r>
    </w:p>
    <w:p w14:paraId="779DA84E"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c)</w:t>
      </w:r>
      <w:r>
        <w:rPr>
          <w:rFonts w:ascii="Arial" w:hAnsi="Arial" w:cs="Arial"/>
          <w:color w:val="000000"/>
          <w:sz w:val="18"/>
          <w:szCs w:val="18"/>
          <w:lang w:val="x-none"/>
        </w:rPr>
        <w:tab/>
        <w:t>sprawdzenie prawidłowości spadków rynien,</w:t>
      </w:r>
    </w:p>
    <w:p w14:paraId="764EBAA2"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 xml:space="preserve">d) </w:t>
      </w:r>
      <w:r>
        <w:rPr>
          <w:rFonts w:ascii="Arial" w:hAnsi="Arial" w:cs="Arial"/>
          <w:color w:val="000000"/>
          <w:sz w:val="18"/>
          <w:szCs w:val="18"/>
          <w:lang w:val="x-none"/>
        </w:rPr>
        <w:tab/>
        <w:t xml:space="preserve">sprawdzenie szczelności połączeń rur spustowych z przewodami kanalizacyjnymi. </w:t>
      </w:r>
    </w:p>
    <w:p w14:paraId="455AD442"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488DC81C"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8.4.</w:t>
      </w:r>
      <w:r>
        <w:rPr>
          <w:rFonts w:ascii="Arial" w:hAnsi="Arial" w:cs="Arial"/>
          <w:b/>
          <w:bCs/>
          <w:color w:val="000000"/>
          <w:sz w:val="18"/>
          <w:szCs w:val="18"/>
          <w:lang w:val="x-none"/>
        </w:rPr>
        <w:tab/>
        <w:t>Zakończenie odbioru</w:t>
      </w:r>
    </w:p>
    <w:p w14:paraId="0242B5BD"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Odbiór końcowy polega na dokładnym sprawdzeniu stanu wykonanego pokrycia i obróbek blacharskich i połączenia ich z urządzeniami odwadniającymi, a także wykonania na pokryciu ewentualnych zabezpieczeń eksploatacyjnych.</w:t>
      </w:r>
    </w:p>
    <w:p w14:paraId="5442C5C9"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Roboty uznaje się za zgodne z dokumentacją projektową, ST i wymaganiami Inspektora nadzoru, jeżeli wszystkie pomiary i badania dały pozytywne wyniki.</w:t>
      </w:r>
    </w:p>
    <w:p w14:paraId="20AA9DB8"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Jeżeli chociaż jeden wynik badania daje wynik negatywny, pokrycie papowe nie powinno być odebrane. W takim przypadku należy przyjąć jedno z następujących rozwiązań:</w:t>
      </w:r>
    </w:p>
    <w:p w14:paraId="4C716353"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poprawić i przedstawić do ponownego odbioru,</w:t>
      </w:r>
    </w:p>
    <w:p w14:paraId="34FC4BEF"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jeżeli odchylenia od wymagań nie zagrażają bezpieczeństwu użytkowania i trwałości pokrycia, obniżyć cenę pokrycia,</w:t>
      </w:r>
    </w:p>
    <w:p w14:paraId="4DF9CF10"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 przypadku gdy nie są możliwe podane rozwiązania – rozebrać pokrycie (miejsc nie odpowiadających ST) i ponownie wykonać roboty pokrywcze.</w:t>
      </w:r>
    </w:p>
    <w:p w14:paraId="03897E58"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Odbioru pokrycia papą potwierdza się: protokołem, który powinien zawierać:</w:t>
      </w:r>
    </w:p>
    <w:p w14:paraId="4CC0AE2A"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ocenę wyników badań,</w:t>
      </w:r>
    </w:p>
    <w:p w14:paraId="16E663F1"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wykaz wad i usterek ze wskazaniem możliwości ich usunięcia,</w:t>
      </w:r>
    </w:p>
    <w:p w14:paraId="1F94D07F"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stwierdzenie zgodności lub niezgodności wykonania z zamówieniem.</w:t>
      </w:r>
    </w:p>
    <w:p w14:paraId="2B0F579A"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06A08305" w14:textId="77777777" w:rsidR="000A3B2B" w:rsidRDefault="000A3B2B" w:rsidP="009E5295">
      <w:pPr>
        <w:autoSpaceDE w:val="0"/>
        <w:autoSpaceDN w:val="0"/>
        <w:adjustRightInd w:val="0"/>
        <w:spacing w:before="225" w:after="12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9.</w:t>
      </w:r>
      <w:r>
        <w:rPr>
          <w:rFonts w:ascii="Arial" w:hAnsi="Arial" w:cs="Arial"/>
          <w:b/>
          <w:bCs/>
          <w:color w:val="000000"/>
          <w:sz w:val="18"/>
          <w:szCs w:val="18"/>
          <w:lang w:val="x-none"/>
        </w:rPr>
        <w:tab/>
        <w:t xml:space="preserve">PODSTAWA ROZLICZENIA ROBÓT </w:t>
      </w:r>
    </w:p>
    <w:p w14:paraId="56CF02A6"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9.1.</w:t>
      </w:r>
      <w:r>
        <w:rPr>
          <w:rFonts w:ascii="Arial" w:hAnsi="Arial" w:cs="Arial"/>
          <w:b/>
          <w:bCs/>
          <w:color w:val="000000"/>
          <w:sz w:val="18"/>
          <w:szCs w:val="18"/>
          <w:lang w:val="x-none"/>
        </w:rPr>
        <w:tab/>
        <w:t xml:space="preserve">Ogólne wymagania </w:t>
      </w:r>
    </w:p>
    <w:p w14:paraId="5EA57E1C"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Wymagania ogólne dotyczące płatności podano w ST „Wymagania ogólne” Kod CPV 45000000-7, pkt 9.</w:t>
      </w:r>
    </w:p>
    <w:p w14:paraId="0DE3CFEB"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 xml:space="preserve">Podstawą płatności, z uwzględnieniem zapisów zawartych pomiędzy Wykonawcą a Zamawiającym w umowie o wykonanie robót, jest wykonana i odebrana ilość pokrycia dachu papą oraz obróbek blacharskich i systemu odwodnienia dachu (rynien i rur spustowych). </w:t>
      </w:r>
    </w:p>
    <w:p w14:paraId="77AC1261"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Przyjmuje się, że cena za te prace w przyjętej ofercie Wykonawcy w przypadku umowy ryczałtowej lub stawka jednostkowa w przypadku rozliczenia kosztorysowego obejmuje wszystkie czynności niezbędne do ich zrealizowania, zgodnie z poniższym wyszczególnieniem.</w:t>
      </w:r>
    </w:p>
    <w:p w14:paraId="1F4A134B"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p>
    <w:p w14:paraId="77D2E80E"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9.2.</w:t>
      </w:r>
      <w:r>
        <w:rPr>
          <w:rFonts w:ascii="Arial" w:hAnsi="Arial" w:cs="Arial"/>
          <w:b/>
          <w:bCs/>
          <w:color w:val="000000"/>
          <w:sz w:val="18"/>
          <w:szCs w:val="18"/>
          <w:lang w:val="x-none"/>
        </w:rPr>
        <w:tab/>
        <w:t>Pokrycie dachu papą</w:t>
      </w:r>
    </w:p>
    <w:p w14:paraId="711D49AF"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Płaci się za ilość m</w:t>
      </w:r>
      <w:r>
        <w:rPr>
          <w:rFonts w:ascii="Arial" w:hAnsi="Arial" w:cs="Arial"/>
          <w:color w:val="000000"/>
          <w:position w:val="4"/>
          <w:sz w:val="8"/>
          <w:szCs w:val="8"/>
          <w:lang w:val="x-none"/>
        </w:rPr>
        <w:t>2</w:t>
      </w:r>
      <w:r>
        <w:rPr>
          <w:rFonts w:ascii="Arial" w:hAnsi="Arial" w:cs="Arial"/>
          <w:color w:val="000000"/>
          <w:sz w:val="18"/>
          <w:szCs w:val="18"/>
          <w:lang w:val="x-none"/>
        </w:rPr>
        <w:t xml:space="preserve"> pokrycia dachu z uwzględnieniem wykonania wszystkich niezbędnych warstw, które obejmuje:</w:t>
      </w:r>
    </w:p>
    <w:p w14:paraId="0BA0AE4C"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przygotowanie stanowiska roboczego,</w:t>
      </w:r>
    </w:p>
    <w:p w14:paraId="2E4B467E"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dostarczenie materiałów i sprzętu,</w:t>
      </w:r>
    </w:p>
    <w:p w14:paraId="18DC220C"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przygotowanie lepiku, jeśli jest stosowany,</w:t>
      </w:r>
    </w:p>
    <w:p w14:paraId="5012EAC5"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obsługę sprzętu nieposiadającego etatowej obsługi,</w:t>
      </w:r>
    </w:p>
    <w:p w14:paraId="00C55B31"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ustawienie i rozbiórkę rusztowań, jeśli są niezbędne do wykonania pracy,</w:t>
      </w:r>
    </w:p>
    <w:p w14:paraId="2E480F30"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oczyszczenie i zagruntowanie podłoża,</w:t>
      </w:r>
    </w:p>
    <w:p w14:paraId="1D7B7A9C"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kompletne pokrycie dachu papą,</w:t>
      </w:r>
    </w:p>
    <w:p w14:paraId="251B6D4E"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oczyszczenie miejsca pracy z resztek materiałów,</w:t>
      </w:r>
    </w:p>
    <w:p w14:paraId="283D1521"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likwidacja stanowiska roboczego.</w:t>
      </w:r>
    </w:p>
    <w:p w14:paraId="4A604F45"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p>
    <w:p w14:paraId="6BCDD5B4"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9.3.</w:t>
      </w:r>
      <w:r>
        <w:rPr>
          <w:rFonts w:ascii="Arial" w:hAnsi="Arial" w:cs="Arial"/>
          <w:b/>
          <w:bCs/>
          <w:color w:val="000000"/>
          <w:sz w:val="18"/>
          <w:szCs w:val="18"/>
          <w:lang w:val="x-none"/>
        </w:rPr>
        <w:tab/>
        <w:t>Obróbki blacharskie</w:t>
      </w:r>
    </w:p>
    <w:p w14:paraId="528C556C"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Płaci się za ilość obróbek blacharskich określoną w m</w:t>
      </w:r>
      <w:r>
        <w:rPr>
          <w:rFonts w:ascii="Arial" w:hAnsi="Arial" w:cs="Arial"/>
          <w:color w:val="000000"/>
          <w:position w:val="4"/>
          <w:sz w:val="8"/>
          <w:szCs w:val="8"/>
          <w:lang w:val="x-none"/>
        </w:rPr>
        <w:t>2</w:t>
      </w:r>
      <w:r>
        <w:rPr>
          <w:rFonts w:ascii="Arial" w:hAnsi="Arial" w:cs="Arial"/>
          <w:color w:val="000000"/>
          <w:sz w:val="18"/>
          <w:szCs w:val="18"/>
          <w:lang w:val="x-none"/>
        </w:rPr>
        <w:t xml:space="preserve"> rozwinięcia obróbki lub w jej metrach bieżących, stawkę/cenę która uwzględnia:</w:t>
      </w:r>
    </w:p>
    <w:p w14:paraId="6CB5F3F6"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przygotowanie obróbek,</w:t>
      </w:r>
    </w:p>
    <w:p w14:paraId="1B5D1B81"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zamontowanie i umocowanie obróbek w podłożu, zalutowanie połączeń,</w:t>
      </w:r>
    </w:p>
    <w:p w14:paraId="5DF4F682"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ustawienie i rozbiórkę rusztowań, jeśli są niezbędne do wykonania pracy,</w:t>
      </w:r>
    </w:p>
    <w:p w14:paraId="19A1C07B"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uporządkowanie stanowiska pracy.</w:t>
      </w:r>
    </w:p>
    <w:p w14:paraId="6D61EDB2"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p>
    <w:p w14:paraId="60E8BCA6"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9.4.</w:t>
      </w:r>
      <w:r>
        <w:rPr>
          <w:rFonts w:ascii="Arial" w:hAnsi="Arial" w:cs="Arial"/>
          <w:b/>
          <w:bCs/>
          <w:color w:val="000000"/>
          <w:sz w:val="18"/>
          <w:szCs w:val="18"/>
          <w:lang w:val="x-none"/>
        </w:rPr>
        <w:tab/>
        <w:t>Rynny i rury spustowe</w:t>
      </w:r>
    </w:p>
    <w:p w14:paraId="5B9A173A"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Płaci się za ilość elementów odwodnienia dachu:</w:t>
      </w:r>
    </w:p>
    <w:p w14:paraId="4179EDA1"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rynny i rury spustowe w metrach bieżących,</w:t>
      </w:r>
    </w:p>
    <w:p w14:paraId="7D9DFFFE"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kosze, leje itp. w sztukach,</w:t>
      </w:r>
    </w:p>
    <w:p w14:paraId="3172B08E"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stawkę/cenę która uwzględnia:</w:t>
      </w:r>
    </w:p>
    <w:p w14:paraId="17EC060A"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przygotowanie,</w:t>
      </w:r>
    </w:p>
    <w:p w14:paraId="54B067ED"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zmontowanie, umocowanie rynien i rur spustowych oraz ich połączenie,</w:t>
      </w:r>
    </w:p>
    <w:p w14:paraId="0E8FD514"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ustawienie i rozbiórkę rusztowań, jeśli są potrzebne do wykonania pracy,</w:t>
      </w:r>
    </w:p>
    <w:p w14:paraId="3EEE1BE9"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uporządkowanie stanowiska pracy.</w:t>
      </w:r>
    </w:p>
    <w:p w14:paraId="4FB18399"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68126922" w14:textId="77777777" w:rsidR="000A3B2B" w:rsidRDefault="000A3B2B" w:rsidP="009E5295">
      <w:pPr>
        <w:autoSpaceDE w:val="0"/>
        <w:autoSpaceDN w:val="0"/>
        <w:adjustRightInd w:val="0"/>
        <w:spacing w:before="225" w:after="12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10.</w:t>
      </w:r>
      <w:r>
        <w:rPr>
          <w:rFonts w:ascii="Arial" w:hAnsi="Arial" w:cs="Arial"/>
          <w:b/>
          <w:bCs/>
          <w:color w:val="000000"/>
          <w:sz w:val="18"/>
          <w:szCs w:val="18"/>
          <w:lang w:val="x-none"/>
        </w:rPr>
        <w:tab/>
        <w:t>DOKUMENTY ODNIESIENIA</w:t>
      </w:r>
    </w:p>
    <w:p w14:paraId="2558346A"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10.1. Normy</w:t>
      </w:r>
    </w:p>
    <w:tbl>
      <w:tblPr>
        <w:tblW w:w="0" w:type="auto"/>
        <w:tblCellSpacing w:w="0" w:type="dxa"/>
        <w:tblLayout w:type="fixed"/>
        <w:tblCellMar>
          <w:left w:w="0" w:type="dxa"/>
          <w:right w:w="0" w:type="dxa"/>
        </w:tblCellMar>
        <w:tblLook w:val="0000" w:firstRow="0" w:lastRow="0" w:firstColumn="0" w:lastColumn="0" w:noHBand="0" w:noVBand="0"/>
      </w:tblPr>
      <w:tblGrid>
        <w:gridCol w:w="382"/>
        <w:gridCol w:w="2476"/>
        <w:gridCol w:w="6450"/>
      </w:tblGrid>
      <w:tr w:rsidR="000A3B2B" w14:paraId="3E3C0EC3" w14:textId="77777777">
        <w:trPr>
          <w:trHeight w:val="60"/>
          <w:tblCellSpacing w:w="0" w:type="dxa"/>
        </w:trPr>
        <w:tc>
          <w:tcPr>
            <w:tcW w:w="382" w:type="dxa"/>
            <w:tcBorders>
              <w:top w:val="nil"/>
              <w:left w:val="nil"/>
              <w:bottom w:val="nil"/>
              <w:right w:val="nil"/>
            </w:tcBorders>
          </w:tcPr>
          <w:p w14:paraId="43DF9209"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1.</w:t>
            </w:r>
          </w:p>
        </w:tc>
        <w:tc>
          <w:tcPr>
            <w:tcW w:w="2476" w:type="dxa"/>
            <w:tcBorders>
              <w:top w:val="nil"/>
              <w:left w:val="nil"/>
              <w:bottom w:val="nil"/>
              <w:right w:val="nil"/>
            </w:tcBorders>
          </w:tcPr>
          <w:p w14:paraId="72F240B4"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PN-B-02361:2010</w:t>
            </w:r>
          </w:p>
        </w:tc>
        <w:tc>
          <w:tcPr>
            <w:tcW w:w="6450" w:type="dxa"/>
            <w:tcBorders>
              <w:top w:val="nil"/>
              <w:left w:val="nil"/>
              <w:bottom w:val="nil"/>
              <w:right w:val="nil"/>
            </w:tcBorders>
          </w:tcPr>
          <w:p w14:paraId="52A926A3"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Pochylenia połaci dachowych.</w:t>
            </w:r>
          </w:p>
        </w:tc>
      </w:tr>
      <w:tr w:rsidR="000A3B2B" w14:paraId="67D37621" w14:textId="77777777">
        <w:trPr>
          <w:trHeight w:val="60"/>
          <w:tblCellSpacing w:w="0" w:type="dxa"/>
        </w:trPr>
        <w:tc>
          <w:tcPr>
            <w:tcW w:w="382" w:type="dxa"/>
            <w:tcBorders>
              <w:top w:val="nil"/>
              <w:left w:val="nil"/>
              <w:bottom w:val="nil"/>
              <w:right w:val="nil"/>
            </w:tcBorders>
          </w:tcPr>
          <w:p w14:paraId="210F16A0"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2.</w:t>
            </w:r>
          </w:p>
        </w:tc>
        <w:tc>
          <w:tcPr>
            <w:tcW w:w="2476" w:type="dxa"/>
            <w:tcBorders>
              <w:top w:val="nil"/>
              <w:left w:val="nil"/>
              <w:bottom w:val="nil"/>
              <w:right w:val="nil"/>
            </w:tcBorders>
          </w:tcPr>
          <w:p w14:paraId="5AE3AC0D"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13707:2013-12</w:t>
            </w:r>
          </w:p>
        </w:tc>
        <w:tc>
          <w:tcPr>
            <w:tcW w:w="6450" w:type="dxa"/>
            <w:tcBorders>
              <w:top w:val="nil"/>
              <w:left w:val="nil"/>
              <w:bottom w:val="nil"/>
              <w:right w:val="nil"/>
            </w:tcBorders>
          </w:tcPr>
          <w:p w14:paraId="6B4C43D7" w14:textId="77777777" w:rsidR="000A3B2B" w:rsidRDefault="000A3B2B">
            <w:pPr>
              <w:autoSpaceDE w:val="0"/>
              <w:autoSpaceDN w:val="0"/>
              <w:adjustRightInd w:val="0"/>
              <w:spacing w:after="30" w:line="240" w:lineRule="auto"/>
              <w:jc w:val="both"/>
              <w:rPr>
                <w:rFonts w:ascii="Arial" w:hAnsi="Arial" w:cs="Arial"/>
                <w:i/>
                <w:iCs/>
                <w:color w:val="000000"/>
                <w:sz w:val="18"/>
                <w:szCs w:val="18"/>
                <w:lang w:val="x-none"/>
              </w:rPr>
            </w:pPr>
            <w:r>
              <w:rPr>
                <w:rFonts w:ascii="Arial" w:hAnsi="Arial" w:cs="Arial"/>
                <w:color w:val="000000"/>
                <w:sz w:val="18"/>
                <w:szCs w:val="18"/>
                <w:lang w:val="x-none"/>
              </w:rPr>
              <w:t xml:space="preserve">Elastyczne wyroby wodochronne – Wyroby asfaltowe na osnowie do pokryć dachowych – Definicje i właściwości </w:t>
            </w:r>
            <w:r>
              <w:rPr>
                <w:rFonts w:ascii="Arial" w:hAnsi="Arial" w:cs="Arial"/>
                <w:i/>
                <w:iCs/>
                <w:color w:val="000000"/>
                <w:sz w:val="18"/>
                <w:szCs w:val="18"/>
                <w:lang w:val="x-none"/>
              </w:rPr>
              <w:t>(wersja angielska).</w:t>
            </w:r>
          </w:p>
        </w:tc>
      </w:tr>
      <w:tr w:rsidR="000A3B2B" w14:paraId="4C46BB6A" w14:textId="77777777">
        <w:trPr>
          <w:trHeight w:val="60"/>
          <w:tblCellSpacing w:w="0" w:type="dxa"/>
        </w:trPr>
        <w:tc>
          <w:tcPr>
            <w:tcW w:w="382" w:type="dxa"/>
            <w:tcBorders>
              <w:top w:val="nil"/>
              <w:left w:val="nil"/>
              <w:bottom w:val="nil"/>
              <w:right w:val="nil"/>
            </w:tcBorders>
          </w:tcPr>
          <w:p w14:paraId="3667C6E6"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3.</w:t>
            </w:r>
          </w:p>
        </w:tc>
        <w:tc>
          <w:tcPr>
            <w:tcW w:w="2476" w:type="dxa"/>
            <w:tcBorders>
              <w:top w:val="nil"/>
              <w:left w:val="nil"/>
              <w:bottom w:val="nil"/>
              <w:right w:val="nil"/>
            </w:tcBorders>
          </w:tcPr>
          <w:p w14:paraId="46464982"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13859-1:2014-06</w:t>
            </w:r>
          </w:p>
        </w:tc>
        <w:tc>
          <w:tcPr>
            <w:tcW w:w="6450" w:type="dxa"/>
            <w:tcBorders>
              <w:top w:val="nil"/>
              <w:left w:val="nil"/>
              <w:bottom w:val="nil"/>
              <w:right w:val="nil"/>
            </w:tcBorders>
          </w:tcPr>
          <w:p w14:paraId="117EE5E8" w14:textId="77777777" w:rsidR="000A3B2B" w:rsidRDefault="000A3B2B">
            <w:pPr>
              <w:autoSpaceDE w:val="0"/>
              <w:autoSpaceDN w:val="0"/>
              <w:adjustRightInd w:val="0"/>
              <w:spacing w:after="30" w:line="240" w:lineRule="auto"/>
              <w:jc w:val="both"/>
              <w:rPr>
                <w:rFonts w:ascii="Arial" w:hAnsi="Arial" w:cs="Arial"/>
                <w:i/>
                <w:iCs/>
                <w:color w:val="000000"/>
                <w:sz w:val="18"/>
                <w:szCs w:val="18"/>
                <w:lang w:val="x-none"/>
              </w:rPr>
            </w:pPr>
            <w:r>
              <w:rPr>
                <w:rFonts w:ascii="Arial" w:hAnsi="Arial" w:cs="Arial"/>
                <w:color w:val="000000"/>
                <w:sz w:val="18"/>
                <w:szCs w:val="18"/>
                <w:lang w:val="x-none"/>
              </w:rPr>
              <w:t xml:space="preserve">Elastyczne wyroby wodochronne – Definicje i właściwości wyrobów podkładowych – Część 1: Wyroby podkładowe pod nieciągłe pokrycia dachowe </w:t>
            </w:r>
            <w:r>
              <w:rPr>
                <w:rFonts w:ascii="Arial" w:hAnsi="Arial" w:cs="Arial"/>
                <w:i/>
                <w:iCs/>
                <w:color w:val="000000"/>
                <w:sz w:val="18"/>
                <w:szCs w:val="18"/>
                <w:lang w:val="x-none"/>
              </w:rPr>
              <w:t>(wersja angielska).</w:t>
            </w:r>
          </w:p>
        </w:tc>
      </w:tr>
      <w:tr w:rsidR="000A3B2B" w14:paraId="6F9B9DF5" w14:textId="77777777">
        <w:trPr>
          <w:trHeight w:val="60"/>
          <w:tblCellSpacing w:w="0" w:type="dxa"/>
        </w:trPr>
        <w:tc>
          <w:tcPr>
            <w:tcW w:w="382" w:type="dxa"/>
            <w:tcBorders>
              <w:top w:val="nil"/>
              <w:left w:val="nil"/>
              <w:bottom w:val="nil"/>
              <w:right w:val="nil"/>
            </w:tcBorders>
          </w:tcPr>
          <w:p w14:paraId="5090ABF2"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4.</w:t>
            </w:r>
          </w:p>
        </w:tc>
        <w:tc>
          <w:tcPr>
            <w:tcW w:w="2476" w:type="dxa"/>
            <w:tcBorders>
              <w:top w:val="nil"/>
              <w:left w:val="nil"/>
              <w:bottom w:val="nil"/>
              <w:right w:val="nil"/>
            </w:tcBorders>
          </w:tcPr>
          <w:p w14:paraId="592145F8"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13956:2013-06</w:t>
            </w:r>
          </w:p>
        </w:tc>
        <w:tc>
          <w:tcPr>
            <w:tcW w:w="6450" w:type="dxa"/>
            <w:tcBorders>
              <w:top w:val="nil"/>
              <w:left w:val="nil"/>
              <w:bottom w:val="nil"/>
              <w:right w:val="nil"/>
            </w:tcBorders>
          </w:tcPr>
          <w:p w14:paraId="6C8619E0" w14:textId="77777777" w:rsidR="000A3B2B" w:rsidRDefault="000A3B2B">
            <w:pPr>
              <w:autoSpaceDE w:val="0"/>
              <w:autoSpaceDN w:val="0"/>
              <w:adjustRightInd w:val="0"/>
              <w:spacing w:after="30" w:line="240" w:lineRule="auto"/>
              <w:jc w:val="both"/>
              <w:rPr>
                <w:rFonts w:ascii="Arial" w:hAnsi="Arial" w:cs="Arial"/>
                <w:i/>
                <w:iCs/>
                <w:color w:val="000000"/>
                <w:sz w:val="18"/>
                <w:szCs w:val="18"/>
                <w:lang w:val="x-none"/>
              </w:rPr>
            </w:pPr>
            <w:r>
              <w:rPr>
                <w:rFonts w:ascii="Arial" w:hAnsi="Arial" w:cs="Arial"/>
                <w:color w:val="000000"/>
                <w:sz w:val="18"/>
                <w:szCs w:val="18"/>
                <w:lang w:val="x-none"/>
              </w:rPr>
              <w:t xml:space="preserve">Elastyczne wyroby wodochronne – Wyroby z tworzyw sztucznych i kauczuku do pokryć dachowych – Definicje i właściwości </w:t>
            </w:r>
            <w:r>
              <w:rPr>
                <w:rFonts w:ascii="Arial" w:hAnsi="Arial" w:cs="Arial"/>
                <w:i/>
                <w:iCs/>
                <w:color w:val="000000"/>
                <w:sz w:val="18"/>
                <w:szCs w:val="18"/>
                <w:lang w:val="x-none"/>
              </w:rPr>
              <w:t>(wersja angielska).</w:t>
            </w:r>
          </w:p>
        </w:tc>
      </w:tr>
      <w:tr w:rsidR="000A3B2B" w14:paraId="4EF283FB" w14:textId="77777777">
        <w:trPr>
          <w:trHeight w:val="60"/>
          <w:tblCellSpacing w:w="0" w:type="dxa"/>
        </w:trPr>
        <w:tc>
          <w:tcPr>
            <w:tcW w:w="382" w:type="dxa"/>
            <w:tcBorders>
              <w:top w:val="nil"/>
              <w:left w:val="nil"/>
              <w:bottom w:val="nil"/>
              <w:right w:val="nil"/>
            </w:tcBorders>
          </w:tcPr>
          <w:p w14:paraId="4007BC4F"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5.</w:t>
            </w:r>
          </w:p>
        </w:tc>
        <w:tc>
          <w:tcPr>
            <w:tcW w:w="2476" w:type="dxa"/>
            <w:tcBorders>
              <w:top w:val="nil"/>
              <w:left w:val="nil"/>
              <w:bottom w:val="nil"/>
              <w:right w:val="nil"/>
            </w:tcBorders>
          </w:tcPr>
          <w:p w14:paraId="03D009BB"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15814+A2:2015-02</w:t>
            </w:r>
          </w:p>
        </w:tc>
        <w:tc>
          <w:tcPr>
            <w:tcW w:w="6450" w:type="dxa"/>
            <w:tcBorders>
              <w:top w:val="nil"/>
              <w:left w:val="nil"/>
              <w:bottom w:val="nil"/>
              <w:right w:val="nil"/>
            </w:tcBorders>
          </w:tcPr>
          <w:p w14:paraId="5F11F50B" w14:textId="77777777" w:rsidR="000A3B2B" w:rsidRDefault="000A3B2B">
            <w:pPr>
              <w:autoSpaceDE w:val="0"/>
              <w:autoSpaceDN w:val="0"/>
              <w:adjustRightInd w:val="0"/>
              <w:spacing w:after="30" w:line="240" w:lineRule="auto"/>
              <w:jc w:val="both"/>
              <w:rPr>
                <w:rFonts w:ascii="Arial" w:hAnsi="Arial" w:cs="Arial"/>
                <w:i/>
                <w:iCs/>
                <w:color w:val="000000"/>
                <w:sz w:val="18"/>
                <w:szCs w:val="18"/>
                <w:lang w:val="x-none"/>
              </w:rPr>
            </w:pPr>
            <w:r>
              <w:rPr>
                <w:rFonts w:ascii="Arial" w:hAnsi="Arial" w:cs="Arial"/>
                <w:color w:val="000000"/>
                <w:sz w:val="18"/>
                <w:szCs w:val="18"/>
                <w:lang w:val="x-none"/>
              </w:rPr>
              <w:t xml:space="preserve">Grubowarstwowe powłoki asfaltowe modyfikowane polimerami do izolacji wodochronnej – Definicje i wymagania </w:t>
            </w:r>
            <w:r>
              <w:rPr>
                <w:rFonts w:ascii="Arial" w:hAnsi="Arial" w:cs="Arial"/>
                <w:i/>
                <w:iCs/>
                <w:color w:val="000000"/>
                <w:sz w:val="18"/>
                <w:szCs w:val="18"/>
                <w:lang w:val="x-none"/>
              </w:rPr>
              <w:t>(wersja angielska).</w:t>
            </w:r>
          </w:p>
        </w:tc>
      </w:tr>
      <w:tr w:rsidR="000A3B2B" w14:paraId="5248ECE8" w14:textId="77777777">
        <w:trPr>
          <w:trHeight w:val="60"/>
          <w:tblCellSpacing w:w="0" w:type="dxa"/>
        </w:trPr>
        <w:tc>
          <w:tcPr>
            <w:tcW w:w="382" w:type="dxa"/>
            <w:tcBorders>
              <w:top w:val="nil"/>
              <w:left w:val="nil"/>
              <w:bottom w:val="nil"/>
              <w:right w:val="nil"/>
            </w:tcBorders>
          </w:tcPr>
          <w:p w14:paraId="48BE1DFB"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6.</w:t>
            </w:r>
          </w:p>
        </w:tc>
        <w:tc>
          <w:tcPr>
            <w:tcW w:w="2476" w:type="dxa"/>
            <w:tcBorders>
              <w:top w:val="nil"/>
              <w:left w:val="nil"/>
              <w:bottom w:val="nil"/>
              <w:right w:val="nil"/>
            </w:tcBorders>
          </w:tcPr>
          <w:p w14:paraId="4091124E"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1848-1:2002</w:t>
            </w:r>
          </w:p>
        </w:tc>
        <w:tc>
          <w:tcPr>
            <w:tcW w:w="6450" w:type="dxa"/>
            <w:tcBorders>
              <w:top w:val="nil"/>
              <w:left w:val="nil"/>
              <w:bottom w:val="nil"/>
              <w:right w:val="nil"/>
            </w:tcBorders>
          </w:tcPr>
          <w:p w14:paraId="1878184C"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Elastyczne wyroby wodochronne – Określanie długości, szerokości i prostoliniowości – Część 1: Wyroby asfaltowe do izolacji wodochronnej dachów.</w:t>
            </w:r>
          </w:p>
        </w:tc>
      </w:tr>
      <w:tr w:rsidR="000A3B2B" w14:paraId="64E60E84" w14:textId="77777777">
        <w:trPr>
          <w:trHeight w:val="60"/>
          <w:tblCellSpacing w:w="0" w:type="dxa"/>
        </w:trPr>
        <w:tc>
          <w:tcPr>
            <w:tcW w:w="382" w:type="dxa"/>
            <w:tcBorders>
              <w:top w:val="nil"/>
              <w:left w:val="nil"/>
              <w:bottom w:val="nil"/>
              <w:right w:val="nil"/>
            </w:tcBorders>
          </w:tcPr>
          <w:p w14:paraId="52B55D31"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7.</w:t>
            </w:r>
          </w:p>
        </w:tc>
        <w:tc>
          <w:tcPr>
            <w:tcW w:w="2476" w:type="dxa"/>
            <w:tcBorders>
              <w:top w:val="nil"/>
              <w:left w:val="nil"/>
              <w:bottom w:val="nil"/>
              <w:right w:val="nil"/>
            </w:tcBorders>
          </w:tcPr>
          <w:p w14:paraId="12C503A2"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PN-B-24620:1998/Az1:2004</w:t>
            </w:r>
          </w:p>
        </w:tc>
        <w:tc>
          <w:tcPr>
            <w:tcW w:w="6450" w:type="dxa"/>
            <w:tcBorders>
              <w:top w:val="nil"/>
              <w:left w:val="nil"/>
              <w:bottom w:val="nil"/>
              <w:right w:val="nil"/>
            </w:tcBorders>
          </w:tcPr>
          <w:p w14:paraId="2B2927BC"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Lepiki, masy i roztwory asfaltowe stosowane na zimno.</w:t>
            </w:r>
          </w:p>
        </w:tc>
      </w:tr>
      <w:tr w:rsidR="000A3B2B" w14:paraId="25A2D4CC" w14:textId="77777777">
        <w:trPr>
          <w:trHeight w:val="60"/>
          <w:tblCellSpacing w:w="0" w:type="dxa"/>
        </w:trPr>
        <w:tc>
          <w:tcPr>
            <w:tcW w:w="382" w:type="dxa"/>
            <w:tcBorders>
              <w:top w:val="nil"/>
              <w:left w:val="nil"/>
              <w:bottom w:val="nil"/>
              <w:right w:val="nil"/>
            </w:tcBorders>
          </w:tcPr>
          <w:p w14:paraId="68C7D922"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8.</w:t>
            </w:r>
          </w:p>
        </w:tc>
        <w:tc>
          <w:tcPr>
            <w:tcW w:w="2476" w:type="dxa"/>
            <w:tcBorders>
              <w:top w:val="nil"/>
              <w:left w:val="nil"/>
              <w:bottom w:val="nil"/>
              <w:right w:val="nil"/>
            </w:tcBorders>
          </w:tcPr>
          <w:p w14:paraId="55E1DEDE"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PN-B-24620:1998</w:t>
            </w:r>
          </w:p>
        </w:tc>
        <w:tc>
          <w:tcPr>
            <w:tcW w:w="6450" w:type="dxa"/>
            <w:tcBorders>
              <w:top w:val="nil"/>
              <w:left w:val="nil"/>
              <w:bottom w:val="nil"/>
              <w:right w:val="nil"/>
            </w:tcBorders>
          </w:tcPr>
          <w:p w14:paraId="552FCB9B"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Lepiki, masy i roztwory asfaltowe stosowane na zimno.</w:t>
            </w:r>
          </w:p>
        </w:tc>
      </w:tr>
      <w:tr w:rsidR="000A3B2B" w14:paraId="76CC5CB5" w14:textId="77777777">
        <w:trPr>
          <w:trHeight w:val="60"/>
          <w:tblCellSpacing w:w="0" w:type="dxa"/>
        </w:trPr>
        <w:tc>
          <w:tcPr>
            <w:tcW w:w="382" w:type="dxa"/>
            <w:tcBorders>
              <w:top w:val="nil"/>
              <w:left w:val="nil"/>
              <w:bottom w:val="nil"/>
              <w:right w:val="nil"/>
            </w:tcBorders>
          </w:tcPr>
          <w:p w14:paraId="72CA67A1"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9.</w:t>
            </w:r>
          </w:p>
        </w:tc>
        <w:tc>
          <w:tcPr>
            <w:tcW w:w="2476" w:type="dxa"/>
            <w:tcBorders>
              <w:top w:val="nil"/>
              <w:left w:val="nil"/>
              <w:bottom w:val="nil"/>
              <w:right w:val="nil"/>
            </w:tcBorders>
          </w:tcPr>
          <w:p w14:paraId="59F67D4E"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PN-B-24625:1998</w:t>
            </w:r>
          </w:p>
        </w:tc>
        <w:tc>
          <w:tcPr>
            <w:tcW w:w="6450" w:type="dxa"/>
            <w:tcBorders>
              <w:top w:val="nil"/>
              <w:left w:val="nil"/>
              <w:bottom w:val="nil"/>
              <w:right w:val="nil"/>
            </w:tcBorders>
          </w:tcPr>
          <w:p w14:paraId="6031EFE0"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Lepik asfaltowy i asfaltowo-polimerowy z wypełniaczami stosowane na gorąco.</w:t>
            </w:r>
          </w:p>
        </w:tc>
      </w:tr>
      <w:tr w:rsidR="000A3B2B" w14:paraId="4C780BAC" w14:textId="77777777">
        <w:trPr>
          <w:trHeight w:val="60"/>
          <w:tblCellSpacing w:w="0" w:type="dxa"/>
        </w:trPr>
        <w:tc>
          <w:tcPr>
            <w:tcW w:w="382" w:type="dxa"/>
            <w:tcBorders>
              <w:top w:val="nil"/>
              <w:left w:val="nil"/>
              <w:bottom w:val="nil"/>
              <w:right w:val="nil"/>
            </w:tcBorders>
          </w:tcPr>
          <w:p w14:paraId="190D8105"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10.</w:t>
            </w:r>
          </w:p>
        </w:tc>
        <w:tc>
          <w:tcPr>
            <w:tcW w:w="2476" w:type="dxa"/>
            <w:tcBorders>
              <w:top w:val="nil"/>
              <w:left w:val="nil"/>
              <w:bottom w:val="nil"/>
              <w:right w:val="nil"/>
            </w:tcBorders>
          </w:tcPr>
          <w:p w14:paraId="361B5AA2"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13970:2006/A1:2007</w:t>
            </w:r>
          </w:p>
        </w:tc>
        <w:tc>
          <w:tcPr>
            <w:tcW w:w="6450" w:type="dxa"/>
            <w:tcBorders>
              <w:top w:val="nil"/>
              <w:left w:val="nil"/>
              <w:bottom w:val="nil"/>
              <w:right w:val="nil"/>
            </w:tcBorders>
          </w:tcPr>
          <w:p w14:paraId="5270CD12"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Elastyczne wyroby wodochronne – Wyroby asfaltowe do regulacji przenikania pary wodnej – Definicje i właściwości.</w:t>
            </w:r>
          </w:p>
        </w:tc>
      </w:tr>
      <w:tr w:rsidR="000A3B2B" w14:paraId="79E164E2" w14:textId="77777777">
        <w:trPr>
          <w:trHeight w:val="60"/>
          <w:tblCellSpacing w:w="0" w:type="dxa"/>
        </w:trPr>
        <w:tc>
          <w:tcPr>
            <w:tcW w:w="382" w:type="dxa"/>
            <w:tcBorders>
              <w:top w:val="nil"/>
              <w:left w:val="nil"/>
              <w:bottom w:val="nil"/>
              <w:right w:val="nil"/>
            </w:tcBorders>
          </w:tcPr>
          <w:p w14:paraId="3464A10C"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11.</w:t>
            </w:r>
          </w:p>
        </w:tc>
        <w:tc>
          <w:tcPr>
            <w:tcW w:w="2476" w:type="dxa"/>
            <w:tcBorders>
              <w:top w:val="nil"/>
              <w:left w:val="nil"/>
              <w:bottom w:val="nil"/>
              <w:right w:val="nil"/>
            </w:tcBorders>
          </w:tcPr>
          <w:p w14:paraId="138321DA"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14964:2008</w:t>
            </w:r>
          </w:p>
        </w:tc>
        <w:tc>
          <w:tcPr>
            <w:tcW w:w="6450" w:type="dxa"/>
            <w:tcBorders>
              <w:top w:val="nil"/>
              <w:left w:val="nil"/>
              <w:bottom w:val="nil"/>
              <w:right w:val="nil"/>
            </w:tcBorders>
          </w:tcPr>
          <w:p w14:paraId="28B66F87"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Sztywne podłoża pod nieciągłe pokrycia dachowe – Definicje i właściwości.</w:t>
            </w:r>
          </w:p>
        </w:tc>
      </w:tr>
      <w:tr w:rsidR="000A3B2B" w14:paraId="42D1393A" w14:textId="77777777">
        <w:trPr>
          <w:trHeight w:val="60"/>
          <w:tblCellSpacing w:w="0" w:type="dxa"/>
        </w:trPr>
        <w:tc>
          <w:tcPr>
            <w:tcW w:w="382" w:type="dxa"/>
            <w:tcBorders>
              <w:top w:val="nil"/>
              <w:left w:val="nil"/>
              <w:bottom w:val="nil"/>
              <w:right w:val="nil"/>
            </w:tcBorders>
          </w:tcPr>
          <w:p w14:paraId="56E81FF2"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12.</w:t>
            </w:r>
          </w:p>
        </w:tc>
        <w:tc>
          <w:tcPr>
            <w:tcW w:w="2476" w:type="dxa"/>
            <w:tcBorders>
              <w:top w:val="nil"/>
              <w:left w:val="nil"/>
              <w:bottom w:val="nil"/>
              <w:right w:val="nil"/>
            </w:tcBorders>
          </w:tcPr>
          <w:p w14:paraId="221E6BD8"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13163+A2:2016-12</w:t>
            </w:r>
          </w:p>
        </w:tc>
        <w:tc>
          <w:tcPr>
            <w:tcW w:w="6450" w:type="dxa"/>
            <w:tcBorders>
              <w:top w:val="nil"/>
              <w:left w:val="nil"/>
              <w:bottom w:val="nil"/>
              <w:right w:val="nil"/>
            </w:tcBorders>
          </w:tcPr>
          <w:p w14:paraId="041C0AA6" w14:textId="77777777" w:rsidR="000A3B2B" w:rsidRDefault="000A3B2B">
            <w:pPr>
              <w:autoSpaceDE w:val="0"/>
              <w:autoSpaceDN w:val="0"/>
              <w:adjustRightInd w:val="0"/>
              <w:spacing w:after="30" w:line="240" w:lineRule="auto"/>
              <w:jc w:val="both"/>
              <w:rPr>
                <w:rFonts w:ascii="Arial" w:hAnsi="Arial" w:cs="Arial"/>
                <w:i/>
                <w:iCs/>
                <w:color w:val="000000"/>
                <w:sz w:val="18"/>
                <w:szCs w:val="18"/>
                <w:lang w:val="x-none"/>
              </w:rPr>
            </w:pPr>
            <w:r>
              <w:rPr>
                <w:rFonts w:ascii="Arial" w:hAnsi="Arial" w:cs="Arial"/>
                <w:color w:val="000000"/>
                <w:sz w:val="18"/>
                <w:szCs w:val="18"/>
                <w:lang w:val="x-none"/>
              </w:rPr>
              <w:t xml:space="preserve">Wyroby do izolacji cieplnej w budownictwie – Wyroby ze styropianu (EPS) produkowane fabrycznie – Specyfikacja </w:t>
            </w:r>
            <w:r>
              <w:rPr>
                <w:rFonts w:ascii="Arial" w:hAnsi="Arial" w:cs="Arial"/>
                <w:i/>
                <w:iCs/>
                <w:color w:val="000000"/>
                <w:sz w:val="18"/>
                <w:szCs w:val="18"/>
                <w:lang w:val="x-none"/>
              </w:rPr>
              <w:t>(wersja angielska).</w:t>
            </w:r>
          </w:p>
        </w:tc>
      </w:tr>
      <w:tr w:rsidR="000A3B2B" w14:paraId="67AE41D2" w14:textId="77777777">
        <w:trPr>
          <w:trHeight w:val="60"/>
          <w:tblCellSpacing w:w="0" w:type="dxa"/>
        </w:trPr>
        <w:tc>
          <w:tcPr>
            <w:tcW w:w="382" w:type="dxa"/>
            <w:tcBorders>
              <w:top w:val="nil"/>
              <w:left w:val="nil"/>
              <w:bottom w:val="nil"/>
              <w:right w:val="nil"/>
            </w:tcBorders>
          </w:tcPr>
          <w:p w14:paraId="6F8D4560"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13.</w:t>
            </w:r>
          </w:p>
        </w:tc>
        <w:tc>
          <w:tcPr>
            <w:tcW w:w="2476" w:type="dxa"/>
            <w:tcBorders>
              <w:top w:val="nil"/>
              <w:left w:val="nil"/>
              <w:bottom w:val="nil"/>
              <w:right w:val="nil"/>
            </w:tcBorders>
          </w:tcPr>
          <w:p w14:paraId="19AB75E1"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13162+A1:2015-04</w:t>
            </w:r>
          </w:p>
        </w:tc>
        <w:tc>
          <w:tcPr>
            <w:tcW w:w="6450" w:type="dxa"/>
            <w:tcBorders>
              <w:top w:val="nil"/>
              <w:left w:val="nil"/>
              <w:bottom w:val="nil"/>
              <w:right w:val="nil"/>
            </w:tcBorders>
          </w:tcPr>
          <w:p w14:paraId="61D5F1E8"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Wyroby do izolacji cieplnej w budownictwie – Wyroby z wełny mineralnej (MW) produkowane fabrycznie – Specyfikacja.</w:t>
            </w:r>
          </w:p>
        </w:tc>
      </w:tr>
      <w:tr w:rsidR="000A3B2B" w14:paraId="0C9DE4D1" w14:textId="77777777">
        <w:trPr>
          <w:trHeight w:val="60"/>
          <w:tblCellSpacing w:w="0" w:type="dxa"/>
        </w:trPr>
        <w:tc>
          <w:tcPr>
            <w:tcW w:w="382" w:type="dxa"/>
            <w:tcBorders>
              <w:top w:val="nil"/>
              <w:left w:val="nil"/>
              <w:bottom w:val="nil"/>
              <w:right w:val="nil"/>
            </w:tcBorders>
          </w:tcPr>
          <w:p w14:paraId="23200EC0"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14.</w:t>
            </w:r>
          </w:p>
        </w:tc>
        <w:tc>
          <w:tcPr>
            <w:tcW w:w="2476" w:type="dxa"/>
            <w:tcBorders>
              <w:top w:val="nil"/>
              <w:left w:val="nil"/>
              <w:bottom w:val="nil"/>
              <w:right w:val="nil"/>
            </w:tcBorders>
          </w:tcPr>
          <w:p w14:paraId="1FE2A016"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607:2005</w:t>
            </w:r>
          </w:p>
        </w:tc>
        <w:tc>
          <w:tcPr>
            <w:tcW w:w="6450" w:type="dxa"/>
            <w:tcBorders>
              <w:top w:val="nil"/>
              <w:left w:val="nil"/>
              <w:bottom w:val="nil"/>
              <w:right w:val="nil"/>
            </w:tcBorders>
          </w:tcPr>
          <w:p w14:paraId="542438A5"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Rynny dachowe i elementy wyposażenia z PVC-U – Definicje, wymagania i badania.</w:t>
            </w:r>
          </w:p>
        </w:tc>
      </w:tr>
      <w:tr w:rsidR="000A3B2B" w14:paraId="2BB107AA" w14:textId="77777777">
        <w:trPr>
          <w:trHeight w:val="60"/>
          <w:tblCellSpacing w:w="0" w:type="dxa"/>
        </w:trPr>
        <w:tc>
          <w:tcPr>
            <w:tcW w:w="382" w:type="dxa"/>
            <w:tcBorders>
              <w:top w:val="nil"/>
              <w:left w:val="nil"/>
              <w:bottom w:val="nil"/>
              <w:right w:val="nil"/>
            </w:tcBorders>
          </w:tcPr>
          <w:p w14:paraId="205FD55C"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15.</w:t>
            </w:r>
          </w:p>
        </w:tc>
        <w:tc>
          <w:tcPr>
            <w:tcW w:w="2476" w:type="dxa"/>
            <w:tcBorders>
              <w:top w:val="nil"/>
              <w:left w:val="nil"/>
              <w:bottom w:val="nil"/>
              <w:right w:val="nil"/>
            </w:tcBorders>
          </w:tcPr>
          <w:p w14:paraId="1788DD14"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612:2006</w:t>
            </w:r>
          </w:p>
        </w:tc>
        <w:tc>
          <w:tcPr>
            <w:tcW w:w="6450" w:type="dxa"/>
            <w:tcBorders>
              <w:top w:val="nil"/>
              <w:left w:val="nil"/>
              <w:bottom w:val="nil"/>
              <w:right w:val="nil"/>
            </w:tcBorders>
          </w:tcPr>
          <w:p w14:paraId="7895F3A5"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Rynny dachowe z arkuszy metalowych z okrągłym usztywnionym obrzeżem przedniej strony i rury spustowe łączone na zakład.</w:t>
            </w:r>
          </w:p>
        </w:tc>
      </w:tr>
    </w:tbl>
    <w:p w14:paraId="417FCF03"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tbl>
      <w:tblPr>
        <w:tblW w:w="0" w:type="auto"/>
        <w:tblCellSpacing w:w="0" w:type="dxa"/>
        <w:tblInd w:w="-8" w:type="dxa"/>
        <w:tblLayout w:type="fixed"/>
        <w:tblCellMar>
          <w:left w:w="0" w:type="dxa"/>
          <w:right w:w="0" w:type="dxa"/>
        </w:tblCellMar>
        <w:tblLook w:val="0000" w:firstRow="0" w:lastRow="0" w:firstColumn="0" w:lastColumn="0" w:noHBand="0" w:noVBand="0"/>
      </w:tblPr>
      <w:tblGrid>
        <w:gridCol w:w="9352"/>
      </w:tblGrid>
      <w:tr w:rsidR="000A3B2B" w14:paraId="79ADF269" w14:textId="77777777">
        <w:trPr>
          <w:trHeight w:val="255"/>
          <w:tblCellSpacing w:w="0" w:type="dxa"/>
        </w:trPr>
        <w:tc>
          <w:tcPr>
            <w:tcW w:w="9352" w:type="dxa"/>
            <w:tcBorders>
              <w:top w:val="single" w:sz="6" w:space="0" w:color="000000"/>
              <w:left w:val="single" w:sz="6" w:space="0" w:color="000000"/>
              <w:bottom w:val="single" w:sz="6" w:space="0" w:color="000000"/>
              <w:right w:val="single" w:sz="6" w:space="0" w:color="000000"/>
            </w:tcBorders>
          </w:tcPr>
          <w:p w14:paraId="5F358027" w14:textId="77777777" w:rsidR="000A3B2B" w:rsidRDefault="000A3B2B">
            <w:pPr>
              <w:autoSpaceDE w:val="0"/>
              <w:autoSpaceDN w:val="0"/>
              <w:adjustRightInd w:val="0"/>
              <w:spacing w:after="30" w:line="240" w:lineRule="auto"/>
              <w:jc w:val="both"/>
              <w:rPr>
                <w:rFonts w:ascii="Arial" w:hAnsi="Arial" w:cs="Arial"/>
                <w:b/>
                <w:bCs/>
                <w:color w:val="000000"/>
                <w:sz w:val="18"/>
                <w:szCs w:val="18"/>
                <w:lang w:val="x-none"/>
              </w:rPr>
            </w:pPr>
            <w:r>
              <w:rPr>
                <w:rFonts w:ascii="Arial" w:hAnsi="Arial" w:cs="Arial"/>
                <w:b/>
                <w:bCs/>
                <w:color w:val="000000"/>
                <w:sz w:val="18"/>
                <w:szCs w:val="18"/>
                <w:lang w:val="x-none"/>
              </w:rPr>
              <w:t>Uwaga:</w:t>
            </w:r>
          </w:p>
          <w:p w14:paraId="22823EBF" w14:textId="77777777" w:rsidR="000A3B2B" w:rsidRDefault="000A3B2B">
            <w:pPr>
              <w:autoSpaceDE w:val="0"/>
              <w:autoSpaceDN w:val="0"/>
              <w:adjustRightInd w:val="0"/>
              <w:spacing w:after="30" w:line="240" w:lineRule="auto"/>
              <w:jc w:val="both"/>
              <w:rPr>
                <w:rFonts w:ascii="Arial" w:hAnsi="Arial" w:cs="Arial"/>
                <w:i/>
                <w:iCs/>
                <w:color w:val="000000"/>
                <w:sz w:val="18"/>
                <w:szCs w:val="18"/>
                <w:lang w:val="x-none"/>
              </w:rPr>
            </w:pPr>
            <w:r>
              <w:rPr>
                <w:rFonts w:ascii="Arial" w:hAnsi="Arial" w:cs="Arial"/>
                <w:i/>
                <w:iCs/>
                <w:color w:val="000000"/>
                <w:sz w:val="18"/>
                <w:szCs w:val="18"/>
                <w:lang w:val="x-none"/>
              </w:rPr>
              <w:t>Sporządzając SST należy każdorazowo sprawdzić aktualność podanych wyżej norm.</w:t>
            </w:r>
          </w:p>
        </w:tc>
      </w:tr>
    </w:tbl>
    <w:p w14:paraId="21399BDC" w14:textId="77777777" w:rsidR="000A3B2B" w:rsidRDefault="000A3B2B" w:rsidP="009E5295">
      <w:pPr>
        <w:autoSpaceDE w:val="0"/>
        <w:autoSpaceDN w:val="0"/>
        <w:adjustRightInd w:val="0"/>
        <w:spacing w:after="30" w:line="240" w:lineRule="auto"/>
        <w:jc w:val="both"/>
        <w:rPr>
          <w:rFonts w:ascii="Arial" w:hAnsi="Arial" w:cs="Arial"/>
          <w:i/>
          <w:iCs/>
          <w:color w:val="000000"/>
          <w:sz w:val="18"/>
          <w:szCs w:val="18"/>
          <w:lang w:val="x-none"/>
        </w:rPr>
      </w:pPr>
    </w:p>
    <w:p w14:paraId="3A1D082F"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06CFD4EF"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10.2. Inne dokumenty</w:t>
      </w:r>
    </w:p>
    <w:p w14:paraId="6E2890D7"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Wytyczne, instrukcje i zalecenia producentów stosowanych do wykonania robót materiałów budowlanych.</w:t>
      </w:r>
    </w:p>
    <w:p w14:paraId="254974E7" w14:textId="77777777" w:rsidR="000A3B2B" w:rsidRDefault="000A3B2B" w:rsidP="00773D74">
      <w:pPr>
        <w:pStyle w:val="Styl1"/>
        <w:sectPr w:rsidR="000A3B2B" w:rsidSect="009E5295">
          <w:pgSz w:w="12240" w:h="15840"/>
          <w:pgMar w:top="1417" w:right="1417" w:bottom="1417" w:left="1417" w:header="708" w:footer="708" w:gutter="0"/>
          <w:cols w:space="708"/>
          <w:noEndnote/>
        </w:sectPr>
      </w:pPr>
    </w:p>
    <w:p w14:paraId="0E1691DF" w14:textId="77777777" w:rsidR="000A3B2B" w:rsidRDefault="000A3B2B" w:rsidP="00773D74">
      <w:pPr>
        <w:pStyle w:val="Styl1"/>
      </w:pPr>
      <w:r>
        <w:t>MONTAŻ DRZWI BALKONOWYCH I OKIEN</w:t>
      </w:r>
    </w:p>
    <w:p w14:paraId="12E6C439" w14:textId="77777777" w:rsidR="000A3B2B" w:rsidRDefault="000A3B2B" w:rsidP="009E5295">
      <w:pPr>
        <w:autoSpaceDE w:val="0"/>
        <w:autoSpaceDN w:val="0"/>
        <w:adjustRightInd w:val="0"/>
        <w:spacing w:after="3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1.</w:t>
      </w:r>
      <w:r>
        <w:rPr>
          <w:rFonts w:ascii="Arial" w:hAnsi="Arial" w:cs="Arial"/>
          <w:b/>
          <w:bCs/>
          <w:color w:val="000000"/>
          <w:sz w:val="18"/>
          <w:szCs w:val="18"/>
          <w:lang w:val="x-none"/>
        </w:rPr>
        <w:tab/>
        <w:t>CZĘŚĆ OGÓLNA</w:t>
      </w:r>
    </w:p>
    <w:p w14:paraId="3A0278A1"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1.1.</w:t>
      </w:r>
      <w:r>
        <w:rPr>
          <w:rFonts w:ascii="Arial" w:hAnsi="Arial" w:cs="Arial"/>
          <w:b/>
          <w:bCs/>
          <w:color w:val="000000"/>
          <w:sz w:val="18"/>
          <w:szCs w:val="18"/>
          <w:lang w:val="x-none"/>
        </w:rPr>
        <w:tab/>
        <w:t>Nazwa nadana zamówieniu przez Zamawiającego</w:t>
      </w:r>
    </w:p>
    <w:p w14:paraId="0BDA7BA1" w14:textId="77777777" w:rsidR="000A3B2B" w:rsidRDefault="000A3B2B" w:rsidP="009E5295">
      <w:pPr>
        <w:tabs>
          <w:tab w:val="right" w:leader="dot" w:pos="7035"/>
        </w:tabs>
        <w:autoSpaceDE w:val="0"/>
        <w:autoSpaceDN w:val="0"/>
        <w:adjustRightInd w:val="0"/>
        <w:spacing w:after="30" w:line="240" w:lineRule="auto"/>
        <w:jc w:val="both"/>
        <w:rPr>
          <w:rFonts w:ascii="Arial" w:hAnsi="Arial" w:cs="Arial"/>
          <w:color w:val="000000"/>
          <w:sz w:val="18"/>
          <w:szCs w:val="18"/>
          <w:lang w:val="x-none"/>
        </w:rPr>
      </w:pPr>
      <w:r w:rsidRPr="00D8129F">
        <w:rPr>
          <w:rFonts w:ascii="Arial" w:hAnsi="Arial" w:cs="Arial"/>
          <w:noProof/>
          <w:color w:val="000000"/>
          <w:sz w:val="18"/>
          <w:szCs w:val="18"/>
          <w:lang w:val="x-none"/>
        </w:rPr>
        <w:t>Termomodernizacja budynku Szkoły Podstawowej nr 3 przy ul. Marii Konopnickiej 2 w Reszlu.</w:t>
      </w:r>
    </w:p>
    <w:p w14:paraId="57C5795F" w14:textId="77777777" w:rsidR="000A3B2B" w:rsidRDefault="000A3B2B" w:rsidP="009E5295">
      <w:pPr>
        <w:tabs>
          <w:tab w:val="right" w:leader="dot" w:pos="7035"/>
        </w:tabs>
        <w:autoSpaceDE w:val="0"/>
        <w:autoSpaceDN w:val="0"/>
        <w:adjustRightInd w:val="0"/>
        <w:spacing w:after="30" w:line="240" w:lineRule="auto"/>
        <w:jc w:val="both"/>
        <w:rPr>
          <w:rFonts w:ascii="Arial" w:hAnsi="Arial" w:cs="Arial"/>
          <w:color w:val="000000"/>
          <w:sz w:val="18"/>
          <w:szCs w:val="18"/>
          <w:lang w:val="x-none"/>
        </w:rPr>
      </w:pPr>
    </w:p>
    <w:p w14:paraId="4DCE1FF5"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1.2.</w:t>
      </w:r>
      <w:r>
        <w:rPr>
          <w:rFonts w:ascii="Arial" w:hAnsi="Arial" w:cs="Arial"/>
          <w:b/>
          <w:bCs/>
          <w:color w:val="000000"/>
          <w:sz w:val="18"/>
          <w:szCs w:val="18"/>
          <w:lang w:val="x-none"/>
        </w:rPr>
        <w:tab/>
        <w:t>Przedmiot ST</w:t>
      </w:r>
    </w:p>
    <w:p w14:paraId="77ACC9CD"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Przedmiotem niniejszej standardowej specyfikacji technicznej (ST) są wymagania dotyczące wykonania i odbioru montażu drzwi balkonowych i okien w budynkach. Specyfikacja techniczna (ST) nie dotyczy montażu drzwi balkonowych i okien, dla których określono szczególne warunki dotyczące dymoszczelności i odporności ogniowej.</w:t>
      </w:r>
    </w:p>
    <w:p w14:paraId="3AC6A879"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7239EC1E"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1.3.</w:t>
      </w:r>
      <w:r>
        <w:rPr>
          <w:rFonts w:ascii="Arial" w:hAnsi="Arial" w:cs="Arial"/>
          <w:b/>
          <w:bCs/>
          <w:color w:val="000000"/>
          <w:sz w:val="18"/>
          <w:szCs w:val="18"/>
          <w:lang w:val="x-none"/>
        </w:rPr>
        <w:tab/>
        <w:t>Zakres stosowania ST</w:t>
      </w:r>
    </w:p>
    <w:p w14:paraId="332423A6"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Niniejsza specyfikacja techniczna (ST) jest dokumentem przetargowym i kontraktowym przy zlecaniu i realizacji robót wymienionych w pkt. 1.2., a objętych zamówieniem określonym w pkt. 1.8.</w:t>
      </w:r>
    </w:p>
    <w:p w14:paraId="0C786EC0"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Odstępstwa od wymagań podanych w niniejszej specyfikacji mogą mieć miejsce tylko w przypadkach prostych robót o niewielkim znaczeniu, dla których istnieje pewność, że podstawowe wymagania będą spełnione przy zastosowaniu metod wykonania wynikających z doświadczenia oraz uznanych reguł i zasad sztuki budowlanej oraz przy uwzględnieniu przepisów bhp.</w:t>
      </w:r>
    </w:p>
    <w:p w14:paraId="033D6E41"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66BB776C"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1.4.</w:t>
      </w:r>
      <w:r>
        <w:rPr>
          <w:rFonts w:ascii="Arial" w:hAnsi="Arial" w:cs="Arial"/>
          <w:b/>
          <w:bCs/>
          <w:color w:val="000000"/>
          <w:sz w:val="18"/>
          <w:szCs w:val="18"/>
          <w:lang w:val="x-none"/>
        </w:rPr>
        <w:tab/>
        <w:t>Zakres robót objętych ST</w:t>
      </w:r>
    </w:p>
    <w:p w14:paraId="40E152D6"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Specyfikacja dotyczy montażu drzwi balkonowych i okien z PCW, aluminium oraz z drewna i obejmuje wykonanie następujących czynności:</w:t>
      </w:r>
    </w:p>
    <w:p w14:paraId="1F33BC1A"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przygotowanie ościeży do wbudowania drzwi balkonowych lub okien,</w:t>
      </w:r>
    </w:p>
    <w:p w14:paraId="1EC3FB8D"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usytuowanie i mocowanie drzwi balkonowych lub okien w otworach,</w:t>
      </w:r>
    </w:p>
    <w:p w14:paraId="5F961C59"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uszczelnienie i izolację oraz osadzenie parapetów i obróbek.</w:t>
      </w:r>
    </w:p>
    <w:p w14:paraId="1CCA7127"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Przedmiotem specyfikacji jest także określenie wymagań odnośnie właściwości materiałów wykorzystywanych do montażu okien i drzwi balkonowych oraz wymagań dotyczących wykonania i odbiorów robót montażowych.</w:t>
      </w:r>
    </w:p>
    <w:p w14:paraId="1D63B173" w14:textId="77777777" w:rsidR="000A3B2B" w:rsidRDefault="000A3B2B" w:rsidP="009E5295">
      <w:pPr>
        <w:autoSpaceDE w:val="0"/>
        <w:autoSpaceDN w:val="0"/>
        <w:adjustRightInd w:val="0"/>
        <w:spacing w:after="30" w:line="240" w:lineRule="auto"/>
        <w:ind w:firstLine="285"/>
        <w:jc w:val="both"/>
        <w:rPr>
          <w:rFonts w:ascii="Arial" w:hAnsi="Arial" w:cs="Arial"/>
          <w:b/>
          <w:bCs/>
          <w:color w:val="000000"/>
          <w:sz w:val="18"/>
          <w:szCs w:val="18"/>
          <w:lang w:val="x-none"/>
        </w:rPr>
      </w:pPr>
      <w:r>
        <w:rPr>
          <w:rFonts w:ascii="Arial" w:hAnsi="Arial" w:cs="Arial"/>
          <w:b/>
          <w:bCs/>
          <w:color w:val="000000"/>
          <w:sz w:val="18"/>
          <w:szCs w:val="18"/>
          <w:lang w:val="x-none"/>
        </w:rPr>
        <w:t>Specyfikacja nie obejmuje wymagań dotyczących montażu drzwi balkonowych i okien, dla których określono szczególne warunki odnoszące się do dymoszczelności i odporności ogniowej.</w:t>
      </w:r>
    </w:p>
    <w:p w14:paraId="149B38CF"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 </w:t>
      </w:r>
    </w:p>
    <w:p w14:paraId="21DF213C"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1.5.</w:t>
      </w:r>
      <w:r>
        <w:rPr>
          <w:rFonts w:ascii="Arial" w:hAnsi="Arial" w:cs="Arial"/>
          <w:b/>
          <w:bCs/>
          <w:color w:val="000000"/>
          <w:sz w:val="18"/>
          <w:szCs w:val="18"/>
          <w:lang w:val="x-none"/>
        </w:rPr>
        <w:tab/>
        <w:t>Określenia podstawowe i definicje</w:t>
      </w:r>
    </w:p>
    <w:p w14:paraId="080AD1F1"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Określenia podane w niniejszej Specyfikacji są zgodne z odpowiednimi normami, w szczególności PN-B-91000, oraz określeniami podanymi w ST „Wymagania ogólne” Kod CPV 45000000-7, pkt 1.7., a także zdefiniowanymi poniżej:</w:t>
      </w:r>
    </w:p>
    <w:p w14:paraId="2224C78B"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Okno</w:t>
      </w:r>
      <w:r>
        <w:rPr>
          <w:rFonts w:ascii="Arial" w:hAnsi="Arial" w:cs="Arial"/>
          <w:color w:val="000000"/>
          <w:sz w:val="18"/>
          <w:szCs w:val="18"/>
          <w:lang w:val="x-none"/>
        </w:rPr>
        <w:t xml:space="preserve"> – ruchomy lub stały element budowlany służący do zamykania otworu w ścianie lub dachu, który zapewnia odpowiednią izolacyjność i przepuszczalność światła oraz umożliwia wentylację.  Okno składa się z ościeżnicy i z jednego lub więcej oszklonych skrzydeł (stałych lub ruchomych) lub z samej oszklonej ościeżnicy.</w:t>
      </w:r>
    </w:p>
    <w:p w14:paraId="7807F3CA"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Ościeżnica</w:t>
      </w:r>
      <w:r>
        <w:rPr>
          <w:rFonts w:ascii="Arial" w:hAnsi="Arial" w:cs="Arial"/>
          <w:color w:val="000000"/>
          <w:sz w:val="18"/>
          <w:szCs w:val="18"/>
          <w:lang w:val="x-none"/>
        </w:rPr>
        <w:t xml:space="preserve"> –  element stanowiący obramowanie okna lub drzwi, umożliwiający zamocowanie ich do struktury budynku. </w:t>
      </w:r>
    </w:p>
    <w:p w14:paraId="6420737B"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Krosno</w:t>
      </w:r>
      <w:r>
        <w:rPr>
          <w:rFonts w:ascii="Arial" w:hAnsi="Arial" w:cs="Arial"/>
          <w:color w:val="000000"/>
          <w:sz w:val="18"/>
          <w:szCs w:val="18"/>
          <w:lang w:val="x-none"/>
        </w:rPr>
        <w:t xml:space="preserve"> – rama zastępująca ościeżnicę lub stanowiąca jej uzupełnienie od strony zewnętrznej. Grubość elementów krosna jest mniejsza od szerokości.</w:t>
      </w:r>
    </w:p>
    <w:p w14:paraId="4BFB337D"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Skrzydło</w:t>
      </w:r>
      <w:r>
        <w:rPr>
          <w:rFonts w:ascii="Arial" w:hAnsi="Arial" w:cs="Arial"/>
          <w:color w:val="000000"/>
          <w:sz w:val="18"/>
          <w:szCs w:val="18"/>
          <w:lang w:val="x-none"/>
        </w:rPr>
        <w:t xml:space="preserve"> – ruchoma część okna (naświetla), drzwi lub wrót zamocowana w ościeżnicy, krośnie lub bezpośrednio w otworze budowlanym.</w:t>
      </w:r>
    </w:p>
    <w:p w14:paraId="7EF31B46"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Skrzydło prawe</w:t>
      </w:r>
      <w:r>
        <w:rPr>
          <w:rFonts w:ascii="Arial" w:hAnsi="Arial" w:cs="Arial"/>
          <w:color w:val="000000"/>
          <w:sz w:val="18"/>
          <w:szCs w:val="18"/>
          <w:lang w:val="x-none"/>
        </w:rPr>
        <w:t xml:space="preserve"> – skrzydło, które w widoku od strony zawiasów ma zawiasy z prawej strony a po zamocowaniu w ościeżnicy (krośnie) lub bezpośrednio w otworze budowlanym, obrót jego przy zamykaniu jest zgodny z ruchem wskazówek zegara.</w:t>
      </w:r>
    </w:p>
    <w:p w14:paraId="4F6A369A"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 xml:space="preserve">Skrzydło lewe </w:t>
      </w:r>
      <w:r>
        <w:rPr>
          <w:rFonts w:ascii="Arial" w:hAnsi="Arial" w:cs="Arial"/>
          <w:color w:val="000000"/>
          <w:sz w:val="18"/>
          <w:szCs w:val="18"/>
          <w:lang w:val="x-none"/>
        </w:rPr>
        <w:t>– skrzydło, które w widoku od strony zawiasów ma zawiasy z lewej strony a po zamocowaniu w ościeżnicy (krośnie) lub bezpośrednio w otworze budowlanym, obrót jego przy zamykaniu jest przeciwny do ruchu wskazówek zegara.</w:t>
      </w:r>
    </w:p>
    <w:p w14:paraId="38BD9A9F"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Drzwi balkonowe</w:t>
      </w:r>
      <w:r>
        <w:rPr>
          <w:rFonts w:ascii="Arial" w:hAnsi="Arial" w:cs="Arial"/>
          <w:color w:val="000000"/>
          <w:sz w:val="18"/>
          <w:szCs w:val="18"/>
          <w:lang w:val="x-none"/>
        </w:rPr>
        <w:t xml:space="preserve"> – ruchomy element budowlany mający cechy konstrukcyjne okna, spełniający jednocześnie funkcję okna i drzwi; okno o wysokości drzwi umożliwiające dostęp lub przejście.</w:t>
      </w:r>
    </w:p>
    <w:p w14:paraId="5CE19615"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Ślemię</w:t>
      </w:r>
      <w:r>
        <w:rPr>
          <w:rFonts w:ascii="Arial" w:hAnsi="Arial" w:cs="Arial"/>
          <w:color w:val="000000"/>
          <w:sz w:val="18"/>
          <w:szCs w:val="18"/>
          <w:lang w:val="x-none"/>
        </w:rPr>
        <w:t xml:space="preserve"> – poziomy kształtownik znajdujący się między dolnym a górnym ramiakiem ościeżnicy, występujący w przypadku stosowania poziomego podziału otworu okiennego lub drzwiowego.</w:t>
      </w:r>
    </w:p>
    <w:p w14:paraId="5547990A"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Nadproże</w:t>
      </w:r>
      <w:r>
        <w:rPr>
          <w:rFonts w:ascii="Arial" w:hAnsi="Arial" w:cs="Arial"/>
          <w:color w:val="000000"/>
          <w:sz w:val="18"/>
          <w:szCs w:val="18"/>
          <w:lang w:val="x-none"/>
        </w:rPr>
        <w:t xml:space="preserve"> – element konstrukcyjny znajdujący się nad górnym poziomym ramiakiem ościeżnicy.</w:t>
      </w:r>
    </w:p>
    <w:p w14:paraId="36C706AD"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Naświetle</w:t>
      </w:r>
      <w:r>
        <w:rPr>
          <w:rFonts w:ascii="Arial" w:hAnsi="Arial" w:cs="Arial"/>
          <w:color w:val="000000"/>
          <w:sz w:val="18"/>
          <w:szCs w:val="18"/>
          <w:lang w:val="x-none"/>
        </w:rPr>
        <w:t xml:space="preserve"> – ruchomy lub stały  element ściany, usytuowany pomiędzy ślemieniem i nadprożem drzwi przepuszczający światło pomiędzy pomieszczeniami. Naświetle składa się z ościeżnicy i oszklonego skrzydła lub z samej oszklonej ościeżnicy.</w:t>
      </w:r>
    </w:p>
    <w:p w14:paraId="0C57DFDC"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 xml:space="preserve">Okno i drzwi balkonowe krosnowe </w:t>
      </w:r>
      <w:r>
        <w:rPr>
          <w:rFonts w:ascii="Arial" w:hAnsi="Arial" w:cs="Arial"/>
          <w:color w:val="000000"/>
          <w:sz w:val="18"/>
          <w:szCs w:val="18"/>
          <w:lang w:val="x-none"/>
        </w:rPr>
        <w:t>– okno i drzwi balkonowe mające jedną warstwę skrzydeł, w których zamiast ościeżnicy występuje krosno.</w:t>
      </w:r>
    </w:p>
    <w:p w14:paraId="2233B990"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Okno i drzwi balkonowe jednoramowe</w:t>
      </w:r>
      <w:r>
        <w:rPr>
          <w:rFonts w:ascii="Arial" w:hAnsi="Arial" w:cs="Arial"/>
          <w:color w:val="000000"/>
          <w:sz w:val="18"/>
          <w:szCs w:val="18"/>
          <w:lang w:val="x-none"/>
        </w:rPr>
        <w:t xml:space="preserve"> – okno i drzwi balkonowe mające jedną warstwę skrzydeł, szklonych szybami zespolonymi.</w:t>
      </w:r>
    </w:p>
    <w:p w14:paraId="35629D75"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Okno i drzwi balkonowe zespolone</w:t>
      </w:r>
      <w:r>
        <w:rPr>
          <w:rFonts w:ascii="Arial" w:hAnsi="Arial" w:cs="Arial"/>
          <w:color w:val="000000"/>
          <w:sz w:val="18"/>
          <w:szCs w:val="18"/>
          <w:lang w:val="x-none"/>
        </w:rPr>
        <w:t xml:space="preserve"> – okno i drzwi balkonowe mające dwie warstwy skrzydeł, w którym skrzydło zewnętrzne i wewnętrzne połączone jest w jeden zespół.</w:t>
      </w:r>
    </w:p>
    <w:p w14:paraId="233F6AAC"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 xml:space="preserve">Okno i drzwi balkonowe skrzynkowe </w:t>
      </w:r>
      <w:r>
        <w:rPr>
          <w:rFonts w:ascii="Arial" w:hAnsi="Arial" w:cs="Arial"/>
          <w:color w:val="000000"/>
          <w:sz w:val="18"/>
          <w:szCs w:val="18"/>
          <w:lang w:val="x-none"/>
        </w:rPr>
        <w:t>– okno i drzwi balkonowe mające dwie warstwy skrzydeł, w którym na zewnętrznej stronie ościeżnicy jest umocowane krosno, umożliwiające otwieranie skrzydeł zewnętrznych do wewnątrz pomieszczenia.</w:t>
      </w:r>
    </w:p>
    <w:p w14:paraId="52EC01CE"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 xml:space="preserve">Okno i drzwi balkonowe </w:t>
      </w:r>
      <w:proofErr w:type="spellStart"/>
      <w:r>
        <w:rPr>
          <w:rFonts w:ascii="Arial" w:hAnsi="Arial" w:cs="Arial"/>
          <w:b/>
          <w:bCs/>
          <w:color w:val="000000"/>
          <w:sz w:val="18"/>
          <w:szCs w:val="18"/>
          <w:lang w:val="x-none"/>
        </w:rPr>
        <w:t>półskrzynkowe</w:t>
      </w:r>
      <w:proofErr w:type="spellEnd"/>
      <w:r>
        <w:rPr>
          <w:rFonts w:ascii="Arial" w:hAnsi="Arial" w:cs="Arial"/>
          <w:color w:val="000000"/>
          <w:sz w:val="18"/>
          <w:szCs w:val="18"/>
          <w:lang w:val="x-none"/>
        </w:rPr>
        <w:t xml:space="preserve"> – okno i drzwi balkonowe mające dwie warstwy skrzydeł, w którym na zewnętrznej stronie progu i nadproża są umocowane krośniaki, umożliwiające otwieranie skrzydeł zewnętrznych do wewnątrz pomieszczenia.</w:t>
      </w:r>
    </w:p>
    <w:p w14:paraId="430E13F4"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 xml:space="preserve">Okno i drzwi balkonowe ościeżnicowe (polskie) </w:t>
      </w:r>
      <w:r>
        <w:rPr>
          <w:rFonts w:ascii="Arial" w:hAnsi="Arial" w:cs="Arial"/>
          <w:color w:val="000000"/>
          <w:sz w:val="18"/>
          <w:szCs w:val="18"/>
          <w:lang w:val="x-none"/>
        </w:rPr>
        <w:t>– okno i drzwi balkonowe mające dwie warstwy skrzydeł, w którym skrzydła zewnętrzne otwierają się na zewnątrz a wewnętrzne do wewnątrz pomieszczenia.</w:t>
      </w:r>
    </w:p>
    <w:p w14:paraId="0E20427F"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Okno i drzwi balkonowe jednodzielne</w:t>
      </w:r>
      <w:r>
        <w:rPr>
          <w:rFonts w:ascii="Arial" w:hAnsi="Arial" w:cs="Arial"/>
          <w:color w:val="000000"/>
          <w:sz w:val="18"/>
          <w:szCs w:val="18"/>
          <w:lang w:val="x-none"/>
        </w:rPr>
        <w:t xml:space="preserve"> – okno i drzwi balkonowe, które w widoku między stojakami ościeżnicy ma jedno skrzydło.</w:t>
      </w:r>
    </w:p>
    <w:p w14:paraId="06A3C739"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 xml:space="preserve">Okno i drzwi balkonowe dwudzielne </w:t>
      </w:r>
      <w:r>
        <w:rPr>
          <w:rFonts w:ascii="Arial" w:hAnsi="Arial" w:cs="Arial"/>
          <w:color w:val="000000"/>
          <w:sz w:val="18"/>
          <w:szCs w:val="18"/>
          <w:lang w:val="x-none"/>
        </w:rPr>
        <w:t>– okno i drzwi balkonowe, które w widoku między stojakami ościeżnicy ma dwa skrzydła umieszczone obok siebie.</w:t>
      </w:r>
    </w:p>
    <w:p w14:paraId="541E9B51"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Okno trój- i wielodzielne</w:t>
      </w:r>
      <w:r>
        <w:rPr>
          <w:rFonts w:ascii="Arial" w:hAnsi="Arial" w:cs="Arial"/>
          <w:color w:val="000000"/>
          <w:sz w:val="18"/>
          <w:szCs w:val="18"/>
          <w:lang w:val="x-none"/>
        </w:rPr>
        <w:t xml:space="preserve"> – okno, które w widoku między stojakami ościeżnicy ma trzy lub więcej skrzydeł umieszczonych obok siebie.</w:t>
      </w:r>
    </w:p>
    <w:p w14:paraId="35394273"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Okno jednorzędowe</w:t>
      </w:r>
      <w:r>
        <w:rPr>
          <w:rFonts w:ascii="Arial" w:hAnsi="Arial" w:cs="Arial"/>
          <w:color w:val="000000"/>
          <w:sz w:val="18"/>
          <w:szCs w:val="18"/>
          <w:lang w:val="x-none"/>
        </w:rPr>
        <w:t xml:space="preserve"> – okno, które w widoku między progiem i nadprożem ma jedno skrzydło lub jeden rząd skrzydeł.</w:t>
      </w:r>
    </w:p>
    <w:p w14:paraId="70B70F50"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 xml:space="preserve">Okno dwu-, trój- i wielorzędowe (wielopoziomowe) </w:t>
      </w:r>
      <w:r>
        <w:rPr>
          <w:rFonts w:ascii="Arial" w:hAnsi="Arial" w:cs="Arial"/>
          <w:color w:val="000000"/>
          <w:sz w:val="18"/>
          <w:szCs w:val="18"/>
          <w:lang w:val="x-none"/>
        </w:rPr>
        <w:t>– okno, które w widoku między progiem i nadprożem ma dwa, trzy lub więcej rzędów skrzydeł umieszczonych nad sobą.</w:t>
      </w:r>
    </w:p>
    <w:p w14:paraId="39D37297"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 xml:space="preserve">Okno nieotwierane (stałe) </w:t>
      </w:r>
      <w:r>
        <w:rPr>
          <w:rFonts w:ascii="Arial" w:hAnsi="Arial" w:cs="Arial"/>
          <w:color w:val="000000"/>
          <w:sz w:val="18"/>
          <w:szCs w:val="18"/>
          <w:lang w:val="x-none"/>
        </w:rPr>
        <w:t>– okno, w którym szyby osadzone są bezpośrednio w ościeżnicy lub krośnie.</w:t>
      </w:r>
    </w:p>
    <w:p w14:paraId="7FDFCE83"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Okno otwierane stałe</w:t>
      </w:r>
      <w:r>
        <w:rPr>
          <w:rFonts w:ascii="Arial" w:hAnsi="Arial" w:cs="Arial"/>
          <w:color w:val="000000"/>
          <w:sz w:val="18"/>
          <w:szCs w:val="18"/>
          <w:lang w:val="x-none"/>
        </w:rPr>
        <w:t xml:space="preserve"> – okno zawierające jedno lub wiele skrzydeł otwieranych oraz nieotwierane szklone części.</w:t>
      </w:r>
    </w:p>
    <w:p w14:paraId="4802789E"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Okno i drzwi balkonowe rozwierane</w:t>
      </w:r>
      <w:r>
        <w:rPr>
          <w:rFonts w:ascii="Arial" w:hAnsi="Arial" w:cs="Arial"/>
          <w:color w:val="000000"/>
          <w:sz w:val="18"/>
          <w:szCs w:val="18"/>
          <w:lang w:val="x-none"/>
        </w:rPr>
        <w:t xml:space="preserve"> – okno i drzwi balkonowe, w których skrzydła są otwierane przez ich obrót względem osi pionowej przechodzącej przez boczne krawędzie skrzydeł.</w:t>
      </w:r>
    </w:p>
    <w:p w14:paraId="21DA1726"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 xml:space="preserve">Okno, naświetle uchylne </w:t>
      </w:r>
      <w:r>
        <w:rPr>
          <w:rFonts w:ascii="Arial" w:hAnsi="Arial" w:cs="Arial"/>
          <w:color w:val="000000"/>
          <w:sz w:val="18"/>
          <w:szCs w:val="18"/>
          <w:lang w:val="x-none"/>
        </w:rPr>
        <w:t>– okno, naświetle, w którym są skrzydła otwierane przez obrót względem osi poziomej, przechodzącej przez dolną krawędź skrzydła.</w:t>
      </w:r>
    </w:p>
    <w:p w14:paraId="46B6C6CD"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 xml:space="preserve">Okno odchylne </w:t>
      </w:r>
      <w:r>
        <w:rPr>
          <w:rFonts w:ascii="Arial" w:hAnsi="Arial" w:cs="Arial"/>
          <w:color w:val="000000"/>
          <w:sz w:val="18"/>
          <w:szCs w:val="18"/>
          <w:lang w:val="x-none"/>
        </w:rPr>
        <w:t>– okno, w którym skrzydła są otwierane przez obrót względem osi poziomej, przechodzącej przez górną krawędź skrzydła.</w:t>
      </w:r>
    </w:p>
    <w:p w14:paraId="6CF57093"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Okno obrotowe</w:t>
      </w:r>
      <w:r>
        <w:rPr>
          <w:rFonts w:ascii="Arial" w:hAnsi="Arial" w:cs="Arial"/>
          <w:color w:val="000000"/>
          <w:sz w:val="18"/>
          <w:szCs w:val="18"/>
          <w:lang w:val="x-none"/>
        </w:rPr>
        <w:t xml:space="preserve"> – okno, w którym skrzydła są otwierane przez obrót względem osi pionowej nieprzechodzącej przez krawędzie skrzydła.</w:t>
      </w:r>
    </w:p>
    <w:p w14:paraId="1EECA9E5"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Okno przechylne</w:t>
      </w:r>
      <w:r>
        <w:rPr>
          <w:rFonts w:ascii="Arial" w:hAnsi="Arial" w:cs="Arial"/>
          <w:color w:val="000000"/>
          <w:sz w:val="18"/>
          <w:szCs w:val="18"/>
          <w:lang w:val="x-none"/>
        </w:rPr>
        <w:t xml:space="preserve"> – okno, w którym skrzydła są otwierane względem osi poziomej nie- przechodzącej przez krawędzie skrzydła.</w:t>
      </w:r>
    </w:p>
    <w:p w14:paraId="783E7EA5"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 xml:space="preserve">Okno przesuwane </w:t>
      </w:r>
      <w:r>
        <w:rPr>
          <w:rFonts w:ascii="Arial" w:hAnsi="Arial" w:cs="Arial"/>
          <w:color w:val="000000"/>
          <w:sz w:val="18"/>
          <w:szCs w:val="18"/>
          <w:lang w:val="x-none"/>
        </w:rPr>
        <w:t>– okno, w którym skrzydła są otwierane przez przesunięcie w kierunku poziomym lub pionowym w płaszczyźnie równoległej do płaszczyzny ściany.</w:t>
      </w:r>
    </w:p>
    <w:p w14:paraId="108D7296"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 xml:space="preserve">Dyble ramowe (klocki rozporowe) </w:t>
      </w:r>
      <w:r>
        <w:rPr>
          <w:rFonts w:ascii="Arial" w:hAnsi="Arial" w:cs="Arial"/>
          <w:color w:val="000000"/>
          <w:sz w:val="18"/>
          <w:szCs w:val="18"/>
          <w:lang w:val="x-none"/>
        </w:rPr>
        <w:t>– rozprężne łączniki metalowe lub z rozporową częścią tworzywową, przeznaczone do bezpośredniego montażu okien i drzwi balkonowych.</w:t>
      </w:r>
    </w:p>
    <w:p w14:paraId="1D7194AC"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Wkręty ramowe</w:t>
      </w:r>
      <w:r>
        <w:rPr>
          <w:rFonts w:ascii="Arial" w:hAnsi="Arial" w:cs="Arial"/>
          <w:color w:val="000000"/>
          <w:sz w:val="18"/>
          <w:szCs w:val="18"/>
          <w:lang w:val="x-none"/>
        </w:rPr>
        <w:t xml:space="preserve"> – specjalne wkręty z gwintem na całej długości, przeznaczone do bezpośredniego montażu okien i drzwi balkonowych.</w:t>
      </w:r>
    </w:p>
    <w:p w14:paraId="29615C75"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 xml:space="preserve">Klocki dystansowe </w:t>
      </w:r>
      <w:r>
        <w:rPr>
          <w:rFonts w:ascii="Arial" w:hAnsi="Arial" w:cs="Arial"/>
          <w:color w:val="000000"/>
          <w:sz w:val="18"/>
          <w:szCs w:val="18"/>
          <w:lang w:val="x-none"/>
        </w:rPr>
        <w:t>– klocki drewniane lub z tworzywa sztucznego, przeznaczone do ustawienia okna w otworze (usuwane po zamontowaniu okna).</w:t>
      </w:r>
    </w:p>
    <w:p w14:paraId="1724C368"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Klocki podporowe</w:t>
      </w:r>
      <w:r>
        <w:rPr>
          <w:rFonts w:ascii="Arial" w:hAnsi="Arial" w:cs="Arial"/>
          <w:color w:val="000000"/>
          <w:sz w:val="18"/>
          <w:szCs w:val="18"/>
          <w:lang w:val="x-none"/>
        </w:rPr>
        <w:t xml:space="preserve"> – elementy sztywne (praktycznie nieodkształcalne pod  wpływem obciążeń lub zmian temperatury i wilgoci) zapewniające skuteczne przeniesienie ciężaru okna na ościeże, z reguły wykonane z tworzywa sztucznego lub twardego, impregnowanego drewna.</w:t>
      </w:r>
    </w:p>
    <w:p w14:paraId="78692A85"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Konsola</w:t>
      </w:r>
      <w:r>
        <w:rPr>
          <w:rFonts w:ascii="Arial" w:hAnsi="Arial" w:cs="Arial"/>
          <w:color w:val="000000"/>
          <w:sz w:val="18"/>
          <w:szCs w:val="18"/>
          <w:lang w:val="x-none"/>
        </w:rPr>
        <w:t xml:space="preserve"> – element stalowy przeznaczony do podparcia okien montowanych w strefie izolacji termicznej (wysuniętych poza lico muru), pozwalający na regulację położenia okna po zamocowaniu w ościeżu.</w:t>
      </w:r>
    </w:p>
    <w:p w14:paraId="759123EE"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Jednostka ładunkowa kontenerowa</w:t>
      </w:r>
      <w:r>
        <w:rPr>
          <w:rFonts w:ascii="Arial" w:hAnsi="Arial" w:cs="Arial"/>
          <w:color w:val="000000"/>
          <w:sz w:val="18"/>
          <w:szCs w:val="18"/>
          <w:lang w:val="x-none"/>
        </w:rPr>
        <w:t xml:space="preserve"> – jednostka ładunkowa uformowana przy użyciu kontenera.</w:t>
      </w:r>
    </w:p>
    <w:p w14:paraId="5C1C45CA"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43AE389D"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1.6.</w:t>
      </w:r>
      <w:r>
        <w:rPr>
          <w:rFonts w:ascii="Arial" w:hAnsi="Arial" w:cs="Arial"/>
          <w:b/>
          <w:bCs/>
          <w:color w:val="000000"/>
          <w:sz w:val="18"/>
          <w:szCs w:val="18"/>
          <w:lang w:val="x-none"/>
        </w:rPr>
        <w:tab/>
        <w:t>Ogólne wymagania dotyczące robót</w:t>
      </w:r>
    </w:p>
    <w:p w14:paraId="0DBEBDE6"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Wykonawca robót jest odpowiedzialny za jakość ich wykonania oraz za zgodność z dokumentacją projektową, specyfikacjami technicznymi i poleceniami Inspektora nadzoru. Ogólne powszechnie stosowane wymagania dotyczące robót podano w ST „Wymagania ogólne” Kod CPV 45000000-7, pkt 1.5.</w:t>
      </w:r>
    </w:p>
    <w:p w14:paraId="6987D261"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1A9ECB6D"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1.7.</w:t>
      </w:r>
      <w:r>
        <w:rPr>
          <w:rFonts w:ascii="Arial" w:hAnsi="Arial" w:cs="Arial"/>
          <w:b/>
          <w:bCs/>
          <w:color w:val="000000"/>
          <w:sz w:val="18"/>
          <w:szCs w:val="18"/>
          <w:lang w:val="x-none"/>
        </w:rPr>
        <w:tab/>
        <w:t>Dokumentacja montażu okien i drzwi balkonowych</w:t>
      </w:r>
    </w:p>
    <w:p w14:paraId="58EED58F"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Montaż okien i drzwi balkonowych należy wykonywać na podstawie dokumentacji, której wykaz oraz podstawy prawne sporządzenia podano w ST „Wymagania ogólne” Kod CPV 45000000-7, pkt 1.6.</w:t>
      </w:r>
    </w:p>
    <w:p w14:paraId="5D83BB4B"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1.8.</w:t>
      </w:r>
      <w:r>
        <w:rPr>
          <w:rFonts w:ascii="Arial" w:hAnsi="Arial" w:cs="Arial"/>
          <w:b/>
          <w:bCs/>
          <w:color w:val="000000"/>
          <w:sz w:val="18"/>
          <w:szCs w:val="18"/>
          <w:lang w:val="x-none"/>
        </w:rPr>
        <w:tab/>
        <w:t>Nazwy i kody robót objętych zamówieniem:</w:t>
      </w:r>
    </w:p>
    <w:p w14:paraId="21B51F1D" w14:textId="77777777" w:rsidR="000A3B2B" w:rsidRDefault="000A3B2B" w:rsidP="009E5295">
      <w:pPr>
        <w:autoSpaceDE w:val="0"/>
        <w:autoSpaceDN w:val="0"/>
        <w:adjustRightInd w:val="0"/>
        <w:spacing w:after="30" w:line="240" w:lineRule="auto"/>
        <w:jc w:val="both"/>
        <w:rPr>
          <w:rFonts w:ascii="Arial" w:hAnsi="Arial" w:cs="Arial"/>
          <w:b/>
          <w:bCs/>
          <w:color w:val="000000"/>
          <w:sz w:val="18"/>
          <w:szCs w:val="18"/>
          <w:lang w:val="x-none"/>
        </w:rPr>
      </w:pPr>
      <w:r>
        <w:rPr>
          <w:rFonts w:ascii="Arial" w:hAnsi="Arial" w:cs="Arial"/>
          <w:b/>
          <w:bCs/>
          <w:color w:val="000000"/>
          <w:sz w:val="18"/>
          <w:szCs w:val="18"/>
          <w:lang w:val="x-none"/>
        </w:rPr>
        <w:t>Grupy robót, klasy robót lub kategorie robót</w:t>
      </w:r>
    </w:p>
    <w:tbl>
      <w:tblPr>
        <w:tblW w:w="0" w:type="auto"/>
        <w:tblCellSpacing w:w="0" w:type="dxa"/>
        <w:tblInd w:w="-8" w:type="dxa"/>
        <w:tblLayout w:type="fixed"/>
        <w:tblCellMar>
          <w:left w:w="0" w:type="dxa"/>
          <w:right w:w="0" w:type="dxa"/>
        </w:tblCellMar>
        <w:tblLook w:val="0000" w:firstRow="0" w:lastRow="0" w:firstColumn="0" w:lastColumn="0" w:noHBand="0" w:noVBand="0"/>
      </w:tblPr>
      <w:tblGrid>
        <w:gridCol w:w="278"/>
        <w:gridCol w:w="194"/>
        <w:gridCol w:w="300"/>
        <w:gridCol w:w="196"/>
        <w:gridCol w:w="300"/>
        <w:gridCol w:w="194"/>
        <w:gridCol w:w="300"/>
        <w:gridCol w:w="196"/>
        <w:gridCol w:w="300"/>
        <w:gridCol w:w="194"/>
        <w:gridCol w:w="300"/>
        <w:gridCol w:w="196"/>
        <w:gridCol w:w="300"/>
        <w:gridCol w:w="194"/>
        <w:gridCol w:w="300"/>
        <w:gridCol w:w="390"/>
        <w:gridCol w:w="300"/>
        <w:gridCol w:w="196"/>
        <w:gridCol w:w="4623"/>
      </w:tblGrid>
      <w:tr w:rsidR="000A3B2B" w14:paraId="24254C0D" w14:textId="77777777" w:rsidTr="00773D74">
        <w:trPr>
          <w:trHeight w:val="60"/>
          <w:tblCellSpacing w:w="0" w:type="dxa"/>
        </w:trPr>
        <w:tc>
          <w:tcPr>
            <w:tcW w:w="278" w:type="dxa"/>
            <w:tcBorders>
              <w:top w:val="single" w:sz="6" w:space="0" w:color="000000"/>
              <w:left w:val="single" w:sz="6" w:space="0" w:color="000000"/>
              <w:bottom w:val="single" w:sz="6" w:space="0" w:color="000000"/>
              <w:right w:val="single" w:sz="6" w:space="0" w:color="000000"/>
            </w:tcBorders>
          </w:tcPr>
          <w:p w14:paraId="3C776078" w14:textId="77777777" w:rsidR="000A3B2B" w:rsidRPr="00773D74" w:rsidRDefault="000A3B2B">
            <w:pPr>
              <w:autoSpaceDE w:val="0"/>
              <w:autoSpaceDN w:val="0"/>
              <w:adjustRightInd w:val="0"/>
              <w:spacing w:after="0" w:line="240" w:lineRule="auto"/>
              <w:rPr>
                <w:rFonts w:ascii="Arial" w:hAnsi="Arial" w:cs="Arial"/>
                <w:sz w:val="24"/>
                <w:szCs w:val="24"/>
              </w:rPr>
            </w:pPr>
            <w:r>
              <w:rPr>
                <w:rFonts w:ascii="Arial" w:hAnsi="Arial" w:cs="Arial"/>
                <w:sz w:val="24"/>
                <w:szCs w:val="24"/>
              </w:rPr>
              <w:t>4</w:t>
            </w:r>
          </w:p>
        </w:tc>
        <w:tc>
          <w:tcPr>
            <w:tcW w:w="194" w:type="dxa"/>
            <w:tcBorders>
              <w:top w:val="nil"/>
              <w:left w:val="single" w:sz="6" w:space="0" w:color="000000"/>
              <w:bottom w:val="nil"/>
              <w:right w:val="single" w:sz="6" w:space="0" w:color="000000"/>
            </w:tcBorders>
          </w:tcPr>
          <w:p w14:paraId="4ABCB9A1"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300" w:type="dxa"/>
            <w:tcBorders>
              <w:top w:val="single" w:sz="6" w:space="0" w:color="000000"/>
              <w:left w:val="single" w:sz="6" w:space="0" w:color="000000"/>
              <w:bottom w:val="single" w:sz="6" w:space="0" w:color="000000"/>
              <w:right w:val="single" w:sz="6" w:space="0" w:color="000000"/>
            </w:tcBorders>
          </w:tcPr>
          <w:p w14:paraId="452A2DC1" w14:textId="77777777" w:rsidR="000A3B2B" w:rsidRPr="00773D74" w:rsidRDefault="000A3B2B">
            <w:pPr>
              <w:autoSpaceDE w:val="0"/>
              <w:autoSpaceDN w:val="0"/>
              <w:adjustRightInd w:val="0"/>
              <w:spacing w:after="0" w:line="240" w:lineRule="auto"/>
              <w:rPr>
                <w:rFonts w:ascii="Arial" w:hAnsi="Arial" w:cs="Arial"/>
                <w:sz w:val="24"/>
                <w:szCs w:val="24"/>
              </w:rPr>
            </w:pPr>
            <w:r>
              <w:rPr>
                <w:rFonts w:ascii="Arial" w:hAnsi="Arial" w:cs="Arial"/>
                <w:sz w:val="24"/>
                <w:szCs w:val="24"/>
              </w:rPr>
              <w:t>5</w:t>
            </w:r>
          </w:p>
        </w:tc>
        <w:tc>
          <w:tcPr>
            <w:tcW w:w="196" w:type="dxa"/>
            <w:tcBorders>
              <w:top w:val="nil"/>
              <w:left w:val="single" w:sz="6" w:space="0" w:color="000000"/>
              <w:bottom w:val="nil"/>
              <w:right w:val="single" w:sz="6" w:space="0" w:color="000000"/>
            </w:tcBorders>
          </w:tcPr>
          <w:p w14:paraId="7E2A1DE6"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300" w:type="dxa"/>
            <w:tcBorders>
              <w:top w:val="single" w:sz="6" w:space="0" w:color="000000"/>
              <w:left w:val="single" w:sz="6" w:space="0" w:color="000000"/>
              <w:bottom w:val="single" w:sz="6" w:space="0" w:color="000000"/>
              <w:right w:val="single" w:sz="6" w:space="0" w:color="000000"/>
            </w:tcBorders>
          </w:tcPr>
          <w:p w14:paraId="30CA0A20" w14:textId="77777777" w:rsidR="000A3B2B" w:rsidRPr="00773D74" w:rsidRDefault="000A3B2B">
            <w:pPr>
              <w:autoSpaceDE w:val="0"/>
              <w:autoSpaceDN w:val="0"/>
              <w:adjustRightInd w:val="0"/>
              <w:spacing w:after="0" w:line="240" w:lineRule="auto"/>
              <w:rPr>
                <w:rFonts w:ascii="Arial" w:hAnsi="Arial" w:cs="Arial"/>
                <w:sz w:val="24"/>
                <w:szCs w:val="24"/>
              </w:rPr>
            </w:pPr>
            <w:r>
              <w:rPr>
                <w:rFonts w:ascii="Arial" w:hAnsi="Arial" w:cs="Arial"/>
                <w:sz w:val="24"/>
                <w:szCs w:val="24"/>
              </w:rPr>
              <w:t>4</w:t>
            </w:r>
          </w:p>
        </w:tc>
        <w:tc>
          <w:tcPr>
            <w:tcW w:w="194" w:type="dxa"/>
            <w:tcBorders>
              <w:top w:val="nil"/>
              <w:left w:val="single" w:sz="6" w:space="0" w:color="000000"/>
              <w:bottom w:val="nil"/>
              <w:right w:val="single" w:sz="6" w:space="0" w:color="000000"/>
            </w:tcBorders>
          </w:tcPr>
          <w:p w14:paraId="51F333FB"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300" w:type="dxa"/>
            <w:tcBorders>
              <w:top w:val="single" w:sz="6" w:space="0" w:color="000000"/>
              <w:left w:val="single" w:sz="6" w:space="0" w:color="000000"/>
              <w:bottom w:val="single" w:sz="6" w:space="0" w:color="000000"/>
              <w:right w:val="single" w:sz="6" w:space="0" w:color="000000"/>
            </w:tcBorders>
          </w:tcPr>
          <w:p w14:paraId="7A1E1386" w14:textId="77777777" w:rsidR="000A3B2B" w:rsidRPr="00773D74" w:rsidRDefault="000A3B2B">
            <w:pPr>
              <w:autoSpaceDE w:val="0"/>
              <w:autoSpaceDN w:val="0"/>
              <w:adjustRightInd w:val="0"/>
              <w:spacing w:after="0" w:line="240" w:lineRule="auto"/>
              <w:rPr>
                <w:rFonts w:ascii="Arial" w:hAnsi="Arial" w:cs="Arial"/>
                <w:sz w:val="24"/>
                <w:szCs w:val="24"/>
              </w:rPr>
            </w:pPr>
            <w:r>
              <w:rPr>
                <w:rFonts w:ascii="Arial" w:hAnsi="Arial" w:cs="Arial"/>
                <w:sz w:val="24"/>
                <w:szCs w:val="24"/>
              </w:rPr>
              <w:t>2</w:t>
            </w:r>
          </w:p>
        </w:tc>
        <w:tc>
          <w:tcPr>
            <w:tcW w:w="196" w:type="dxa"/>
            <w:tcBorders>
              <w:top w:val="nil"/>
              <w:left w:val="single" w:sz="6" w:space="0" w:color="000000"/>
              <w:bottom w:val="nil"/>
              <w:right w:val="single" w:sz="6" w:space="0" w:color="000000"/>
            </w:tcBorders>
          </w:tcPr>
          <w:p w14:paraId="6EDFF8BC"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300" w:type="dxa"/>
            <w:tcBorders>
              <w:top w:val="single" w:sz="6" w:space="0" w:color="000000"/>
              <w:left w:val="single" w:sz="6" w:space="0" w:color="000000"/>
              <w:bottom w:val="single" w:sz="6" w:space="0" w:color="000000"/>
              <w:right w:val="single" w:sz="6" w:space="0" w:color="000000"/>
            </w:tcBorders>
          </w:tcPr>
          <w:p w14:paraId="21562448" w14:textId="77777777" w:rsidR="000A3B2B" w:rsidRPr="00773D74" w:rsidRDefault="000A3B2B">
            <w:pPr>
              <w:autoSpaceDE w:val="0"/>
              <w:autoSpaceDN w:val="0"/>
              <w:adjustRightInd w:val="0"/>
              <w:spacing w:after="0" w:line="240" w:lineRule="auto"/>
              <w:rPr>
                <w:rFonts w:ascii="Arial" w:hAnsi="Arial" w:cs="Arial"/>
                <w:sz w:val="24"/>
                <w:szCs w:val="24"/>
              </w:rPr>
            </w:pPr>
            <w:r>
              <w:rPr>
                <w:rFonts w:ascii="Arial" w:hAnsi="Arial" w:cs="Arial"/>
                <w:sz w:val="24"/>
                <w:szCs w:val="24"/>
              </w:rPr>
              <w:t>1</w:t>
            </w:r>
          </w:p>
        </w:tc>
        <w:tc>
          <w:tcPr>
            <w:tcW w:w="194" w:type="dxa"/>
            <w:tcBorders>
              <w:top w:val="nil"/>
              <w:left w:val="single" w:sz="6" w:space="0" w:color="000000"/>
              <w:bottom w:val="nil"/>
              <w:right w:val="single" w:sz="6" w:space="0" w:color="000000"/>
            </w:tcBorders>
          </w:tcPr>
          <w:p w14:paraId="00BAABDC"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300" w:type="dxa"/>
            <w:tcBorders>
              <w:top w:val="single" w:sz="6" w:space="0" w:color="000000"/>
              <w:left w:val="single" w:sz="6" w:space="0" w:color="000000"/>
              <w:bottom w:val="single" w:sz="6" w:space="0" w:color="000000"/>
              <w:right w:val="single" w:sz="6" w:space="0" w:color="000000"/>
            </w:tcBorders>
          </w:tcPr>
          <w:p w14:paraId="145FD843" w14:textId="77777777" w:rsidR="000A3B2B" w:rsidRPr="00773D74" w:rsidRDefault="000A3B2B">
            <w:pPr>
              <w:autoSpaceDE w:val="0"/>
              <w:autoSpaceDN w:val="0"/>
              <w:adjustRightInd w:val="0"/>
              <w:spacing w:after="0" w:line="240" w:lineRule="auto"/>
              <w:rPr>
                <w:rFonts w:ascii="Arial" w:hAnsi="Arial" w:cs="Arial"/>
                <w:sz w:val="24"/>
                <w:szCs w:val="24"/>
              </w:rPr>
            </w:pPr>
            <w:r>
              <w:rPr>
                <w:rFonts w:ascii="Arial" w:hAnsi="Arial" w:cs="Arial"/>
                <w:sz w:val="24"/>
                <w:szCs w:val="24"/>
              </w:rPr>
              <w:t>1</w:t>
            </w:r>
          </w:p>
        </w:tc>
        <w:tc>
          <w:tcPr>
            <w:tcW w:w="196" w:type="dxa"/>
            <w:tcBorders>
              <w:top w:val="nil"/>
              <w:left w:val="single" w:sz="6" w:space="0" w:color="000000"/>
              <w:bottom w:val="nil"/>
              <w:right w:val="single" w:sz="6" w:space="0" w:color="000000"/>
            </w:tcBorders>
          </w:tcPr>
          <w:p w14:paraId="3BF844CE"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300" w:type="dxa"/>
            <w:tcBorders>
              <w:top w:val="single" w:sz="6" w:space="0" w:color="000000"/>
              <w:left w:val="single" w:sz="6" w:space="0" w:color="000000"/>
              <w:bottom w:val="single" w:sz="6" w:space="0" w:color="000000"/>
              <w:right w:val="single" w:sz="6" w:space="0" w:color="000000"/>
            </w:tcBorders>
          </w:tcPr>
          <w:p w14:paraId="3E74563C" w14:textId="77777777" w:rsidR="000A3B2B" w:rsidRPr="00773D74" w:rsidRDefault="000A3B2B">
            <w:pPr>
              <w:autoSpaceDE w:val="0"/>
              <w:autoSpaceDN w:val="0"/>
              <w:adjustRightInd w:val="0"/>
              <w:spacing w:after="0" w:line="240" w:lineRule="auto"/>
              <w:rPr>
                <w:rFonts w:ascii="Arial" w:hAnsi="Arial" w:cs="Arial"/>
                <w:sz w:val="24"/>
                <w:szCs w:val="24"/>
              </w:rPr>
            </w:pPr>
            <w:r>
              <w:rPr>
                <w:rFonts w:ascii="Arial" w:hAnsi="Arial" w:cs="Arial"/>
                <w:sz w:val="24"/>
                <w:szCs w:val="24"/>
              </w:rPr>
              <w:t>0</w:t>
            </w:r>
          </w:p>
        </w:tc>
        <w:tc>
          <w:tcPr>
            <w:tcW w:w="194" w:type="dxa"/>
            <w:tcBorders>
              <w:top w:val="nil"/>
              <w:left w:val="single" w:sz="6" w:space="0" w:color="000000"/>
              <w:bottom w:val="nil"/>
              <w:right w:val="single" w:sz="6" w:space="0" w:color="000000"/>
            </w:tcBorders>
          </w:tcPr>
          <w:p w14:paraId="101D1138"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300" w:type="dxa"/>
            <w:tcBorders>
              <w:top w:val="single" w:sz="6" w:space="0" w:color="000000"/>
              <w:left w:val="single" w:sz="6" w:space="0" w:color="000000"/>
              <w:bottom w:val="single" w:sz="6" w:space="0" w:color="000000"/>
              <w:right w:val="single" w:sz="6" w:space="0" w:color="000000"/>
            </w:tcBorders>
          </w:tcPr>
          <w:p w14:paraId="462A4784" w14:textId="77777777" w:rsidR="000A3B2B" w:rsidRPr="00773D74" w:rsidRDefault="000A3B2B">
            <w:pPr>
              <w:autoSpaceDE w:val="0"/>
              <w:autoSpaceDN w:val="0"/>
              <w:adjustRightInd w:val="0"/>
              <w:spacing w:after="0" w:line="240" w:lineRule="auto"/>
              <w:rPr>
                <w:rFonts w:ascii="Arial" w:hAnsi="Arial" w:cs="Arial"/>
                <w:sz w:val="24"/>
                <w:szCs w:val="24"/>
              </w:rPr>
            </w:pPr>
            <w:r>
              <w:rPr>
                <w:rFonts w:ascii="Arial" w:hAnsi="Arial" w:cs="Arial"/>
                <w:sz w:val="24"/>
                <w:szCs w:val="24"/>
              </w:rPr>
              <w:t>0</w:t>
            </w:r>
          </w:p>
        </w:tc>
        <w:tc>
          <w:tcPr>
            <w:tcW w:w="390" w:type="dxa"/>
            <w:tcBorders>
              <w:top w:val="nil"/>
              <w:left w:val="single" w:sz="6" w:space="0" w:color="000000"/>
              <w:bottom w:val="nil"/>
              <w:right w:val="single" w:sz="6" w:space="0" w:color="000000"/>
            </w:tcBorders>
            <w:vAlign w:val="center"/>
          </w:tcPr>
          <w:p w14:paraId="5F06794E" w14:textId="77777777" w:rsidR="000A3B2B" w:rsidRDefault="000A3B2B">
            <w:pPr>
              <w:tabs>
                <w:tab w:val="right" w:pos="7035"/>
              </w:tabs>
              <w:autoSpaceDE w:val="0"/>
              <w:autoSpaceDN w:val="0"/>
              <w:adjustRightInd w:val="0"/>
              <w:spacing w:after="0" w:line="288" w:lineRule="auto"/>
              <w:jc w:val="center"/>
              <w:rPr>
                <w:rFonts w:ascii="Times New Roman" w:hAnsi="Times New Roman" w:cs="Times New Roman"/>
                <w:color w:val="000000"/>
                <w:sz w:val="24"/>
                <w:szCs w:val="24"/>
                <w:lang w:val="x-none"/>
              </w:rPr>
            </w:pPr>
            <w:r>
              <w:rPr>
                <w:rFonts w:ascii="Times New Roman" w:hAnsi="Times New Roman" w:cs="Times New Roman"/>
                <w:color w:val="000000"/>
                <w:sz w:val="24"/>
                <w:szCs w:val="24"/>
                <w:lang w:val="x-none"/>
              </w:rPr>
              <w:t>–</w:t>
            </w:r>
          </w:p>
        </w:tc>
        <w:tc>
          <w:tcPr>
            <w:tcW w:w="300" w:type="dxa"/>
            <w:tcBorders>
              <w:top w:val="single" w:sz="6" w:space="0" w:color="000000"/>
              <w:left w:val="single" w:sz="6" w:space="0" w:color="000000"/>
              <w:bottom w:val="single" w:sz="6" w:space="0" w:color="000000"/>
              <w:right w:val="single" w:sz="6" w:space="0" w:color="000000"/>
            </w:tcBorders>
          </w:tcPr>
          <w:p w14:paraId="166883D3" w14:textId="77777777" w:rsidR="000A3B2B" w:rsidRPr="00773D74" w:rsidRDefault="000A3B2B">
            <w:pPr>
              <w:autoSpaceDE w:val="0"/>
              <w:autoSpaceDN w:val="0"/>
              <w:adjustRightInd w:val="0"/>
              <w:spacing w:after="0" w:line="240" w:lineRule="auto"/>
              <w:rPr>
                <w:rFonts w:ascii="Arial" w:hAnsi="Arial" w:cs="Arial"/>
                <w:sz w:val="24"/>
                <w:szCs w:val="24"/>
              </w:rPr>
            </w:pPr>
            <w:r>
              <w:rPr>
                <w:rFonts w:ascii="Arial" w:hAnsi="Arial" w:cs="Arial"/>
                <w:sz w:val="24"/>
                <w:szCs w:val="24"/>
              </w:rPr>
              <w:t>5</w:t>
            </w:r>
          </w:p>
        </w:tc>
        <w:tc>
          <w:tcPr>
            <w:tcW w:w="196" w:type="dxa"/>
            <w:tcBorders>
              <w:top w:val="nil"/>
              <w:left w:val="single" w:sz="6" w:space="0" w:color="000000"/>
              <w:bottom w:val="nil"/>
              <w:right w:val="nil"/>
            </w:tcBorders>
          </w:tcPr>
          <w:p w14:paraId="4295EB00"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4623" w:type="dxa"/>
            <w:tcBorders>
              <w:top w:val="nil"/>
              <w:left w:val="nil"/>
              <w:bottom w:val="single" w:sz="6" w:space="0" w:color="auto"/>
              <w:right w:val="nil"/>
            </w:tcBorders>
            <w:vAlign w:val="bottom"/>
          </w:tcPr>
          <w:p w14:paraId="0C65456E" w14:textId="77777777" w:rsidR="000A3B2B" w:rsidRDefault="000A3B2B">
            <w:pPr>
              <w:autoSpaceDE w:val="0"/>
              <w:autoSpaceDN w:val="0"/>
              <w:adjustRightInd w:val="0"/>
              <w:spacing w:after="0" w:line="240" w:lineRule="auto"/>
              <w:rPr>
                <w:rFonts w:ascii="Arial" w:hAnsi="Arial" w:cs="Arial"/>
                <w:sz w:val="24"/>
                <w:szCs w:val="24"/>
                <w:lang w:val="x-none"/>
              </w:rPr>
            </w:pPr>
            <w:r>
              <w:t>Instalowanie drzwi i okien, i podobnych elementów</w:t>
            </w:r>
          </w:p>
        </w:tc>
      </w:tr>
    </w:tbl>
    <w:p w14:paraId="45E36650"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3FD8F1DD" w14:textId="77777777" w:rsidR="000A3B2B" w:rsidRDefault="000A3B2B" w:rsidP="009E5295">
      <w:pPr>
        <w:autoSpaceDE w:val="0"/>
        <w:autoSpaceDN w:val="0"/>
        <w:adjustRightInd w:val="0"/>
        <w:spacing w:before="225" w:after="12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2.</w:t>
      </w:r>
      <w:r>
        <w:rPr>
          <w:rFonts w:ascii="Arial" w:hAnsi="Arial" w:cs="Arial"/>
          <w:b/>
          <w:bCs/>
          <w:color w:val="000000"/>
          <w:sz w:val="18"/>
          <w:szCs w:val="18"/>
          <w:lang w:val="x-none"/>
        </w:rPr>
        <w:tab/>
        <w:t>WYMAGANIA DOTYCZĄCE MATERIAŁÓW</w:t>
      </w:r>
    </w:p>
    <w:p w14:paraId="00C38D38"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2.1.</w:t>
      </w:r>
      <w:r>
        <w:rPr>
          <w:rFonts w:ascii="Arial" w:hAnsi="Arial" w:cs="Arial"/>
          <w:b/>
          <w:bCs/>
          <w:color w:val="000000"/>
          <w:sz w:val="18"/>
          <w:szCs w:val="18"/>
          <w:lang w:val="x-none"/>
        </w:rPr>
        <w:tab/>
        <w:t>Ogólne wymagania dotyczące materiałów, ich pozyskiwania i składowania podano w ST „Wymagania ogólne” Kod CPV 45000000-7, pkt 2</w:t>
      </w:r>
    </w:p>
    <w:p w14:paraId="690D6054"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Materiały stosowane przy montażu okien i drzwi balkonowych, będące wyrobami budowlanymi w myśl Ustawy o wyrobach budowlanych z dnia 16 kwietnia 2004 r. (tekst jednolity Dz. U. z 2016 r. Nr 0 poz. 1570) oraz Rozporządzenia Parlamentu Europejskiego i Rady (UE) Nr 305/2011 z dnia 9 marca 2011 r. ustanawiającego zharmonizowane warunki wprowadzania do obrotu wyrobów budowlanych i uchylającego dyrektywę Rady 89/106/EWG, mogą być wprowadzone do obrotu lub udostępniane na rynku krajowym, jeżeli nadają się do stosowania przy wykonywaniu robót budowlanych, w zakresie odpowiadającym ich właściwościom użytkowym i zamierzonemu zastosowaniu co oznacza, że ich właściwości użytkowe umożliwiają – prawidłowo zaprojektowanym i wykonanym obiektom budowlanym, w których mają być one zastosowane w sposób trwały – spełnienie podstawowych wymagań, o  których mowa w art. 5 ust. 1 pkt. 1 ustawy z dnia 7 lipca 1994 r. – Prawo budowlane (tekst jednolity Dz. U. z 2016 r. nr 0 poz. 290).</w:t>
      </w:r>
    </w:p>
    <w:p w14:paraId="41355F31"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 Wszystkie materiały wykorzystywane do montażu okien i drzwi balkonowych powinny być wprowadzone do obrotu lub udostępnione na rynku krajowym zgodnie z właściwymi przepisami, a więc posiadać:</w:t>
      </w:r>
    </w:p>
    <w:p w14:paraId="3791B697"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oznakowanie znakiem CE co oznacza, że dokonano oceny ich zgodności ze zharmonizowaną normą europejską wprowadzoną do zbioru Polskich Norm lub z europejską oceną techniczną, albo</w:t>
      </w:r>
    </w:p>
    <w:p w14:paraId="6C1685E3"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oznakowanie znakiem budowlanym, co oznacza że są to wyroby nieobjęte normą zharmonizowaną – dla której zakończył się okres koegzystencji – i dla których nie została wydana europejska ocena techniczna, a dokonano oceny zgodności z Polską Normą lub aprobatą techniczną (do końca okresu ważności tej aprobaty wydanej do 31 grudnia 2016 r., a później krajową oceną techniczną), bądź uznano za „regionalny wyrób budowlany”, albo</w:t>
      </w:r>
    </w:p>
    <w:p w14:paraId="371B36CC"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legalne  wprowadzenie do obrotu w innym państwie członkowskim Unii Europejskiej lub w państwie członkowskim Europejskiego Porozumienia o Wolnym Handlu (EFTA) – stronie umowy o Europejskim Obszarze Gospodarczym oraz w Turcji, o ile wyroby  budowlane udostępniane na rynku krajowym są nieobjęte zakresem przedmiotowym zharmonizowanych specyfikacji technicznych, o których mowa w art. 2 pkt 10 rozporządzenia Nr 305/2011, a ich właściwości użytkowe umożliwiają spełnienie podstawowych wymagań przez obiekty budowlane zaprojektowane i budowane w sposób określony w przepisach techniczno-budowlanych, oraz zgodnie z zasadami wiedzy technicznej (wraz z wyrobem budowlanym udostępnianym na rynku krajowym dostarcza się informacje o jego właściwościach użytkowych oznaczonych zgodnie z przepisami państwa, w którym wyrób budowlany został wprowadzony do obrotu, instrukcje stosowania, instrukcje obsługi oraz informacje dotyczące zagrożenia dla zdrowia i bezpieczeństwa, jakie ten wyrób stwarza podczas stosowania i użytkowania), albo</w:t>
      </w:r>
    </w:p>
    <w:p w14:paraId="2A120827"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dopuszczenie do jednostkowego zastosowania w obiekcie budowlanym.</w:t>
      </w:r>
    </w:p>
    <w:p w14:paraId="10CF840E"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Oznakowanie materiałów powinno umożliwiać identyfikację producenta i typu wyrobu, kraju pochodzenia oraz daty produkcji.</w:t>
      </w:r>
    </w:p>
    <w:p w14:paraId="0409D64B"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086EC07C"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2.2.</w:t>
      </w:r>
      <w:r>
        <w:rPr>
          <w:rFonts w:ascii="Arial" w:hAnsi="Arial" w:cs="Arial"/>
          <w:b/>
          <w:bCs/>
          <w:color w:val="000000"/>
          <w:sz w:val="18"/>
          <w:szCs w:val="18"/>
          <w:lang w:val="x-none"/>
        </w:rPr>
        <w:tab/>
        <w:t>Rodzaje materiałów</w:t>
      </w:r>
    </w:p>
    <w:p w14:paraId="1BDB023B"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Materiały i wyroby stosowane przy montażu okien i drzwi balkonowych:</w:t>
      </w:r>
    </w:p>
    <w:p w14:paraId="3BF15937"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okna i drzwi balkonowe,</w:t>
      </w:r>
    </w:p>
    <w:p w14:paraId="34F86D45"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obróbki,</w:t>
      </w:r>
    </w:p>
    <w:p w14:paraId="3984C530"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materiały uszczelniające,</w:t>
      </w:r>
    </w:p>
    <w:p w14:paraId="358D831A"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inne wyroby i materiały.</w:t>
      </w:r>
    </w:p>
    <w:p w14:paraId="10EB4CEC"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Wszystkie materiały do wykonania robót montażowych okien i drzwi balkonowych powinny odpowiadać wymaganiom zawartym w dokumentach odniesienia (normach, europejskich ocenach technicznych, aprobatach technicznych – wydanych do 31 grudnia 2016 r., a po zakończeniu okresu ich ważności w krajowych ocenach technicznych).</w:t>
      </w:r>
    </w:p>
    <w:p w14:paraId="2DF2B05C" w14:textId="77777777" w:rsidR="000A3B2B" w:rsidRDefault="000A3B2B" w:rsidP="009E529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2.2.1.</w:t>
      </w:r>
      <w:r>
        <w:rPr>
          <w:rFonts w:ascii="Arial" w:hAnsi="Arial" w:cs="Arial"/>
          <w:b/>
          <w:bCs/>
          <w:color w:val="000000"/>
          <w:sz w:val="18"/>
          <w:szCs w:val="18"/>
          <w:lang w:val="x-none"/>
        </w:rPr>
        <w:tab/>
        <w:t>Okna i drzwi balkonowe</w:t>
      </w:r>
    </w:p>
    <w:p w14:paraId="52647CDB"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Okna i drzwi balkonowe powinny posiadać właściwości eksploatacyjne określone i sklasyfikowane przez producenta zgodnie z PN-EN 14351-1+A2:2016-10.  </w:t>
      </w:r>
    </w:p>
    <w:p w14:paraId="7416C9AD"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Ponadto producent powinien określić materiał (materiały), z których okna i drzwi balkonowe są wykonane, łącznie z wszelkimi zastosowanymi powłokami i/lub środkami ochronnymi. Ta zasada powinna być zrealizowana w odniesieniu do wszystkich elementów składowych, mających wpływ na trwałość wyrobów przy ich użytkowaniu, poprzez powołanie odpowiednich norm, europejskich ocen technicznych lub aprobat technicznych – wydanych do 31 grudnia 2016 r., a po zakończeniu okresu ich ważności krajowych ocen technicznych.</w:t>
      </w:r>
    </w:p>
    <w:p w14:paraId="2943F62C"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Producent powinien również podać informacje dotyczące konserwacji okien i drzwi balkonowych oraz ich części podlegających wymianie.</w:t>
      </w:r>
    </w:p>
    <w:p w14:paraId="2F47C76F"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Wymagane właściwości okien i drzwi balkonowych powinny być określone zgodnie z zasadami podanymi w dokumentach odniesienia zestawionych w tablicy E.1 „Odrębne określanie właściwości dla okien” i sklasyfikowane według tablicy 1 „Klasyfikacja właściwości okien” zamieszczonych w PN-EN 14351-1+A2:2016-10.</w:t>
      </w:r>
      <w:r>
        <w:rPr>
          <w:rFonts w:ascii="Arial" w:hAnsi="Arial" w:cs="Arial"/>
          <w:color w:val="000000"/>
          <w:sz w:val="18"/>
          <w:szCs w:val="18"/>
          <w:lang w:val="x-none"/>
        </w:rPr>
        <w:tab/>
      </w:r>
      <w:r>
        <w:rPr>
          <w:rFonts w:ascii="Arial" w:hAnsi="Arial" w:cs="Arial"/>
          <w:color w:val="000000"/>
          <w:sz w:val="18"/>
          <w:szCs w:val="18"/>
          <w:lang w:val="x-none"/>
        </w:rPr>
        <w:tab/>
      </w:r>
      <w:r>
        <w:rPr>
          <w:rFonts w:ascii="Arial" w:hAnsi="Arial" w:cs="Arial"/>
          <w:color w:val="000000"/>
          <w:sz w:val="18"/>
          <w:szCs w:val="18"/>
          <w:lang w:val="x-none"/>
        </w:rPr>
        <w:tab/>
      </w:r>
    </w:p>
    <w:p w14:paraId="6FBAB1CE" w14:textId="77777777" w:rsidR="000A3B2B" w:rsidRDefault="000A3B2B" w:rsidP="009E5295">
      <w:pPr>
        <w:autoSpaceDE w:val="0"/>
        <w:autoSpaceDN w:val="0"/>
        <w:adjustRightInd w:val="0"/>
        <w:spacing w:after="30" w:line="240" w:lineRule="auto"/>
        <w:ind w:firstLine="285"/>
        <w:jc w:val="both"/>
        <w:rPr>
          <w:rFonts w:ascii="Arial" w:hAnsi="Arial" w:cs="Arial"/>
          <w:b/>
          <w:bCs/>
          <w:color w:val="000000"/>
          <w:sz w:val="18"/>
          <w:szCs w:val="18"/>
          <w:lang w:val="x-none"/>
        </w:rPr>
      </w:pPr>
      <w:r>
        <w:rPr>
          <w:rFonts w:ascii="Arial" w:hAnsi="Arial" w:cs="Arial"/>
          <w:b/>
          <w:bCs/>
          <w:color w:val="000000"/>
          <w:sz w:val="18"/>
          <w:szCs w:val="18"/>
          <w:lang w:val="x-none"/>
        </w:rPr>
        <w:t>Rozwiązania materiałowo-konstrukcyjne wraz z wymaganiami jakościowymi, parametry techniczne oraz właściwości eksploatacyjne wbudowywanych okien i drzwi balkonowych powinny być zgodne z dokumentacją projektową.</w:t>
      </w:r>
    </w:p>
    <w:p w14:paraId="68442CC9" w14:textId="77777777" w:rsidR="000A3B2B" w:rsidRDefault="000A3B2B" w:rsidP="009E529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2.2.2.</w:t>
      </w:r>
      <w:r>
        <w:rPr>
          <w:rFonts w:ascii="Arial" w:hAnsi="Arial" w:cs="Arial"/>
          <w:b/>
          <w:bCs/>
          <w:color w:val="000000"/>
          <w:sz w:val="18"/>
          <w:szCs w:val="18"/>
          <w:lang w:val="x-none"/>
        </w:rPr>
        <w:tab/>
        <w:t>Obróbki</w:t>
      </w:r>
    </w:p>
    <w:p w14:paraId="1A770C17"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Parapety zewnętrzne oraz wewnętrzne, a także obróbki progów drzwi balkonowych i/lub materiały, z których wyroby są wykonywane powinny spełniać wymagania dokumentacji projektowej oraz odpowiednich norm, europejskich ocen technicznych lub aprobat technicznych – wydanych do 31 grudnia 2016 r., a po zakończeniu okresu ich ważności krajowych ocen technicznych.</w:t>
      </w:r>
    </w:p>
    <w:p w14:paraId="64178580" w14:textId="77777777" w:rsidR="000A3B2B" w:rsidRDefault="000A3B2B" w:rsidP="009E529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2.2.3.</w:t>
      </w:r>
      <w:r>
        <w:rPr>
          <w:rFonts w:ascii="Arial" w:hAnsi="Arial" w:cs="Arial"/>
          <w:b/>
          <w:bCs/>
          <w:color w:val="000000"/>
          <w:sz w:val="18"/>
          <w:szCs w:val="18"/>
          <w:lang w:val="x-none"/>
        </w:rPr>
        <w:tab/>
        <w:t>Materiały uszczelniające</w:t>
      </w:r>
    </w:p>
    <w:p w14:paraId="756973B6"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Do wykonywania uszczelnień między oknem lub drzwiami balkonowymi a ścianą mogą być stosowane, w zależności od rodzaju uszczelnienia (zewnętrzne, środkowe – izolacja termiczna, wewnętrzne), materiały zestawione w tablicy 1 niniejszej specyfikacji.</w:t>
      </w:r>
    </w:p>
    <w:p w14:paraId="698902C1" w14:textId="77777777" w:rsidR="000A3B2B" w:rsidRDefault="000A3B2B" w:rsidP="009E5295">
      <w:pPr>
        <w:autoSpaceDE w:val="0"/>
        <w:autoSpaceDN w:val="0"/>
        <w:adjustRightInd w:val="0"/>
        <w:spacing w:after="30" w:line="240" w:lineRule="auto"/>
        <w:jc w:val="both"/>
        <w:rPr>
          <w:rFonts w:ascii="Arial" w:hAnsi="Arial" w:cs="Arial"/>
          <w:b/>
          <w:bCs/>
          <w:color w:val="000000"/>
          <w:sz w:val="18"/>
          <w:szCs w:val="18"/>
          <w:lang w:val="x-none"/>
        </w:rPr>
      </w:pPr>
    </w:p>
    <w:p w14:paraId="483B86D8" w14:textId="77777777" w:rsidR="000A3B2B" w:rsidRDefault="000A3B2B" w:rsidP="009E5295">
      <w:pPr>
        <w:autoSpaceDE w:val="0"/>
        <w:autoSpaceDN w:val="0"/>
        <w:adjustRightInd w:val="0"/>
        <w:spacing w:after="30" w:line="240" w:lineRule="auto"/>
        <w:jc w:val="both"/>
        <w:rPr>
          <w:rFonts w:ascii="Arial" w:hAnsi="Arial" w:cs="Arial"/>
          <w:b/>
          <w:bCs/>
          <w:color w:val="000000"/>
          <w:sz w:val="18"/>
          <w:szCs w:val="18"/>
          <w:lang w:val="x-none"/>
        </w:rPr>
      </w:pPr>
      <w:r>
        <w:rPr>
          <w:rFonts w:ascii="Arial" w:hAnsi="Arial" w:cs="Arial"/>
          <w:b/>
          <w:bCs/>
          <w:color w:val="000000"/>
          <w:sz w:val="18"/>
          <w:szCs w:val="18"/>
          <w:lang w:val="x-none"/>
        </w:rPr>
        <w:t>Tablica 1. Materiały uszczelniające i izolacyjne stosowane do wypełniania szczelin między oknem lub drzwiami balkonowymi a ościeżem</w:t>
      </w:r>
    </w:p>
    <w:tbl>
      <w:tblPr>
        <w:tblW w:w="0" w:type="auto"/>
        <w:tblCellSpacing w:w="0" w:type="dxa"/>
        <w:tblInd w:w="-8" w:type="dxa"/>
        <w:tblLayout w:type="fixed"/>
        <w:tblCellMar>
          <w:left w:w="0" w:type="dxa"/>
          <w:right w:w="0" w:type="dxa"/>
        </w:tblCellMar>
        <w:tblLook w:val="0000" w:firstRow="0" w:lastRow="0" w:firstColumn="0" w:lastColumn="0" w:noHBand="0" w:noVBand="0"/>
      </w:tblPr>
      <w:tblGrid>
        <w:gridCol w:w="3412"/>
        <w:gridCol w:w="3076"/>
        <w:gridCol w:w="2894"/>
      </w:tblGrid>
      <w:tr w:rsidR="000A3B2B" w14:paraId="43B056D9" w14:textId="77777777">
        <w:trPr>
          <w:trHeight w:val="60"/>
          <w:tblCellSpacing w:w="0" w:type="dxa"/>
        </w:trPr>
        <w:tc>
          <w:tcPr>
            <w:tcW w:w="3412" w:type="dxa"/>
            <w:tcBorders>
              <w:top w:val="single" w:sz="6" w:space="0" w:color="000000"/>
              <w:left w:val="single" w:sz="6" w:space="0" w:color="000000"/>
              <w:bottom w:val="single" w:sz="6" w:space="0" w:color="000000"/>
              <w:right w:val="single" w:sz="6" w:space="0" w:color="000000"/>
            </w:tcBorders>
            <w:shd w:val="clear" w:color="auto" w:fill="CBCBCB"/>
            <w:vAlign w:val="center"/>
          </w:tcPr>
          <w:p w14:paraId="2EB0F96A"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Warstwa zewnętrzna (uszczelnienie)</w:t>
            </w:r>
          </w:p>
        </w:tc>
        <w:tc>
          <w:tcPr>
            <w:tcW w:w="3076" w:type="dxa"/>
            <w:tcBorders>
              <w:top w:val="single" w:sz="6" w:space="0" w:color="000000"/>
              <w:left w:val="single" w:sz="6" w:space="0" w:color="000000"/>
              <w:bottom w:val="single" w:sz="6" w:space="0" w:color="000000"/>
              <w:right w:val="single" w:sz="6" w:space="0" w:color="000000"/>
            </w:tcBorders>
            <w:shd w:val="clear" w:color="auto" w:fill="CBCBCB"/>
            <w:vAlign w:val="center"/>
          </w:tcPr>
          <w:p w14:paraId="565D3564"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Warstwa środkowa (izolacja termiczna)</w:t>
            </w:r>
          </w:p>
        </w:tc>
        <w:tc>
          <w:tcPr>
            <w:tcW w:w="2894" w:type="dxa"/>
            <w:tcBorders>
              <w:top w:val="single" w:sz="6" w:space="0" w:color="000000"/>
              <w:left w:val="single" w:sz="6" w:space="0" w:color="000000"/>
              <w:bottom w:val="single" w:sz="6" w:space="0" w:color="000000"/>
              <w:right w:val="single" w:sz="6" w:space="0" w:color="000000"/>
            </w:tcBorders>
            <w:shd w:val="clear" w:color="auto" w:fill="CBCBCB"/>
            <w:vAlign w:val="center"/>
          </w:tcPr>
          <w:p w14:paraId="50D62E05"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Warstwa wewnętrzna (uszczelnienie)</w:t>
            </w:r>
          </w:p>
        </w:tc>
      </w:tr>
      <w:tr w:rsidR="000A3B2B" w14:paraId="7BEC27A5" w14:textId="77777777">
        <w:trPr>
          <w:trHeight w:val="60"/>
          <w:tblCellSpacing w:w="0" w:type="dxa"/>
        </w:trPr>
        <w:tc>
          <w:tcPr>
            <w:tcW w:w="3412" w:type="dxa"/>
            <w:tcBorders>
              <w:top w:val="single" w:sz="6" w:space="0" w:color="000000"/>
              <w:left w:val="single" w:sz="6" w:space="0" w:color="000000"/>
              <w:bottom w:val="single" w:sz="6" w:space="0" w:color="000000"/>
              <w:right w:val="single" w:sz="6" w:space="0" w:color="000000"/>
            </w:tcBorders>
          </w:tcPr>
          <w:p w14:paraId="5F00A549"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Impregnowana taśma rozprężna paroprzepuszczalna</w:t>
            </w:r>
          </w:p>
          <w:p w14:paraId="36D1D549"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Folia paroprzepuszczalna</w:t>
            </w:r>
          </w:p>
          <w:p w14:paraId="2AF01D59"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Folia elastyczna paroprzepuszczalna</w:t>
            </w:r>
          </w:p>
          <w:p w14:paraId="58A2B247"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Taśma paroprzepuszczalna</w:t>
            </w:r>
          </w:p>
          <w:p w14:paraId="749E2A8D"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Taśma uniwersalna paroszczelna/paroprzepuszczalna</w:t>
            </w:r>
          </w:p>
          <w:p w14:paraId="72D35E7A"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Kit trwale elastyczny</w:t>
            </w:r>
          </w:p>
        </w:tc>
        <w:tc>
          <w:tcPr>
            <w:tcW w:w="3076" w:type="dxa"/>
            <w:tcBorders>
              <w:top w:val="single" w:sz="6" w:space="0" w:color="000000"/>
              <w:left w:val="single" w:sz="6" w:space="0" w:color="000000"/>
              <w:bottom w:val="single" w:sz="6" w:space="0" w:color="000000"/>
              <w:right w:val="single" w:sz="6" w:space="0" w:color="000000"/>
            </w:tcBorders>
          </w:tcPr>
          <w:p w14:paraId="31DC66E2"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Pianka poliuretanowa jednoskładnikowa</w:t>
            </w:r>
          </w:p>
          <w:p w14:paraId="6F63A99D"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Pianka poliuretanowa dwuskładnikowa</w:t>
            </w:r>
          </w:p>
          <w:p w14:paraId="5D6EF11B"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Wełna mineralna</w:t>
            </w:r>
          </w:p>
          <w:p w14:paraId="0424896E"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Korek</w:t>
            </w:r>
          </w:p>
        </w:tc>
        <w:tc>
          <w:tcPr>
            <w:tcW w:w="2894" w:type="dxa"/>
            <w:tcBorders>
              <w:top w:val="single" w:sz="6" w:space="0" w:color="000000"/>
              <w:left w:val="single" w:sz="6" w:space="0" w:color="000000"/>
              <w:bottom w:val="single" w:sz="6" w:space="0" w:color="000000"/>
              <w:right w:val="single" w:sz="6" w:space="0" w:color="000000"/>
            </w:tcBorders>
          </w:tcPr>
          <w:p w14:paraId="08B8F4AA"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Impregnowana taśma rozprężna paroszczelna</w:t>
            </w:r>
          </w:p>
          <w:p w14:paraId="3A8EDDF9"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Folia paroszczelna</w:t>
            </w:r>
          </w:p>
          <w:p w14:paraId="15E6667C"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Folia elastyczna paroszczelna</w:t>
            </w:r>
          </w:p>
          <w:p w14:paraId="42F67265"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Kit trwale elastyczny</w:t>
            </w:r>
          </w:p>
          <w:p w14:paraId="038F743F"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Taśma uniwersalna paroszczelna/paroprzepuszczalna</w:t>
            </w:r>
          </w:p>
          <w:p w14:paraId="316B496A"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Taśma paroszczelna</w:t>
            </w:r>
          </w:p>
        </w:tc>
      </w:tr>
    </w:tbl>
    <w:p w14:paraId="2DB9D15D"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p>
    <w:p w14:paraId="4CA1B054"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Wymienione materiały nie mogą wydzielać szkodliwych substancji oraz wchodzić w reakcje chemiczne z otaczającymi je elementami i zmieniać właściwości pod wpływem temperatury.</w:t>
      </w:r>
    </w:p>
    <w:p w14:paraId="71F674A8"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Stosowane materiały uszczelniające powinny być zgodne z rozwiązaniami przyjętymi w dokumentacji projektowej a także spełniać wymagania odpowiednich norm, europejskich ocen technicznych lub aprobat technicznych – wydanych do 31 grudnia 2016 r., a po zakończeniu okresu ich ważności krajowych ocen technicznych oraz zalecenia (wytyczne) producenta okien lub drzwi balkonowych.</w:t>
      </w:r>
    </w:p>
    <w:p w14:paraId="16E651B0" w14:textId="77777777" w:rsidR="000A3B2B" w:rsidRDefault="000A3B2B" w:rsidP="009E529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2.2.4.</w:t>
      </w:r>
      <w:r>
        <w:rPr>
          <w:rFonts w:ascii="Arial" w:hAnsi="Arial" w:cs="Arial"/>
          <w:b/>
          <w:bCs/>
          <w:color w:val="000000"/>
          <w:sz w:val="18"/>
          <w:szCs w:val="18"/>
          <w:lang w:val="x-none"/>
        </w:rPr>
        <w:tab/>
        <w:t>Inne wyroby i materiały</w:t>
      </w:r>
    </w:p>
    <w:p w14:paraId="1CD87BC5"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Przy montażu okien i/lub drzwi balkonowych stosuje się także inne wyroby i materiały:</w:t>
      </w:r>
    </w:p>
    <w:p w14:paraId="3810FC33"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elementy mocujące okno/drzwi balkonowe w ościeżu:</w:t>
      </w:r>
    </w:p>
    <w:p w14:paraId="7EA7FCE0" w14:textId="77777777" w:rsidR="000A3B2B" w:rsidRDefault="000A3B2B" w:rsidP="009E5295">
      <w:pPr>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kołki rozporowe (dyble),</w:t>
      </w:r>
    </w:p>
    <w:p w14:paraId="0D9D211A" w14:textId="77777777" w:rsidR="000A3B2B" w:rsidRDefault="000A3B2B" w:rsidP="009E5295">
      <w:pPr>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kotwy,</w:t>
      </w:r>
    </w:p>
    <w:p w14:paraId="600BA282" w14:textId="77777777" w:rsidR="000A3B2B" w:rsidRDefault="000A3B2B" w:rsidP="009E5295">
      <w:pPr>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śruby, wkręty,</w:t>
      </w:r>
    </w:p>
    <w:p w14:paraId="39663AAE"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elementy podporowe i dystansowe:</w:t>
      </w:r>
    </w:p>
    <w:p w14:paraId="21E5FCCE" w14:textId="77777777" w:rsidR="000A3B2B" w:rsidRDefault="000A3B2B" w:rsidP="009E5295">
      <w:pPr>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klocki, belki drewniane, </w:t>
      </w:r>
    </w:p>
    <w:p w14:paraId="0F202B47" w14:textId="77777777" w:rsidR="000A3B2B" w:rsidRDefault="000A3B2B" w:rsidP="009E5295">
      <w:pPr>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podkładki, kątowniki stalowe, konsole,</w:t>
      </w:r>
    </w:p>
    <w:p w14:paraId="6028FE5C"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elementy wykończeniowe:</w:t>
      </w:r>
    </w:p>
    <w:p w14:paraId="1FB2F8C6" w14:textId="77777777" w:rsidR="000A3B2B" w:rsidRDefault="000A3B2B" w:rsidP="009E5295">
      <w:pPr>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listwy maskujące połączenia okien w zestawy,</w:t>
      </w:r>
    </w:p>
    <w:p w14:paraId="2FFE863E" w14:textId="77777777" w:rsidR="000A3B2B" w:rsidRDefault="000A3B2B" w:rsidP="009E5295">
      <w:pPr>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kątowniki, ćwierćwałki i listwy maskujące połączenie styku ramy i tynku ościeża.</w:t>
      </w:r>
    </w:p>
    <w:p w14:paraId="5270C8D9"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Stosowane materiały i wyroby inne powinny być zgodne z rozwiązaniami przyjętymi w dokumentacji projektowej, a także spełniać wymagania odpowiednich norm, europejskich ocen technicznych lub aprobat technicznych – wydanych do 31 grudnia 2016 r., a po zakończeniu okresu ich ważności krajowych ocen technicznych oraz zalecenia (wytyczne) producenta okien lub drzwi balkonowych.</w:t>
      </w:r>
    </w:p>
    <w:p w14:paraId="4BD5FBE2"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Elementy mocujące powinny być dostosowane do rodzaju ściany (monolityczna, warstwowa) oraz rodzaju okien i sposobu ich mocowania.</w:t>
      </w:r>
    </w:p>
    <w:p w14:paraId="6B2CD8C7"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328535AB"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2.3.</w:t>
      </w:r>
      <w:r>
        <w:rPr>
          <w:rFonts w:ascii="Arial" w:hAnsi="Arial" w:cs="Arial"/>
          <w:b/>
          <w:bCs/>
          <w:color w:val="000000"/>
          <w:sz w:val="18"/>
          <w:szCs w:val="18"/>
          <w:lang w:val="x-none"/>
        </w:rPr>
        <w:tab/>
        <w:t xml:space="preserve">Warunki przyjęcia na budowę materiałów i wyrobów do montażu okien i drzwi balkonowych  </w:t>
      </w:r>
    </w:p>
    <w:p w14:paraId="3B689FD6"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Wyroby i materiały do montażu okien i drzwi balkonowych mogą być przyjęte na budowę, jeśli spełniają następujące warunki:</w:t>
      </w:r>
    </w:p>
    <w:p w14:paraId="37C8AFDB"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są zgodne z ich wyszczególnieniem i charakterystyką podaną w dokumentacji projektowej i niniejszej specyfikacji technicznej,</w:t>
      </w:r>
    </w:p>
    <w:p w14:paraId="290F399B"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każda jednostka ładunkowa lub partia okien i drzwi balkonowych luzem jest zaopatrzona w etykietę identyfikacyjną,</w:t>
      </w:r>
    </w:p>
    <w:p w14:paraId="4821A901"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wyroby i materiały konfekcjonowane są właściwie opakowane, firmowo zamknięte (bez oznak naruszenia zamknięcia) i oznakowane w sposób umożliwiający ich pełną identyfikację (pełna nazwa wyrobu, ewentualnie nazwa handlowa oraz symbol handlowy wyrobu),</w:t>
      </w:r>
    </w:p>
    <w:p w14:paraId="4E5D5FF5"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spełniają wymagane właściwości wskazane odpowiednimi dokumentami odniesienia,</w:t>
      </w:r>
    </w:p>
    <w:p w14:paraId="6F37169D"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producent dostarczył dokumenty świadczące o dopuszczeniu materiałów i wyrobów budowlanych, zgodnie z właściwymi przepisami, do obrotu lub udostępnieniu na rynku krajowym bądź do jednostkowego zastosowania (kopie deklaracji właściwości użytkowych, certyfikatów oświadczenie producenta o zapewnieniu zgodności wyrobu budowlanego dopuszczonego do jednostkowego zastosowania z indywidualną dokumentacją techniczną, itp.) oraz karty techniczne /katalogowe wyrobów lub firmowe wytyczne/zalecenia stosowania wyrobów, karty charakterystyki wyrobów, informacje o zawartości substancji niebezpiecznych, itp.,</w:t>
      </w:r>
    </w:p>
    <w:p w14:paraId="2F6B725B"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spełniają wymagania wynikające z ich terminu przydatności do użycia (termin zakończenia montażu okien i drzwi balkonowych powinien się kończyć przed zakończeniem terminów przydatności do stosowania odpowiednich wyrobów).</w:t>
      </w:r>
    </w:p>
    <w:p w14:paraId="480EE77F" w14:textId="77777777" w:rsidR="000A3B2B" w:rsidRDefault="000A3B2B" w:rsidP="009E5295">
      <w:pPr>
        <w:autoSpaceDE w:val="0"/>
        <w:autoSpaceDN w:val="0"/>
        <w:adjustRightInd w:val="0"/>
        <w:spacing w:after="30" w:line="240" w:lineRule="auto"/>
        <w:ind w:firstLine="285"/>
        <w:jc w:val="both"/>
        <w:rPr>
          <w:rFonts w:ascii="Arial" w:hAnsi="Arial" w:cs="Arial"/>
          <w:b/>
          <w:bCs/>
          <w:color w:val="000000"/>
          <w:sz w:val="18"/>
          <w:szCs w:val="18"/>
          <w:lang w:val="x-none"/>
        </w:rPr>
      </w:pPr>
      <w:r>
        <w:rPr>
          <w:rFonts w:ascii="Arial" w:hAnsi="Arial" w:cs="Arial"/>
          <w:b/>
          <w:bCs/>
          <w:color w:val="000000"/>
          <w:sz w:val="18"/>
          <w:szCs w:val="18"/>
          <w:lang w:val="x-none"/>
        </w:rPr>
        <w:t>Przyjęcie wyrobów i materiałów na budowę powinno być potwierdzone wpisem do dziennika budowy lub protokołem przyjęcia materiałów.</w:t>
      </w:r>
    </w:p>
    <w:p w14:paraId="7ED3D630"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1FCCF496"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2.4.</w:t>
      </w:r>
      <w:r>
        <w:rPr>
          <w:rFonts w:ascii="Arial" w:hAnsi="Arial" w:cs="Arial"/>
          <w:b/>
          <w:bCs/>
          <w:color w:val="000000"/>
          <w:sz w:val="18"/>
          <w:szCs w:val="18"/>
          <w:lang w:val="x-none"/>
        </w:rPr>
        <w:tab/>
        <w:t>Warunki przechowywania materiałów i wyrobów do montażu okien i drzwi balkonowych</w:t>
      </w:r>
    </w:p>
    <w:p w14:paraId="14CFEFCB"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Okna i drzwi balkonowe z drewna i tworzyw sztucznych należy przechowywać zgodnie z wymaganiami normy PN-B-05000, a aluminiowe zgodnie z wymaganiami określonymi przez ich producenta.</w:t>
      </w:r>
    </w:p>
    <w:p w14:paraId="082EF54C"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Okna i drzwi balkonowe, z wyjątkiem wyrobów uformowanych w jednostki ładunkowe kontenerowe, należy przechowywać w magazynach półotwartych lub zamkniętych, suchych i przewiewnych, zabezpieczonych przez opadami atmosferycznymi.</w:t>
      </w:r>
    </w:p>
    <w:p w14:paraId="0C852114"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Pozostałe wyroby i materiały powinny być przechowywane i magazynowane zgodnie z odpowiednimi instrukcjami producentów oraz wymaganiami właściwych dokumentów odniesienia tj. norm, europejskich ocen technicznych bądź aprobat technicznych – wydanych do 31 grudnia 2016 r., a po zakończeniu okresu ich ważności krajowych ocen technicznych.</w:t>
      </w:r>
    </w:p>
    <w:p w14:paraId="6A52C625"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 xml:space="preserve">Pomieszczenie magazynowe do przechowywania opakowanych pozostałych wyrobów i materiałów powinno być kryte, suche oraz zabezpieczone przez zawilgoceniem, opadami atmosferycznymi, przemarznięciem i przed działaniem promieni słonecznych. </w:t>
      </w:r>
    </w:p>
    <w:p w14:paraId="04885708"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Wyroby konfekcjonowane powinny być przechowywane w oryginalnych, zamkniętych opakowaniach, w temperaturze powyżej +5°C a poniżej +35°C.</w:t>
      </w:r>
    </w:p>
    <w:p w14:paraId="7D7F7C5C"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Podłogi we wszystkich pomieszczeniach magazynowych powinny być utwardzone, poziome, równe. Dopuszcza się w pomieszczeniach magazynowych półotwartych stosowanie nieutwardzonego podłoża, ale wówczas okna i/lub drzwi balkonowe należy ustawiać na legarach ułożonych równolegle do siebie. Wysokość legarów powinna wynosić co najmniej 15 cm. Okna i/lub drzwi balkonowe należy ustawiać w odległości co najmniej 1,0 m od czynnych urządzeń grzejnych. Należy je przechowywać w jednej lub kilku warstwach w sposób zabezpieczający je przed uszkodzeniami, przy zachowaniu warunków bezpieczeństwa. W zależności od stopnia wykończenia powierzchni okien i drzwi balkonowych oraz rodzaju podłoża w magazynie, wyroby należy przechowywać zgodnie z zasadami podanymi w tablicy 2.</w:t>
      </w:r>
    </w:p>
    <w:p w14:paraId="1ED2C6F1"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 </w:t>
      </w:r>
    </w:p>
    <w:p w14:paraId="1726C639" w14:textId="77777777" w:rsidR="000A3B2B" w:rsidRDefault="000A3B2B" w:rsidP="009E5295">
      <w:pPr>
        <w:autoSpaceDE w:val="0"/>
        <w:autoSpaceDN w:val="0"/>
        <w:adjustRightInd w:val="0"/>
        <w:spacing w:after="30" w:line="240" w:lineRule="auto"/>
        <w:jc w:val="both"/>
        <w:rPr>
          <w:rFonts w:ascii="Arial" w:hAnsi="Arial" w:cs="Arial"/>
          <w:b/>
          <w:bCs/>
          <w:color w:val="000000"/>
          <w:sz w:val="18"/>
          <w:szCs w:val="18"/>
          <w:lang w:val="x-none"/>
        </w:rPr>
      </w:pPr>
      <w:r>
        <w:rPr>
          <w:rFonts w:ascii="Arial" w:hAnsi="Arial" w:cs="Arial"/>
          <w:b/>
          <w:bCs/>
          <w:color w:val="000000"/>
          <w:sz w:val="18"/>
          <w:szCs w:val="18"/>
          <w:lang w:val="x-none"/>
        </w:rPr>
        <w:t>Tablica 2. Sposoby przechowywania okien i drzwi balkonowych w zależności od stopnia wykończenia powierzchni wyrobów oraz rodzaju podłoża w magazynie</w:t>
      </w:r>
    </w:p>
    <w:tbl>
      <w:tblPr>
        <w:tblW w:w="0" w:type="auto"/>
        <w:tblCellSpacing w:w="0" w:type="dxa"/>
        <w:tblInd w:w="-8" w:type="dxa"/>
        <w:tblLayout w:type="fixed"/>
        <w:tblCellMar>
          <w:left w:w="0" w:type="dxa"/>
          <w:right w:w="0" w:type="dxa"/>
        </w:tblCellMar>
        <w:tblLook w:val="0000" w:firstRow="0" w:lastRow="0" w:firstColumn="0" w:lastColumn="0" w:noHBand="0" w:noVBand="0"/>
      </w:tblPr>
      <w:tblGrid>
        <w:gridCol w:w="338"/>
        <w:gridCol w:w="1830"/>
        <w:gridCol w:w="1454"/>
        <w:gridCol w:w="1816"/>
        <w:gridCol w:w="1634"/>
        <w:gridCol w:w="1276"/>
        <w:gridCol w:w="1094"/>
      </w:tblGrid>
      <w:tr w:rsidR="000A3B2B" w14:paraId="2682D7D7" w14:textId="77777777">
        <w:trPr>
          <w:trHeight w:val="60"/>
          <w:tblCellSpacing w:w="0" w:type="dxa"/>
        </w:trPr>
        <w:tc>
          <w:tcPr>
            <w:tcW w:w="338" w:type="dxa"/>
            <w:vMerge w:val="restart"/>
            <w:tcBorders>
              <w:top w:val="single" w:sz="6" w:space="0" w:color="000000"/>
              <w:left w:val="single" w:sz="6" w:space="0" w:color="000000"/>
              <w:bottom w:val="single" w:sz="6" w:space="0" w:color="000000"/>
              <w:right w:val="single" w:sz="6" w:space="0" w:color="000000"/>
            </w:tcBorders>
            <w:shd w:val="clear" w:color="auto" w:fill="CBCBCB"/>
            <w:vAlign w:val="center"/>
          </w:tcPr>
          <w:p w14:paraId="458F34CD"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Lp.</w:t>
            </w:r>
          </w:p>
        </w:tc>
        <w:tc>
          <w:tcPr>
            <w:tcW w:w="1830" w:type="dxa"/>
            <w:vMerge w:val="restart"/>
            <w:tcBorders>
              <w:top w:val="single" w:sz="6" w:space="0" w:color="000000"/>
              <w:left w:val="single" w:sz="6" w:space="0" w:color="000000"/>
              <w:bottom w:val="single" w:sz="6" w:space="0" w:color="000000"/>
              <w:right w:val="single" w:sz="6" w:space="0" w:color="000000"/>
            </w:tcBorders>
            <w:shd w:val="clear" w:color="auto" w:fill="CBCBCB"/>
            <w:vAlign w:val="center"/>
          </w:tcPr>
          <w:p w14:paraId="21E969E0"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Rodzaj podłoża w magazynie</w:t>
            </w:r>
          </w:p>
        </w:tc>
        <w:tc>
          <w:tcPr>
            <w:tcW w:w="7274" w:type="dxa"/>
            <w:gridSpan w:val="5"/>
            <w:tcBorders>
              <w:top w:val="single" w:sz="6" w:space="0" w:color="000000"/>
              <w:left w:val="single" w:sz="6" w:space="0" w:color="000000"/>
              <w:bottom w:val="single" w:sz="6" w:space="0" w:color="000000"/>
              <w:right w:val="single" w:sz="6" w:space="0" w:color="000000"/>
            </w:tcBorders>
            <w:shd w:val="clear" w:color="auto" w:fill="CBCBCB"/>
            <w:vAlign w:val="center"/>
          </w:tcPr>
          <w:p w14:paraId="128F8235"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Rodzaje wyrobów</w:t>
            </w:r>
          </w:p>
        </w:tc>
      </w:tr>
      <w:tr w:rsidR="000A3B2B" w14:paraId="796F70CE" w14:textId="77777777">
        <w:trPr>
          <w:trHeight w:val="60"/>
          <w:tblCellSpacing w:w="0" w:type="dxa"/>
        </w:trPr>
        <w:tc>
          <w:tcPr>
            <w:tcW w:w="338" w:type="dxa"/>
            <w:vMerge/>
            <w:tcBorders>
              <w:top w:val="single" w:sz="6" w:space="0" w:color="000000"/>
              <w:left w:val="single" w:sz="6" w:space="0" w:color="000000"/>
              <w:bottom w:val="single" w:sz="6" w:space="0" w:color="000000"/>
              <w:right w:val="single" w:sz="6" w:space="0" w:color="000000"/>
            </w:tcBorders>
            <w:shd w:val="clear" w:color="auto" w:fill="CBCBCB"/>
            <w:vAlign w:val="center"/>
          </w:tcPr>
          <w:p w14:paraId="049F0982" w14:textId="77777777" w:rsidR="000A3B2B" w:rsidRDefault="000A3B2B">
            <w:pPr>
              <w:autoSpaceDE w:val="0"/>
              <w:autoSpaceDN w:val="0"/>
              <w:adjustRightInd w:val="0"/>
              <w:spacing w:after="0" w:line="240" w:lineRule="auto"/>
              <w:rPr>
                <w:rFonts w:ascii="Arial" w:hAnsi="Arial" w:cs="Arial"/>
                <w:b/>
                <w:bCs/>
                <w:color w:val="000000"/>
                <w:sz w:val="18"/>
                <w:szCs w:val="18"/>
                <w:lang w:val="x-none"/>
              </w:rPr>
            </w:pPr>
          </w:p>
        </w:tc>
        <w:tc>
          <w:tcPr>
            <w:tcW w:w="1830" w:type="dxa"/>
            <w:vMerge/>
            <w:tcBorders>
              <w:top w:val="single" w:sz="6" w:space="0" w:color="000000"/>
              <w:left w:val="single" w:sz="6" w:space="0" w:color="000000"/>
              <w:bottom w:val="single" w:sz="6" w:space="0" w:color="000000"/>
              <w:right w:val="single" w:sz="6" w:space="0" w:color="000000"/>
            </w:tcBorders>
            <w:shd w:val="clear" w:color="auto" w:fill="CBCBCB"/>
            <w:vAlign w:val="center"/>
          </w:tcPr>
          <w:p w14:paraId="643C6EC1" w14:textId="77777777" w:rsidR="000A3B2B" w:rsidRDefault="000A3B2B">
            <w:pPr>
              <w:autoSpaceDE w:val="0"/>
              <w:autoSpaceDN w:val="0"/>
              <w:adjustRightInd w:val="0"/>
              <w:spacing w:after="0" w:line="240" w:lineRule="auto"/>
              <w:rPr>
                <w:rFonts w:ascii="Arial" w:hAnsi="Arial" w:cs="Arial"/>
                <w:b/>
                <w:bCs/>
                <w:color w:val="000000"/>
                <w:sz w:val="18"/>
                <w:szCs w:val="18"/>
                <w:lang w:val="x-none"/>
              </w:rPr>
            </w:pPr>
          </w:p>
        </w:tc>
        <w:tc>
          <w:tcPr>
            <w:tcW w:w="4904" w:type="dxa"/>
            <w:gridSpan w:val="3"/>
            <w:tcBorders>
              <w:top w:val="single" w:sz="6" w:space="0" w:color="000000"/>
              <w:left w:val="single" w:sz="6" w:space="0" w:color="000000"/>
              <w:bottom w:val="single" w:sz="6" w:space="0" w:color="000000"/>
              <w:right w:val="single" w:sz="6" w:space="0" w:color="000000"/>
            </w:tcBorders>
            <w:shd w:val="clear" w:color="auto" w:fill="CBCBCB"/>
            <w:vAlign w:val="center"/>
          </w:tcPr>
          <w:p w14:paraId="7D71DA98"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okna i drzwi balkonowe drewniane</w:t>
            </w:r>
          </w:p>
        </w:tc>
        <w:tc>
          <w:tcPr>
            <w:tcW w:w="2370" w:type="dxa"/>
            <w:gridSpan w:val="2"/>
            <w:vMerge w:val="restart"/>
            <w:tcBorders>
              <w:top w:val="single" w:sz="6" w:space="0" w:color="000000"/>
              <w:left w:val="single" w:sz="6" w:space="0" w:color="000000"/>
              <w:bottom w:val="single" w:sz="6" w:space="0" w:color="000000"/>
              <w:right w:val="single" w:sz="6" w:space="0" w:color="000000"/>
            </w:tcBorders>
            <w:shd w:val="clear" w:color="auto" w:fill="CBCBCB"/>
            <w:vAlign w:val="center"/>
          </w:tcPr>
          <w:p w14:paraId="13DBFC6C"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okna i drzwi balkonowe z tworzyw sztucznych</w:t>
            </w:r>
          </w:p>
        </w:tc>
      </w:tr>
      <w:tr w:rsidR="000A3B2B" w14:paraId="21BD6B15" w14:textId="77777777">
        <w:trPr>
          <w:trHeight w:val="60"/>
          <w:tblCellSpacing w:w="0" w:type="dxa"/>
        </w:trPr>
        <w:tc>
          <w:tcPr>
            <w:tcW w:w="338" w:type="dxa"/>
            <w:vMerge/>
            <w:tcBorders>
              <w:top w:val="single" w:sz="6" w:space="0" w:color="000000"/>
              <w:left w:val="single" w:sz="6" w:space="0" w:color="000000"/>
              <w:bottom w:val="single" w:sz="6" w:space="0" w:color="000000"/>
              <w:right w:val="single" w:sz="6" w:space="0" w:color="000000"/>
            </w:tcBorders>
            <w:shd w:val="clear" w:color="auto" w:fill="CBCBCB"/>
            <w:vAlign w:val="center"/>
          </w:tcPr>
          <w:p w14:paraId="43478A2B" w14:textId="77777777" w:rsidR="000A3B2B" w:rsidRDefault="000A3B2B">
            <w:pPr>
              <w:autoSpaceDE w:val="0"/>
              <w:autoSpaceDN w:val="0"/>
              <w:adjustRightInd w:val="0"/>
              <w:spacing w:after="0" w:line="240" w:lineRule="auto"/>
              <w:rPr>
                <w:rFonts w:ascii="Arial" w:hAnsi="Arial" w:cs="Arial"/>
                <w:b/>
                <w:bCs/>
                <w:color w:val="000000"/>
                <w:sz w:val="18"/>
                <w:szCs w:val="18"/>
                <w:lang w:val="x-none"/>
              </w:rPr>
            </w:pPr>
          </w:p>
        </w:tc>
        <w:tc>
          <w:tcPr>
            <w:tcW w:w="1830" w:type="dxa"/>
            <w:vMerge/>
            <w:tcBorders>
              <w:top w:val="single" w:sz="6" w:space="0" w:color="000000"/>
              <w:left w:val="single" w:sz="6" w:space="0" w:color="000000"/>
              <w:bottom w:val="single" w:sz="6" w:space="0" w:color="000000"/>
              <w:right w:val="single" w:sz="6" w:space="0" w:color="000000"/>
            </w:tcBorders>
            <w:shd w:val="clear" w:color="auto" w:fill="CBCBCB"/>
            <w:vAlign w:val="center"/>
          </w:tcPr>
          <w:p w14:paraId="2A8C6CDD" w14:textId="77777777" w:rsidR="000A3B2B" w:rsidRDefault="000A3B2B">
            <w:pPr>
              <w:autoSpaceDE w:val="0"/>
              <w:autoSpaceDN w:val="0"/>
              <w:adjustRightInd w:val="0"/>
              <w:spacing w:after="0" w:line="240" w:lineRule="auto"/>
              <w:rPr>
                <w:rFonts w:ascii="Arial" w:hAnsi="Arial" w:cs="Arial"/>
                <w:b/>
                <w:bCs/>
                <w:color w:val="000000"/>
                <w:sz w:val="18"/>
                <w:szCs w:val="18"/>
                <w:lang w:val="x-none"/>
              </w:rPr>
            </w:pPr>
          </w:p>
        </w:tc>
        <w:tc>
          <w:tcPr>
            <w:tcW w:w="1454" w:type="dxa"/>
            <w:vMerge w:val="restart"/>
            <w:tcBorders>
              <w:top w:val="single" w:sz="6" w:space="0" w:color="000000"/>
              <w:left w:val="single" w:sz="6" w:space="0" w:color="000000"/>
              <w:bottom w:val="single" w:sz="6" w:space="0" w:color="000000"/>
              <w:right w:val="single" w:sz="6" w:space="0" w:color="000000"/>
            </w:tcBorders>
            <w:shd w:val="clear" w:color="auto" w:fill="CBCBCB"/>
            <w:vAlign w:val="center"/>
          </w:tcPr>
          <w:p w14:paraId="68391A92"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gruntowane</w:t>
            </w:r>
          </w:p>
        </w:tc>
        <w:tc>
          <w:tcPr>
            <w:tcW w:w="3450" w:type="dxa"/>
            <w:gridSpan w:val="2"/>
            <w:tcBorders>
              <w:top w:val="single" w:sz="6" w:space="0" w:color="000000"/>
              <w:left w:val="single" w:sz="6" w:space="0" w:color="000000"/>
              <w:bottom w:val="single" w:sz="6" w:space="0" w:color="000000"/>
              <w:right w:val="single" w:sz="6" w:space="0" w:color="000000"/>
            </w:tcBorders>
            <w:shd w:val="clear" w:color="auto" w:fill="CBCBCB"/>
            <w:vAlign w:val="center"/>
          </w:tcPr>
          <w:p w14:paraId="71BD4D65"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jednokrotnie malowane i ostatecznie wykończone</w:t>
            </w:r>
          </w:p>
        </w:tc>
        <w:tc>
          <w:tcPr>
            <w:tcW w:w="2370" w:type="dxa"/>
            <w:gridSpan w:val="2"/>
            <w:vMerge/>
            <w:tcBorders>
              <w:top w:val="single" w:sz="6" w:space="0" w:color="000000"/>
              <w:left w:val="single" w:sz="6" w:space="0" w:color="000000"/>
              <w:bottom w:val="single" w:sz="6" w:space="0" w:color="000000"/>
              <w:right w:val="single" w:sz="6" w:space="0" w:color="000000"/>
            </w:tcBorders>
            <w:shd w:val="clear" w:color="auto" w:fill="CBCBCB"/>
            <w:vAlign w:val="center"/>
          </w:tcPr>
          <w:p w14:paraId="064F0D49" w14:textId="77777777" w:rsidR="000A3B2B" w:rsidRDefault="000A3B2B">
            <w:pPr>
              <w:autoSpaceDE w:val="0"/>
              <w:autoSpaceDN w:val="0"/>
              <w:adjustRightInd w:val="0"/>
              <w:spacing w:after="0" w:line="240" w:lineRule="auto"/>
              <w:rPr>
                <w:rFonts w:ascii="Arial" w:hAnsi="Arial" w:cs="Arial"/>
                <w:b/>
                <w:bCs/>
                <w:color w:val="000000"/>
                <w:sz w:val="18"/>
                <w:szCs w:val="18"/>
                <w:lang w:val="x-none"/>
              </w:rPr>
            </w:pPr>
          </w:p>
        </w:tc>
      </w:tr>
      <w:tr w:rsidR="000A3B2B" w14:paraId="37AABD54" w14:textId="77777777">
        <w:trPr>
          <w:trHeight w:val="60"/>
          <w:tblCellSpacing w:w="0" w:type="dxa"/>
        </w:trPr>
        <w:tc>
          <w:tcPr>
            <w:tcW w:w="338" w:type="dxa"/>
            <w:vMerge/>
            <w:tcBorders>
              <w:top w:val="single" w:sz="6" w:space="0" w:color="000000"/>
              <w:left w:val="single" w:sz="6" w:space="0" w:color="000000"/>
              <w:bottom w:val="single" w:sz="6" w:space="0" w:color="000000"/>
              <w:right w:val="single" w:sz="6" w:space="0" w:color="000000"/>
            </w:tcBorders>
            <w:shd w:val="clear" w:color="auto" w:fill="CBCBCB"/>
            <w:vAlign w:val="center"/>
          </w:tcPr>
          <w:p w14:paraId="7AC1DBFE" w14:textId="77777777" w:rsidR="000A3B2B" w:rsidRDefault="000A3B2B">
            <w:pPr>
              <w:autoSpaceDE w:val="0"/>
              <w:autoSpaceDN w:val="0"/>
              <w:adjustRightInd w:val="0"/>
              <w:spacing w:after="0" w:line="240" w:lineRule="auto"/>
              <w:rPr>
                <w:rFonts w:ascii="Arial" w:hAnsi="Arial" w:cs="Arial"/>
                <w:b/>
                <w:bCs/>
                <w:color w:val="000000"/>
                <w:sz w:val="18"/>
                <w:szCs w:val="18"/>
                <w:lang w:val="x-none"/>
              </w:rPr>
            </w:pPr>
          </w:p>
        </w:tc>
        <w:tc>
          <w:tcPr>
            <w:tcW w:w="1830" w:type="dxa"/>
            <w:vMerge/>
            <w:tcBorders>
              <w:top w:val="single" w:sz="6" w:space="0" w:color="000000"/>
              <w:left w:val="single" w:sz="6" w:space="0" w:color="000000"/>
              <w:bottom w:val="single" w:sz="6" w:space="0" w:color="000000"/>
              <w:right w:val="single" w:sz="6" w:space="0" w:color="000000"/>
            </w:tcBorders>
            <w:shd w:val="clear" w:color="auto" w:fill="CBCBCB"/>
            <w:vAlign w:val="center"/>
          </w:tcPr>
          <w:p w14:paraId="7A219788" w14:textId="77777777" w:rsidR="000A3B2B" w:rsidRDefault="000A3B2B">
            <w:pPr>
              <w:autoSpaceDE w:val="0"/>
              <w:autoSpaceDN w:val="0"/>
              <w:adjustRightInd w:val="0"/>
              <w:spacing w:after="0" w:line="240" w:lineRule="auto"/>
              <w:rPr>
                <w:rFonts w:ascii="Arial" w:hAnsi="Arial" w:cs="Arial"/>
                <w:b/>
                <w:bCs/>
                <w:color w:val="000000"/>
                <w:sz w:val="18"/>
                <w:szCs w:val="18"/>
                <w:lang w:val="x-none"/>
              </w:rPr>
            </w:pPr>
          </w:p>
        </w:tc>
        <w:tc>
          <w:tcPr>
            <w:tcW w:w="1454" w:type="dxa"/>
            <w:vMerge/>
            <w:tcBorders>
              <w:top w:val="single" w:sz="6" w:space="0" w:color="000000"/>
              <w:left w:val="single" w:sz="6" w:space="0" w:color="000000"/>
              <w:bottom w:val="single" w:sz="6" w:space="0" w:color="000000"/>
              <w:right w:val="single" w:sz="6" w:space="0" w:color="000000"/>
            </w:tcBorders>
            <w:shd w:val="clear" w:color="auto" w:fill="CBCBCB"/>
            <w:vAlign w:val="center"/>
          </w:tcPr>
          <w:p w14:paraId="75BF2AC6" w14:textId="77777777" w:rsidR="000A3B2B" w:rsidRDefault="000A3B2B">
            <w:pPr>
              <w:autoSpaceDE w:val="0"/>
              <w:autoSpaceDN w:val="0"/>
              <w:adjustRightInd w:val="0"/>
              <w:spacing w:after="0" w:line="240" w:lineRule="auto"/>
              <w:rPr>
                <w:rFonts w:ascii="Arial" w:hAnsi="Arial" w:cs="Arial"/>
                <w:b/>
                <w:bCs/>
                <w:color w:val="000000"/>
                <w:sz w:val="18"/>
                <w:szCs w:val="18"/>
                <w:lang w:val="x-none"/>
              </w:rPr>
            </w:pPr>
          </w:p>
        </w:tc>
        <w:tc>
          <w:tcPr>
            <w:tcW w:w="5820" w:type="dxa"/>
            <w:gridSpan w:val="4"/>
            <w:tcBorders>
              <w:top w:val="single" w:sz="6" w:space="0" w:color="000000"/>
              <w:left w:val="single" w:sz="6" w:space="0" w:color="000000"/>
              <w:bottom w:val="single" w:sz="6" w:space="0" w:color="000000"/>
              <w:right w:val="single" w:sz="6" w:space="0" w:color="000000"/>
            </w:tcBorders>
            <w:shd w:val="clear" w:color="auto" w:fill="CBCBCB"/>
            <w:vAlign w:val="center"/>
          </w:tcPr>
          <w:p w14:paraId="41D8DD33"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sposób pakowania</w:t>
            </w:r>
          </w:p>
        </w:tc>
      </w:tr>
      <w:tr w:rsidR="000A3B2B" w14:paraId="06F8DC60" w14:textId="77777777">
        <w:trPr>
          <w:trHeight w:val="60"/>
          <w:tblCellSpacing w:w="0" w:type="dxa"/>
        </w:trPr>
        <w:tc>
          <w:tcPr>
            <w:tcW w:w="338" w:type="dxa"/>
            <w:vMerge/>
            <w:tcBorders>
              <w:top w:val="single" w:sz="6" w:space="0" w:color="000000"/>
              <w:left w:val="single" w:sz="6" w:space="0" w:color="000000"/>
              <w:bottom w:val="single" w:sz="6" w:space="0" w:color="000000"/>
              <w:right w:val="single" w:sz="6" w:space="0" w:color="000000"/>
            </w:tcBorders>
            <w:shd w:val="clear" w:color="auto" w:fill="CBCBCB"/>
            <w:vAlign w:val="center"/>
          </w:tcPr>
          <w:p w14:paraId="2C2E0427" w14:textId="77777777" w:rsidR="000A3B2B" w:rsidRDefault="000A3B2B">
            <w:pPr>
              <w:autoSpaceDE w:val="0"/>
              <w:autoSpaceDN w:val="0"/>
              <w:adjustRightInd w:val="0"/>
              <w:spacing w:after="0" w:line="240" w:lineRule="auto"/>
              <w:rPr>
                <w:rFonts w:ascii="Arial" w:hAnsi="Arial" w:cs="Arial"/>
                <w:b/>
                <w:bCs/>
                <w:color w:val="000000"/>
                <w:sz w:val="18"/>
                <w:szCs w:val="18"/>
                <w:lang w:val="x-none"/>
              </w:rPr>
            </w:pPr>
          </w:p>
        </w:tc>
        <w:tc>
          <w:tcPr>
            <w:tcW w:w="1830" w:type="dxa"/>
            <w:vMerge/>
            <w:tcBorders>
              <w:top w:val="single" w:sz="6" w:space="0" w:color="000000"/>
              <w:left w:val="single" w:sz="6" w:space="0" w:color="000000"/>
              <w:bottom w:val="single" w:sz="6" w:space="0" w:color="000000"/>
              <w:right w:val="single" w:sz="6" w:space="0" w:color="000000"/>
            </w:tcBorders>
            <w:shd w:val="clear" w:color="auto" w:fill="CBCBCB"/>
            <w:vAlign w:val="center"/>
          </w:tcPr>
          <w:p w14:paraId="7C620E54" w14:textId="77777777" w:rsidR="000A3B2B" w:rsidRDefault="000A3B2B">
            <w:pPr>
              <w:autoSpaceDE w:val="0"/>
              <w:autoSpaceDN w:val="0"/>
              <w:adjustRightInd w:val="0"/>
              <w:spacing w:after="0" w:line="240" w:lineRule="auto"/>
              <w:rPr>
                <w:rFonts w:ascii="Arial" w:hAnsi="Arial" w:cs="Arial"/>
                <w:b/>
                <w:bCs/>
                <w:color w:val="000000"/>
                <w:sz w:val="18"/>
                <w:szCs w:val="18"/>
                <w:lang w:val="x-none"/>
              </w:rPr>
            </w:pPr>
          </w:p>
        </w:tc>
        <w:tc>
          <w:tcPr>
            <w:tcW w:w="1454" w:type="dxa"/>
            <w:vMerge/>
            <w:tcBorders>
              <w:top w:val="single" w:sz="6" w:space="0" w:color="000000"/>
              <w:left w:val="single" w:sz="6" w:space="0" w:color="000000"/>
              <w:bottom w:val="single" w:sz="6" w:space="0" w:color="000000"/>
              <w:right w:val="single" w:sz="6" w:space="0" w:color="000000"/>
            </w:tcBorders>
            <w:shd w:val="clear" w:color="auto" w:fill="CBCBCB"/>
            <w:vAlign w:val="center"/>
          </w:tcPr>
          <w:p w14:paraId="58CC9544" w14:textId="77777777" w:rsidR="000A3B2B" w:rsidRDefault="000A3B2B">
            <w:pPr>
              <w:autoSpaceDE w:val="0"/>
              <w:autoSpaceDN w:val="0"/>
              <w:adjustRightInd w:val="0"/>
              <w:spacing w:after="0" w:line="240" w:lineRule="auto"/>
              <w:rPr>
                <w:rFonts w:ascii="Arial" w:hAnsi="Arial" w:cs="Arial"/>
                <w:b/>
                <w:bCs/>
                <w:color w:val="000000"/>
                <w:sz w:val="18"/>
                <w:szCs w:val="18"/>
                <w:lang w:val="x-none"/>
              </w:rPr>
            </w:pPr>
          </w:p>
        </w:tc>
        <w:tc>
          <w:tcPr>
            <w:tcW w:w="1816" w:type="dxa"/>
            <w:tcBorders>
              <w:top w:val="single" w:sz="6" w:space="0" w:color="000000"/>
              <w:left w:val="single" w:sz="6" w:space="0" w:color="000000"/>
              <w:bottom w:val="single" w:sz="6" w:space="0" w:color="000000"/>
              <w:right w:val="single" w:sz="6" w:space="0" w:color="000000"/>
            </w:tcBorders>
            <w:shd w:val="clear" w:color="auto" w:fill="CBCBCB"/>
            <w:vAlign w:val="center"/>
          </w:tcPr>
          <w:p w14:paraId="3B872925"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pojedynczo</w:t>
            </w:r>
          </w:p>
        </w:tc>
        <w:tc>
          <w:tcPr>
            <w:tcW w:w="1634" w:type="dxa"/>
            <w:tcBorders>
              <w:top w:val="single" w:sz="6" w:space="0" w:color="000000"/>
              <w:left w:val="single" w:sz="6" w:space="0" w:color="000000"/>
              <w:bottom w:val="single" w:sz="6" w:space="0" w:color="000000"/>
              <w:right w:val="single" w:sz="6" w:space="0" w:color="000000"/>
            </w:tcBorders>
            <w:shd w:val="clear" w:color="auto" w:fill="CBCBCB"/>
            <w:vAlign w:val="center"/>
          </w:tcPr>
          <w:p w14:paraId="4B42494E"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w pakietach</w:t>
            </w:r>
          </w:p>
        </w:tc>
        <w:tc>
          <w:tcPr>
            <w:tcW w:w="1276" w:type="dxa"/>
            <w:tcBorders>
              <w:top w:val="single" w:sz="6" w:space="0" w:color="000000"/>
              <w:left w:val="single" w:sz="6" w:space="0" w:color="000000"/>
              <w:bottom w:val="single" w:sz="6" w:space="0" w:color="000000"/>
              <w:right w:val="single" w:sz="6" w:space="0" w:color="000000"/>
            </w:tcBorders>
            <w:shd w:val="clear" w:color="auto" w:fill="CBCBCB"/>
            <w:vAlign w:val="center"/>
          </w:tcPr>
          <w:p w14:paraId="49031F82"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pojedynczo</w:t>
            </w:r>
          </w:p>
        </w:tc>
        <w:tc>
          <w:tcPr>
            <w:tcW w:w="1094" w:type="dxa"/>
            <w:tcBorders>
              <w:top w:val="single" w:sz="6" w:space="0" w:color="000000"/>
              <w:left w:val="single" w:sz="6" w:space="0" w:color="000000"/>
              <w:bottom w:val="single" w:sz="6" w:space="0" w:color="000000"/>
              <w:right w:val="single" w:sz="6" w:space="0" w:color="000000"/>
            </w:tcBorders>
            <w:shd w:val="clear" w:color="auto" w:fill="CBCBCB"/>
            <w:vAlign w:val="center"/>
          </w:tcPr>
          <w:p w14:paraId="17DCA6D4"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w paletach słupkowych</w:t>
            </w:r>
          </w:p>
        </w:tc>
      </w:tr>
      <w:tr w:rsidR="000A3B2B" w14:paraId="45C0E681" w14:textId="77777777">
        <w:trPr>
          <w:trHeight w:val="60"/>
          <w:tblCellSpacing w:w="0" w:type="dxa"/>
        </w:trPr>
        <w:tc>
          <w:tcPr>
            <w:tcW w:w="338" w:type="dxa"/>
            <w:tcBorders>
              <w:top w:val="single" w:sz="6" w:space="0" w:color="000000"/>
              <w:left w:val="single" w:sz="6" w:space="0" w:color="000000"/>
              <w:bottom w:val="single" w:sz="6" w:space="0" w:color="000000"/>
              <w:right w:val="single" w:sz="6" w:space="0" w:color="000000"/>
            </w:tcBorders>
            <w:shd w:val="clear" w:color="auto" w:fill="CBCBCB"/>
            <w:vAlign w:val="center"/>
          </w:tcPr>
          <w:p w14:paraId="142AFBAF"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w:t>
            </w:r>
          </w:p>
        </w:tc>
        <w:tc>
          <w:tcPr>
            <w:tcW w:w="1830" w:type="dxa"/>
            <w:tcBorders>
              <w:top w:val="single" w:sz="6" w:space="0" w:color="000000"/>
              <w:left w:val="single" w:sz="6" w:space="0" w:color="000000"/>
              <w:bottom w:val="single" w:sz="6" w:space="0" w:color="000000"/>
              <w:right w:val="single" w:sz="6" w:space="0" w:color="000000"/>
            </w:tcBorders>
            <w:shd w:val="clear" w:color="auto" w:fill="CBCBCB"/>
            <w:vAlign w:val="center"/>
          </w:tcPr>
          <w:p w14:paraId="500633E0"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2</w:t>
            </w:r>
          </w:p>
        </w:tc>
        <w:tc>
          <w:tcPr>
            <w:tcW w:w="1454" w:type="dxa"/>
            <w:tcBorders>
              <w:top w:val="single" w:sz="6" w:space="0" w:color="000000"/>
              <w:left w:val="single" w:sz="6" w:space="0" w:color="000000"/>
              <w:bottom w:val="single" w:sz="6" w:space="0" w:color="000000"/>
              <w:right w:val="single" w:sz="6" w:space="0" w:color="000000"/>
            </w:tcBorders>
            <w:shd w:val="clear" w:color="auto" w:fill="CBCBCB"/>
            <w:vAlign w:val="center"/>
          </w:tcPr>
          <w:p w14:paraId="19010746"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3</w:t>
            </w:r>
          </w:p>
        </w:tc>
        <w:tc>
          <w:tcPr>
            <w:tcW w:w="1816" w:type="dxa"/>
            <w:tcBorders>
              <w:top w:val="single" w:sz="6" w:space="0" w:color="000000"/>
              <w:left w:val="single" w:sz="6" w:space="0" w:color="000000"/>
              <w:bottom w:val="single" w:sz="6" w:space="0" w:color="000000"/>
              <w:right w:val="single" w:sz="6" w:space="0" w:color="000000"/>
            </w:tcBorders>
            <w:shd w:val="clear" w:color="auto" w:fill="CBCBCB"/>
            <w:vAlign w:val="center"/>
          </w:tcPr>
          <w:p w14:paraId="5780B550"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4</w:t>
            </w:r>
          </w:p>
        </w:tc>
        <w:tc>
          <w:tcPr>
            <w:tcW w:w="1634" w:type="dxa"/>
            <w:tcBorders>
              <w:top w:val="single" w:sz="6" w:space="0" w:color="000000"/>
              <w:left w:val="single" w:sz="6" w:space="0" w:color="000000"/>
              <w:bottom w:val="single" w:sz="6" w:space="0" w:color="000000"/>
              <w:right w:val="single" w:sz="6" w:space="0" w:color="000000"/>
            </w:tcBorders>
            <w:shd w:val="clear" w:color="auto" w:fill="CBCBCB"/>
            <w:vAlign w:val="center"/>
          </w:tcPr>
          <w:p w14:paraId="7FB89055"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5</w:t>
            </w:r>
          </w:p>
        </w:tc>
        <w:tc>
          <w:tcPr>
            <w:tcW w:w="1276" w:type="dxa"/>
            <w:tcBorders>
              <w:top w:val="single" w:sz="6" w:space="0" w:color="000000"/>
              <w:left w:val="single" w:sz="6" w:space="0" w:color="000000"/>
              <w:bottom w:val="single" w:sz="6" w:space="0" w:color="000000"/>
              <w:right w:val="single" w:sz="6" w:space="0" w:color="000000"/>
            </w:tcBorders>
            <w:shd w:val="clear" w:color="auto" w:fill="CBCBCB"/>
            <w:vAlign w:val="center"/>
          </w:tcPr>
          <w:p w14:paraId="6685F7A6"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6</w:t>
            </w:r>
          </w:p>
        </w:tc>
        <w:tc>
          <w:tcPr>
            <w:tcW w:w="1094" w:type="dxa"/>
            <w:tcBorders>
              <w:top w:val="single" w:sz="6" w:space="0" w:color="000000"/>
              <w:left w:val="single" w:sz="6" w:space="0" w:color="000000"/>
              <w:bottom w:val="single" w:sz="6" w:space="0" w:color="000000"/>
              <w:right w:val="single" w:sz="6" w:space="0" w:color="000000"/>
            </w:tcBorders>
            <w:shd w:val="clear" w:color="auto" w:fill="CBCBCB"/>
            <w:vAlign w:val="center"/>
          </w:tcPr>
          <w:p w14:paraId="3C7A955D"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7</w:t>
            </w:r>
          </w:p>
        </w:tc>
      </w:tr>
      <w:tr w:rsidR="000A3B2B" w14:paraId="47FFF42B" w14:textId="77777777">
        <w:trPr>
          <w:trHeight w:val="60"/>
          <w:tblCellSpacing w:w="0" w:type="dxa"/>
        </w:trPr>
        <w:tc>
          <w:tcPr>
            <w:tcW w:w="338" w:type="dxa"/>
            <w:tcBorders>
              <w:top w:val="single" w:sz="6" w:space="0" w:color="000000"/>
              <w:left w:val="single" w:sz="6" w:space="0" w:color="000000"/>
              <w:bottom w:val="single" w:sz="6" w:space="0" w:color="000000"/>
              <w:right w:val="single" w:sz="6" w:space="0" w:color="000000"/>
            </w:tcBorders>
          </w:tcPr>
          <w:p w14:paraId="1457B4EA"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w:t>
            </w:r>
          </w:p>
        </w:tc>
        <w:tc>
          <w:tcPr>
            <w:tcW w:w="1830" w:type="dxa"/>
            <w:tcBorders>
              <w:top w:val="single" w:sz="6" w:space="0" w:color="000000"/>
              <w:left w:val="single" w:sz="6" w:space="0" w:color="000000"/>
              <w:bottom w:val="single" w:sz="6" w:space="0" w:color="000000"/>
              <w:right w:val="single" w:sz="6" w:space="0" w:color="000000"/>
            </w:tcBorders>
          </w:tcPr>
          <w:p w14:paraId="03C42484" w14:textId="77777777" w:rsidR="000A3B2B" w:rsidRDefault="000A3B2B">
            <w:pPr>
              <w:autoSpaceDE w:val="0"/>
              <w:autoSpaceDN w:val="0"/>
              <w:adjustRightInd w:val="0"/>
              <w:spacing w:after="30" w:line="240" w:lineRule="auto"/>
              <w:ind w:left="45"/>
              <w:rPr>
                <w:rFonts w:ascii="Arial" w:hAnsi="Arial" w:cs="Arial"/>
                <w:color w:val="000000"/>
                <w:sz w:val="18"/>
                <w:szCs w:val="18"/>
                <w:lang w:val="x-none"/>
              </w:rPr>
            </w:pPr>
            <w:r>
              <w:rPr>
                <w:rFonts w:ascii="Arial" w:hAnsi="Arial" w:cs="Arial"/>
                <w:color w:val="000000"/>
                <w:sz w:val="18"/>
                <w:szCs w:val="18"/>
                <w:lang w:val="x-none"/>
              </w:rPr>
              <w:t>Podłoże nieutwardzone (na legarach)</w:t>
            </w:r>
          </w:p>
        </w:tc>
        <w:tc>
          <w:tcPr>
            <w:tcW w:w="1454" w:type="dxa"/>
            <w:tcBorders>
              <w:top w:val="single" w:sz="6" w:space="0" w:color="000000"/>
              <w:left w:val="single" w:sz="6" w:space="0" w:color="000000"/>
              <w:bottom w:val="single" w:sz="6" w:space="0" w:color="000000"/>
              <w:right w:val="single" w:sz="6" w:space="0" w:color="000000"/>
            </w:tcBorders>
          </w:tcPr>
          <w:p w14:paraId="16B99593" w14:textId="77777777" w:rsidR="000A3B2B" w:rsidRDefault="000A3B2B">
            <w:pPr>
              <w:autoSpaceDE w:val="0"/>
              <w:autoSpaceDN w:val="0"/>
              <w:adjustRightInd w:val="0"/>
              <w:spacing w:after="30" w:line="240" w:lineRule="auto"/>
              <w:ind w:left="45"/>
              <w:rPr>
                <w:rFonts w:ascii="Arial" w:hAnsi="Arial" w:cs="Arial"/>
                <w:color w:val="000000"/>
                <w:sz w:val="18"/>
                <w:szCs w:val="18"/>
                <w:lang w:val="x-none"/>
              </w:rPr>
            </w:pPr>
            <w:r>
              <w:rPr>
                <w:rFonts w:ascii="Arial" w:hAnsi="Arial" w:cs="Arial"/>
                <w:color w:val="000000"/>
                <w:sz w:val="18"/>
                <w:szCs w:val="18"/>
                <w:lang w:val="x-none"/>
              </w:rPr>
              <w:t>W jednej warstwie na progu ościeżnicy</w:t>
            </w:r>
          </w:p>
        </w:tc>
        <w:tc>
          <w:tcPr>
            <w:tcW w:w="1816" w:type="dxa"/>
            <w:vMerge w:val="restart"/>
            <w:tcBorders>
              <w:top w:val="single" w:sz="6" w:space="0" w:color="000000"/>
              <w:left w:val="single" w:sz="6" w:space="0" w:color="000000"/>
              <w:bottom w:val="single" w:sz="6" w:space="0" w:color="000000"/>
              <w:right w:val="single" w:sz="6" w:space="0" w:color="000000"/>
            </w:tcBorders>
          </w:tcPr>
          <w:p w14:paraId="68ABF607" w14:textId="77777777" w:rsidR="000A3B2B" w:rsidRDefault="000A3B2B">
            <w:pPr>
              <w:autoSpaceDE w:val="0"/>
              <w:autoSpaceDN w:val="0"/>
              <w:adjustRightInd w:val="0"/>
              <w:spacing w:after="30" w:line="240" w:lineRule="auto"/>
              <w:ind w:left="90"/>
              <w:rPr>
                <w:rFonts w:ascii="Arial" w:hAnsi="Arial" w:cs="Arial"/>
                <w:color w:val="000000"/>
                <w:sz w:val="18"/>
                <w:szCs w:val="18"/>
                <w:lang w:val="x-none"/>
              </w:rPr>
            </w:pPr>
            <w:r>
              <w:rPr>
                <w:rFonts w:ascii="Arial" w:hAnsi="Arial" w:cs="Arial"/>
                <w:color w:val="000000"/>
                <w:sz w:val="18"/>
                <w:szCs w:val="18"/>
                <w:lang w:val="x-none"/>
              </w:rPr>
              <w:t xml:space="preserve">Na progu ościeżnicy; </w:t>
            </w:r>
            <w:r>
              <w:rPr>
                <w:rFonts w:ascii="Arial" w:hAnsi="Arial" w:cs="Arial"/>
                <w:color w:val="000000"/>
                <w:sz w:val="18"/>
                <w:szCs w:val="18"/>
                <w:lang w:val="x-none"/>
              </w:rPr>
              <w:br/>
              <w:t>okna w warstwach do łącznej wysokości 2 m, drzwi balkonowe w jednej warstwie</w:t>
            </w:r>
          </w:p>
        </w:tc>
        <w:tc>
          <w:tcPr>
            <w:tcW w:w="1634" w:type="dxa"/>
            <w:tcBorders>
              <w:top w:val="single" w:sz="6" w:space="0" w:color="000000"/>
              <w:left w:val="single" w:sz="6" w:space="0" w:color="000000"/>
              <w:bottom w:val="single" w:sz="6" w:space="0" w:color="000000"/>
              <w:right w:val="single" w:sz="6" w:space="0" w:color="000000"/>
            </w:tcBorders>
          </w:tcPr>
          <w:p w14:paraId="280A4B47"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w:t>
            </w:r>
          </w:p>
        </w:tc>
        <w:tc>
          <w:tcPr>
            <w:tcW w:w="1276" w:type="dxa"/>
            <w:vMerge w:val="restart"/>
            <w:tcBorders>
              <w:top w:val="single" w:sz="6" w:space="0" w:color="000000"/>
              <w:left w:val="single" w:sz="6" w:space="0" w:color="000000"/>
              <w:bottom w:val="single" w:sz="6" w:space="0" w:color="000000"/>
              <w:right w:val="single" w:sz="6" w:space="0" w:color="000000"/>
            </w:tcBorders>
          </w:tcPr>
          <w:p w14:paraId="2DF6A960"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W jednej warstwie na progu ościeżnicy</w:t>
            </w:r>
          </w:p>
        </w:tc>
        <w:tc>
          <w:tcPr>
            <w:tcW w:w="1094" w:type="dxa"/>
            <w:tcBorders>
              <w:top w:val="single" w:sz="6" w:space="0" w:color="000000"/>
              <w:left w:val="single" w:sz="6" w:space="0" w:color="000000"/>
              <w:bottom w:val="single" w:sz="6" w:space="0" w:color="000000"/>
              <w:right w:val="single" w:sz="6" w:space="0" w:color="000000"/>
            </w:tcBorders>
          </w:tcPr>
          <w:p w14:paraId="6ACCA5C2"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w:t>
            </w:r>
          </w:p>
        </w:tc>
      </w:tr>
      <w:tr w:rsidR="000A3B2B" w14:paraId="5F8814B4" w14:textId="77777777">
        <w:trPr>
          <w:trHeight w:val="60"/>
          <w:tblCellSpacing w:w="0" w:type="dxa"/>
        </w:trPr>
        <w:tc>
          <w:tcPr>
            <w:tcW w:w="338" w:type="dxa"/>
            <w:tcBorders>
              <w:top w:val="single" w:sz="6" w:space="0" w:color="000000"/>
              <w:left w:val="single" w:sz="6" w:space="0" w:color="000000"/>
              <w:bottom w:val="single" w:sz="6" w:space="0" w:color="000000"/>
              <w:right w:val="single" w:sz="6" w:space="0" w:color="000000"/>
            </w:tcBorders>
          </w:tcPr>
          <w:p w14:paraId="4146F6A7"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2.</w:t>
            </w:r>
          </w:p>
        </w:tc>
        <w:tc>
          <w:tcPr>
            <w:tcW w:w="1830" w:type="dxa"/>
            <w:tcBorders>
              <w:top w:val="single" w:sz="6" w:space="0" w:color="000000"/>
              <w:left w:val="single" w:sz="6" w:space="0" w:color="000000"/>
              <w:bottom w:val="single" w:sz="6" w:space="0" w:color="000000"/>
              <w:right w:val="single" w:sz="6" w:space="0" w:color="000000"/>
            </w:tcBorders>
          </w:tcPr>
          <w:p w14:paraId="5A71471F"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Podłoże utwardzone</w:t>
            </w:r>
          </w:p>
        </w:tc>
        <w:tc>
          <w:tcPr>
            <w:tcW w:w="1454" w:type="dxa"/>
            <w:tcBorders>
              <w:top w:val="single" w:sz="6" w:space="0" w:color="000000"/>
              <w:left w:val="single" w:sz="6" w:space="0" w:color="000000"/>
              <w:bottom w:val="single" w:sz="6" w:space="0" w:color="000000"/>
              <w:right w:val="single" w:sz="6" w:space="0" w:color="000000"/>
            </w:tcBorders>
          </w:tcPr>
          <w:p w14:paraId="46C26407"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1816" w:type="dxa"/>
            <w:vMerge/>
            <w:tcBorders>
              <w:top w:val="single" w:sz="6" w:space="0" w:color="000000"/>
              <w:left w:val="single" w:sz="6" w:space="0" w:color="000000"/>
              <w:bottom w:val="single" w:sz="6" w:space="0" w:color="000000"/>
              <w:right w:val="single" w:sz="6" w:space="0" w:color="000000"/>
            </w:tcBorders>
          </w:tcPr>
          <w:p w14:paraId="2A842C5F" w14:textId="77777777" w:rsidR="000A3B2B" w:rsidRDefault="000A3B2B">
            <w:pPr>
              <w:autoSpaceDE w:val="0"/>
              <w:autoSpaceDN w:val="0"/>
              <w:adjustRightInd w:val="0"/>
              <w:spacing w:after="0" w:line="240" w:lineRule="auto"/>
              <w:rPr>
                <w:rFonts w:ascii="Arial" w:hAnsi="Arial" w:cs="Arial"/>
                <w:b/>
                <w:bCs/>
                <w:color w:val="000000"/>
                <w:sz w:val="18"/>
                <w:szCs w:val="18"/>
                <w:lang w:val="x-none"/>
              </w:rPr>
            </w:pPr>
          </w:p>
        </w:tc>
        <w:tc>
          <w:tcPr>
            <w:tcW w:w="1634" w:type="dxa"/>
            <w:tcBorders>
              <w:top w:val="single" w:sz="6" w:space="0" w:color="000000"/>
              <w:left w:val="single" w:sz="6" w:space="0" w:color="000000"/>
              <w:bottom w:val="single" w:sz="6" w:space="0" w:color="000000"/>
              <w:right w:val="single" w:sz="6" w:space="0" w:color="000000"/>
            </w:tcBorders>
          </w:tcPr>
          <w:p w14:paraId="2BA70B75"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Na legarach w dwóch lub trzech warstwach</w:t>
            </w:r>
          </w:p>
        </w:tc>
        <w:tc>
          <w:tcPr>
            <w:tcW w:w="1276" w:type="dxa"/>
            <w:vMerge/>
            <w:tcBorders>
              <w:top w:val="single" w:sz="6" w:space="0" w:color="000000"/>
              <w:left w:val="single" w:sz="6" w:space="0" w:color="000000"/>
              <w:bottom w:val="single" w:sz="6" w:space="0" w:color="000000"/>
              <w:right w:val="single" w:sz="6" w:space="0" w:color="000000"/>
            </w:tcBorders>
          </w:tcPr>
          <w:p w14:paraId="426F6444" w14:textId="77777777" w:rsidR="000A3B2B" w:rsidRDefault="000A3B2B">
            <w:pPr>
              <w:autoSpaceDE w:val="0"/>
              <w:autoSpaceDN w:val="0"/>
              <w:adjustRightInd w:val="0"/>
              <w:spacing w:after="0" w:line="240" w:lineRule="auto"/>
              <w:rPr>
                <w:rFonts w:ascii="Arial" w:hAnsi="Arial" w:cs="Arial"/>
                <w:b/>
                <w:bCs/>
                <w:color w:val="000000"/>
                <w:sz w:val="18"/>
                <w:szCs w:val="18"/>
                <w:lang w:val="x-none"/>
              </w:rPr>
            </w:pPr>
          </w:p>
        </w:tc>
        <w:tc>
          <w:tcPr>
            <w:tcW w:w="1094" w:type="dxa"/>
            <w:tcBorders>
              <w:top w:val="single" w:sz="6" w:space="0" w:color="000000"/>
              <w:left w:val="single" w:sz="6" w:space="0" w:color="000000"/>
              <w:bottom w:val="single" w:sz="6" w:space="0" w:color="000000"/>
              <w:right w:val="single" w:sz="6" w:space="0" w:color="000000"/>
            </w:tcBorders>
          </w:tcPr>
          <w:p w14:paraId="46665999"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W dwóch lub trzech warstwach</w:t>
            </w:r>
          </w:p>
        </w:tc>
      </w:tr>
    </w:tbl>
    <w:p w14:paraId="028F1A3B"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p>
    <w:p w14:paraId="46EDFEEF"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Sposób przechowywania okien i drzwi aluminiowych powinien być zgodny z wymaganiami ich producenta.</w:t>
      </w:r>
    </w:p>
    <w:p w14:paraId="3359E4D4"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1AAC66DE" w14:textId="77777777" w:rsidR="000A3B2B" w:rsidRDefault="000A3B2B" w:rsidP="009E5295">
      <w:pPr>
        <w:autoSpaceDE w:val="0"/>
        <w:autoSpaceDN w:val="0"/>
        <w:adjustRightInd w:val="0"/>
        <w:spacing w:before="225" w:after="12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3.</w:t>
      </w:r>
      <w:r>
        <w:rPr>
          <w:rFonts w:ascii="Arial" w:hAnsi="Arial" w:cs="Arial"/>
          <w:b/>
          <w:bCs/>
          <w:color w:val="000000"/>
          <w:sz w:val="18"/>
          <w:szCs w:val="18"/>
          <w:lang w:val="x-none"/>
        </w:rPr>
        <w:tab/>
        <w:t>WYMAGANIA DOTYCZĄCE SPRZĘTU, MASZYN I NARZĘDZI</w:t>
      </w:r>
    </w:p>
    <w:p w14:paraId="62F321EC"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3.1.</w:t>
      </w:r>
      <w:r>
        <w:rPr>
          <w:rFonts w:ascii="Arial" w:hAnsi="Arial" w:cs="Arial"/>
          <w:b/>
          <w:bCs/>
          <w:color w:val="000000"/>
          <w:sz w:val="18"/>
          <w:szCs w:val="18"/>
          <w:lang w:val="x-none"/>
        </w:rPr>
        <w:tab/>
        <w:t>Ogólne wymagania dotyczące sprzętu podano w ST „Wymagania ogólne” Kod CPV 45000000-7, pkt 3</w:t>
      </w:r>
    </w:p>
    <w:p w14:paraId="24693B52"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7415716F"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3.2.</w:t>
      </w:r>
      <w:r>
        <w:rPr>
          <w:rFonts w:ascii="Arial" w:hAnsi="Arial" w:cs="Arial"/>
          <w:b/>
          <w:bCs/>
          <w:color w:val="000000"/>
          <w:sz w:val="18"/>
          <w:szCs w:val="18"/>
          <w:lang w:val="x-none"/>
        </w:rPr>
        <w:tab/>
        <w:t>Sprzęt i narzędzia do montażu okien i drzwi balkonowych</w:t>
      </w:r>
    </w:p>
    <w:p w14:paraId="75AD9573"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Montaż okien i drzwi balkonowych nie wymaga stosowania specjalistycznego sprzętu.</w:t>
      </w:r>
    </w:p>
    <w:p w14:paraId="1F4B4CCC"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Wykonawca jest zobowiązany do używania takich narzędzi i sprzętu, które nie spowodują niekorzystnego wpływu na jakość materiałów i wykonywanych robót oraz będą przyjazne dla środowiska, a także bezpieczne dla brygad roboczych wykonujących montaż okien i drzwi balkonowych. Przy doborze narzędzi i sprzętu należy uwzględnić wymagania producenta stosowanych materiałów i wyrobów.</w:t>
      </w:r>
    </w:p>
    <w:p w14:paraId="26CDF6DE"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Przy montażu okien i drzwi balkonowych należy wykorzystywać odpowiednie narzędzie, elektronarzędzia i sprzęt do:</w:t>
      </w:r>
    </w:p>
    <w:p w14:paraId="4684646F"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a)</w:t>
      </w:r>
      <w:r>
        <w:rPr>
          <w:rFonts w:ascii="Arial" w:hAnsi="Arial" w:cs="Arial"/>
          <w:color w:val="000000"/>
          <w:sz w:val="18"/>
          <w:szCs w:val="18"/>
          <w:lang w:val="x-none"/>
        </w:rPr>
        <w:tab/>
        <w:t>sprawdzania wymiarów i płaszczyzn,</w:t>
      </w:r>
    </w:p>
    <w:p w14:paraId="600DE298"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b)</w:t>
      </w:r>
      <w:r>
        <w:rPr>
          <w:rFonts w:ascii="Arial" w:hAnsi="Arial" w:cs="Arial"/>
          <w:color w:val="000000"/>
          <w:sz w:val="18"/>
          <w:szCs w:val="18"/>
          <w:lang w:val="x-none"/>
        </w:rPr>
        <w:tab/>
        <w:t>wiercenia otworów oraz ustawienia i zamocowania okien lub drzwi balkonowych w ościeżach,</w:t>
      </w:r>
    </w:p>
    <w:p w14:paraId="0FBACD1E"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c)</w:t>
      </w:r>
      <w:r>
        <w:rPr>
          <w:rFonts w:ascii="Arial" w:hAnsi="Arial" w:cs="Arial"/>
          <w:color w:val="000000"/>
          <w:sz w:val="18"/>
          <w:szCs w:val="18"/>
          <w:lang w:val="x-none"/>
        </w:rPr>
        <w:tab/>
        <w:t>transportu technologicznego wyrobów,</w:t>
      </w:r>
    </w:p>
    <w:p w14:paraId="0C5BC0F5"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d)</w:t>
      </w:r>
      <w:r>
        <w:rPr>
          <w:rFonts w:ascii="Arial" w:hAnsi="Arial" w:cs="Arial"/>
          <w:color w:val="000000"/>
          <w:sz w:val="18"/>
          <w:szCs w:val="18"/>
          <w:lang w:val="x-none"/>
        </w:rPr>
        <w:tab/>
        <w:t>wykonywania montażu na wysokości wymagającej użycia rusztowań.</w:t>
      </w:r>
    </w:p>
    <w:p w14:paraId="37062E4D"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 </w:t>
      </w:r>
    </w:p>
    <w:p w14:paraId="032B1BC4" w14:textId="77777777" w:rsidR="000A3B2B" w:rsidRDefault="000A3B2B" w:rsidP="009E5295">
      <w:pPr>
        <w:autoSpaceDE w:val="0"/>
        <w:autoSpaceDN w:val="0"/>
        <w:adjustRightInd w:val="0"/>
        <w:spacing w:before="225" w:after="12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4.</w:t>
      </w:r>
      <w:r>
        <w:rPr>
          <w:rFonts w:ascii="Arial" w:hAnsi="Arial" w:cs="Arial"/>
          <w:b/>
          <w:bCs/>
          <w:color w:val="000000"/>
          <w:sz w:val="18"/>
          <w:szCs w:val="18"/>
          <w:lang w:val="x-none"/>
        </w:rPr>
        <w:tab/>
        <w:t>WYMAGANIA DOTYCZĄCE TRANSPORTU</w:t>
      </w:r>
    </w:p>
    <w:p w14:paraId="27D4CEE0"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4.1.</w:t>
      </w:r>
      <w:r>
        <w:rPr>
          <w:rFonts w:ascii="Arial" w:hAnsi="Arial" w:cs="Arial"/>
          <w:b/>
          <w:bCs/>
          <w:color w:val="000000"/>
          <w:sz w:val="18"/>
          <w:szCs w:val="18"/>
          <w:lang w:val="x-none"/>
        </w:rPr>
        <w:tab/>
        <w:t>Ogólne wymagania dotyczące transportu podano w ST „Wymagania ogólne” Kod CPV 45000000-7, pkt 4</w:t>
      </w:r>
    </w:p>
    <w:p w14:paraId="2A112259"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6E5F78EF"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4.2.</w:t>
      </w:r>
      <w:r>
        <w:rPr>
          <w:rFonts w:ascii="Arial" w:hAnsi="Arial" w:cs="Arial"/>
          <w:b/>
          <w:bCs/>
          <w:color w:val="000000"/>
          <w:sz w:val="18"/>
          <w:szCs w:val="18"/>
          <w:lang w:val="x-none"/>
        </w:rPr>
        <w:tab/>
        <w:t>Wymagania szczegółowe dotyczące środków transportu</w:t>
      </w:r>
    </w:p>
    <w:p w14:paraId="5FAF6966"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Wyroby i materiały do montażu okien i drzwi balkonowych mogą być przewożone jednostkami samochodowymi, kolejowymi i wodnymi.</w:t>
      </w:r>
    </w:p>
    <w:p w14:paraId="676B6291"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Wymagania dotyczące środków transportu oraz zasady ładowania i zabezpieczania okien i drzwi balkonowych w środkach transportu powinny być zgodne z wymogami podanymi w normie PN-B-0500 oraz z wytycznymi (zaleceniami) producenta.</w:t>
      </w:r>
    </w:p>
    <w:p w14:paraId="1DB13FD3"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Warunki transportu pozostałych wyrobów i materiałów powinny być zgodne z wymaganiami  norm przedmiotowych dotyczących tych wyrobów i wytycznymi (zaleceniami) producenta.</w:t>
      </w:r>
    </w:p>
    <w:p w14:paraId="33EA51C0"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3F4F1342"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4.3.</w:t>
      </w:r>
      <w:r>
        <w:rPr>
          <w:rFonts w:ascii="Arial" w:hAnsi="Arial" w:cs="Arial"/>
          <w:b/>
          <w:bCs/>
          <w:color w:val="000000"/>
          <w:sz w:val="18"/>
          <w:szCs w:val="18"/>
          <w:lang w:val="x-none"/>
        </w:rPr>
        <w:tab/>
        <w:t>Zasady ładowania okien i drzwi balkonowych na środki transportu</w:t>
      </w:r>
    </w:p>
    <w:p w14:paraId="57A2A304" w14:textId="77777777" w:rsidR="000A3B2B" w:rsidRDefault="000A3B2B" w:rsidP="009E529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4.3.1.</w:t>
      </w:r>
      <w:r>
        <w:rPr>
          <w:rFonts w:ascii="Arial" w:hAnsi="Arial" w:cs="Arial"/>
          <w:b/>
          <w:bCs/>
          <w:color w:val="000000"/>
          <w:sz w:val="18"/>
          <w:szCs w:val="18"/>
          <w:lang w:val="x-none"/>
        </w:rPr>
        <w:tab/>
        <w:t>Ładowanie okien i drzwi balkonowych w transporcie drogowym</w:t>
      </w:r>
    </w:p>
    <w:p w14:paraId="1554BAB4"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Wyroby należy ustawiać w jednej warstwie, pionowo w rzędach tak, aby płaszczyzny skrzydeł były równoległe do podłużnej osi pojazdu, z tym że okna – na progach ościeżnic, drzwi balkonowe – na stojakach ościeżnic. Wyroby nieszklone, w których elementy okuć zamykających wystają ponad powierzchnię skrzydła, należy przesunąć względem siebie o szerokość skrzydła okiennego.</w:t>
      </w:r>
    </w:p>
    <w:p w14:paraId="6E8B5498" w14:textId="77777777" w:rsidR="000A3B2B" w:rsidRDefault="000A3B2B" w:rsidP="009E529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4.3.2.</w:t>
      </w:r>
      <w:r>
        <w:rPr>
          <w:rFonts w:ascii="Arial" w:hAnsi="Arial" w:cs="Arial"/>
          <w:b/>
          <w:bCs/>
          <w:color w:val="000000"/>
          <w:sz w:val="18"/>
          <w:szCs w:val="18"/>
          <w:lang w:val="x-none"/>
        </w:rPr>
        <w:tab/>
        <w:t xml:space="preserve">Ładowanie okien i drzwi balkonowych w transporcie kolejowym i wodnym </w:t>
      </w:r>
    </w:p>
    <w:p w14:paraId="723936D0"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Wyroby należy ustawiać pionowo w rzędach tak, aby płaszczyzny skrzydeł były równoległe do podłużnej osi wagonu (środka pływającego), z tym że:</w:t>
      </w:r>
    </w:p>
    <w:p w14:paraId="17F8C379"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a)</w:t>
      </w:r>
      <w:r>
        <w:rPr>
          <w:rFonts w:ascii="Arial" w:hAnsi="Arial" w:cs="Arial"/>
          <w:color w:val="000000"/>
          <w:sz w:val="18"/>
          <w:szCs w:val="18"/>
          <w:lang w:val="x-none"/>
        </w:rPr>
        <w:tab/>
        <w:t>okna – na progach ościeżnic,</w:t>
      </w:r>
    </w:p>
    <w:p w14:paraId="3D6FC0D0"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b)</w:t>
      </w:r>
      <w:r>
        <w:rPr>
          <w:rFonts w:ascii="Arial" w:hAnsi="Arial" w:cs="Arial"/>
          <w:color w:val="000000"/>
          <w:sz w:val="18"/>
          <w:szCs w:val="18"/>
          <w:lang w:val="x-none"/>
        </w:rPr>
        <w:tab/>
        <w:t>drzwi balkonowe:</w:t>
      </w:r>
    </w:p>
    <w:p w14:paraId="0344CCD3" w14:textId="77777777" w:rsidR="000A3B2B" w:rsidRDefault="000A3B2B" w:rsidP="009E5295">
      <w:pPr>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o wysokości ościeżnicy mniejszej od wysokości bocznych ścian wagonu na progu ościeżnicy,</w:t>
      </w:r>
    </w:p>
    <w:p w14:paraId="0172654A" w14:textId="77777777" w:rsidR="000A3B2B" w:rsidRDefault="000A3B2B" w:rsidP="009E5295">
      <w:pPr>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o wysokości ościeżnicy większej od wysokości bocznych ścian wagonu na stojaku ościeżnicy.</w:t>
      </w:r>
    </w:p>
    <w:p w14:paraId="1CA488ED"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Wyroby nieszklone, w których okucia zamykające wystają ponad powierzchnię skrzydła, należy przesunąć względem siebie o szerokość ramiaka skrzydła.</w:t>
      </w:r>
    </w:p>
    <w:p w14:paraId="6F25A9AE"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Zaleca się ładowanie wyrobów w dwóch lub trzech warstwach pod warunkiem, że wysokość bloku nie może przekroczyć wysokości bocznych ścian wagonu.</w:t>
      </w:r>
    </w:p>
    <w:p w14:paraId="12EB711C"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 </w:t>
      </w:r>
    </w:p>
    <w:p w14:paraId="6D5F08D3"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4.4. Zasady zabezpieczania okien i drzwi w środkach transportowych</w:t>
      </w:r>
    </w:p>
    <w:p w14:paraId="71E275B2"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Ustawione wyroby w środkach transportowych należy łączyć w bloki. Połączenia powinny zapewniać stabilność i zwartość ładunku oraz zabezpieczać go przed przemieszczaniem i uszkodzeniem wyrobów. Wyroby należy zabezpieczać przez:</w:t>
      </w:r>
    </w:p>
    <w:p w14:paraId="17CA0F00"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a)</w:t>
      </w:r>
      <w:r>
        <w:rPr>
          <w:rFonts w:ascii="Arial" w:hAnsi="Arial" w:cs="Arial"/>
          <w:color w:val="000000"/>
          <w:sz w:val="18"/>
          <w:szCs w:val="18"/>
          <w:lang w:val="x-none"/>
        </w:rPr>
        <w:tab/>
        <w:t>ścisłe ich ustawienie w rzędach,</w:t>
      </w:r>
    </w:p>
    <w:p w14:paraId="3DAE24AE"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b)</w:t>
      </w:r>
      <w:r>
        <w:rPr>
          <w:rFonts w:ascii="Arial" w:hAnsi="Arial" w:cs="Arial"/>
          <w:color w:val="000000"/>
          <w:sz w:val="18"/>
          <w:szCs w:val="18"/>
          <w:lang w:val="x-none"/>
        </w:rPr>
        <w:tab/>
        <w:t>wypełnienie wolnych przestrzeni w rzędach elementami rozpierającymi,</w:t>
      </w:r>
    </w:p>
    <w:p w14:paraId="5CC1EB18"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c)</w:t>
      </w:r>
      <w:r>
        <w:rPr>
          <w:rFonts w:ascii="Arial" w:hAnsi="Arial" w:cs="Arial"/>
          <w:color w:val="000000"/>
          <w:sz w:val="18"/>
          <w:szCs w:val="18"/>
          <w:lang w:val="x-none"/>
        </w:rPr>
        <w:tab/>
        <w:t>usztywnienie rzędów za pomocą elementów mocujących i rozpierających,</w:t>
      </w:r>
    </w:p>
    <w:p w14:paraId="1664E74A"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d)</w:t>
      </w:r>
      <w:r>
        <w:rPr>
          <w:rFonts w:ascii="Arial" w:hAnsi="Arial" w:cs="Arial"/>
          <w:color w:val="000000"/>
          <w:sz w:val="18"/>
          <w:szCs w:val="18"/>
          <w:lang w:val="x-none"/>
        </w:rPr>
        <w:tab/>
        <w:t>łączenie rzędów w bloki w transporcie kolejowym i wodnym za pomocą rozpór a w transporcie drogowym za pomocą elementów mocujących,</w:t>
      </w:r>
    </w:p>
    <w:p w14:paraId="3809C71E"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e)</w:t>
      </w:r>
      <w:r>
        <w:rPr>
          <w:rFonts w:ascii="Arial" w:hAnsi="Arial" w:cs="Arial"/>
          <w:color w:val="000000"/>
          <w:sz w:val="18"/>
          <w:szCs w:val="18"/>
          <w:lang w:val="x-none"/>
        </w:rPr>
        <w:tab/>
        <w:t>usztywnienie bloków za pomocą progów,</w:t>
      </w:r>
    </w:p>
    <w:p w14:paraId="6A289D71"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f)</w:t>
      </w:r>
      <w:r>
        <w:rPr>
          <w:rFonts w:ascii="Arial" w:hAnsi="Arial" w:cs="Arial"/>
          <w:color w:val="000000"/>
          <w:sz w:val="18"/>
          <w:szCs w:val="18"/>
          <w:lang w:val="x-none"/>
        </w:rPr>
        <w:tab/>
        <w:t>ustawienie w przestrzeni między drzwiowej w wagonach wyrobów w ten sposób, aby nie blokowały drzwi.</w:t>
      </w:r>
    </w:p>
    <w:p w14:paraId="332CE632"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 przypadku ładowania wyrobów dwuwarstwowo, górną warstwę należy zabezpieczyć podobnie jak dolną.</w:t>
      </w:r>
    </w:p>
    <w:p w14:paraId="5C87E674"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64A0C542" w14:textId="77777777" w:rsidR="000A3B2B" w:rsidRDefault="000A3B2B" w:rsidP="009E5295">
      <w:pPr>
        <w:autoSpaceDE w:val="0"/>
        <w:autoSpaceDN w:val="0"/>
        <w:adjustRightInd w:val="0"/>
        <w:spacing w:before="225" w:after="12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5.</w:t>
      </w:r>
      <w:r>
        <w:rPr>
          <w:rFonts w:ascii="Arial" w:hAnsi="Arial" w:cs="Arial"/>
          <w:b/>
          <w:bCs/>
          <w:color w:val="000000"/>
          <w:sz w:val="18"/>
          <w:szCs w:val="18"/>
          <w:lang w:val="x-none"/>
        </w:rPr>
        <w:tab/>
        <w:t>WYMAGANIA DOTYCZĄCE WYKONANIA ROBÓT</w:t>
      </w:r>
    </w:p>
    <w:p w14:paraId="06BC5C02"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5.1.</w:t>
      </w:r>
      <w:r>
        <w:rPr>
          <w:rFonts w:ascii="Arial" w:hAnsi="Arial" w:cs="Arial"/>
          <w:b/>
          <w:bCs/>
          <w:color w:val="000000"/>
          <w:sz w:val="18"/>
          <w:szCs w:val="18"/>
          <w:lang w:val="x-none"/>
        </w:rPr>
        <w:tab/>
        <w:t>Ogólne zasady wykonania robót podano w ST „Wymagania ogólne” Kod CPV 45000000-7, pkt 5</w:t>
      </w:r>
    </w:p>
    <w:p w14:paraId="032262D7"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593688BA"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5.2.</w:t>
      </w:r>
      <w:r>
        <w:rPr>
          <w:rFonts w:ascii="Arial" w:hAnsi="Arial" w:cs="Arial"/>
          <w:b/>
          <w:bCs/>
          <w:color w:val="000000"/>
          <w:sz w:val="18"/>
          <w:szCs w:val="18"/>
          <w:lang w:val="x-none"/>
        </w:rPr>
        <w:tab/>
        <w:t>Warunki przystąpienia do montażu okien i drzwi balkonowych</w:t>
      </w:r>
    </w:p>
    <w:p w14:paraId="1C283160"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Do montażu okien i drzwi balkonowych można przystąpić po ukończeniu robót stanu surowego, przykryciu budynku i zakończeniu większości robót mokrych (tynki, wylewki).</w:t>
      </w:r>
    </w:p>
    <w:p w14:paraId="4CFAE646"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Osadzenie okien przed zakończeniem robót mokrych jest możliwe przy zapewnieniu odpowiednich warunków cieplno-wilgotnościowych w pomieszczeniach.</w:t>
      </w:r>
    </w:p>
    <w:p w14:paraId="5060E053"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 przypadku okien drewnianych należy nie dopuścić do ich zawilgocenia na skutek wilgotności względnej powietrza w pomieszczeniach (kondensacji pary wodnej na elementach okien). Wymagane jest więc sprawdzenie stanu wilgotności powietrza i zapewnienie systematycznego wietrzenia pomieszczeń w okresie jesienno-zimowym.</w:t>
      </w:r>
    </w:p>
    <w:p w14:paraId="2F8AA246"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 ścianach z ociepleniem zewnętrznym okna i drzwi balkonowe należy wbudowywać przed wykonaniem ocieplenia.</w:t>
      </w:r>
    </w:p>
    <w:p w14:paraId="74803443"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7561F090"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Przed przystąpieniem do montażu okien i/lub drzwi balkonowych w budynkach nowych należy sprawdzić:</w:t>
      </w:r>
    </w:p>
    <w:p w14:paraId="4956B8D3"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prawidłowość wykonania ścian,</w:t>
      </w:r>
    </w:p>
    <w:p w14:paraId="1EFD61E1"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rodzaj, stan wykończenia i prawidłowość wykonania ościeży,</w:t>
      </w:r>
    </w:p>
    <w:p w14:paraId="79A0A570"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zgodność wymiarów otworów z wymiarami podanymi w dokumentacji projektowej,</w:t>
      </w:r>
    </w:p>
    <w:p w14:paraId="22F7BC71"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czy wymiary okien i drzwi balkonowych oraz otworów umożliwiają prawidłowe ustawienie i podparcie okien z zachowaniem właściwej szerokości szczeliny na obwodzie pomiędzy ościeżem a ościeżnicą.</w:t>
      </w:r>
    </w:p>
    <w:p w14:paraId="1504ED2E"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przygotować otwory do montażu – usunąć wszelkie dostrzeżone nieprawidłowości i oczyścić z pyłu, kurzu, zanieczyszczeń oraz gruzu.</w:t>
      </w:r>
    </w:p>
    <w:p w14:paraId="790BC50A" w14:textId="77777777" w:rsidR="000A3B2B" w:rsidRDefault="000A3B2B" w:rsidP="009E5295">
      <w:pPr>
        <w:tabs>
          <w:tab w:val="right" w:pos="5520"/>
        </w:tabs>
        <w:autoSpaceDE w:val="0"/>
        <w:autoSpaceDN w:val="0"/>
        <w:adjustRightInd w:val="0"/>
        <w:spacing w:after="30" w:line="240" w:lineRule="auto"/>
        <w:ind w:left="570" w:hanging="285"/>
        <w:rPr>
          <w:rFonts w:ascii="Arial" w:hAnsi="Arial" w:cs="Arial"/>
          <w:color w:val="000000"/>
          <w:sz w:val="18"/>
          <w:szCs w:val="18"/>
          <w:lang w:val="x-none"/>
        </w:rPr>
      </w:pPr>
      <w:r>
        <w:rPr>
          <w:rFonts w:ascii="Arial" w:hAnsi="Arial" w:cs="Arial"/>
          <w:color w:val="000000"/>
          <w:sz w:val="18"/>
          <w:szCs w:val="18"/>
          <w:lang w:val="x-none"/>
        </w:rPr>
        <w:tab/>
        <w:t>Odchyłki od wymiaru nominalnego powinny wynosić dla otworów:</w:t>
      </w:r>
    </w:p>
    <w:p w14:paraId="53930DD6" w14:textId="77777777" w:rsidR="000A3B2B" w:rsidRDefault="000A3B2B" w:rsidP="009E5295">
      <w:pPr>
        <w:tabs>
          <w:tab w:val="right" w:pos="5520"/>
        </w:tabs>
        <w:autoSpaceDE w:val="0"/>
        <w:autoSpaceDN w:val="0"/>
        <w:adjustRightInd w:val="0"/>
        <w:spacing w:after="30" w:line="240" w:lineRule="auto"/>
        <w:ind w:left="570" w:hanging="285"/>
        <w:rPr>
          <w:rFonts w:ascii="Arial" w:hAnsi="Arial" w:cs="Arial"/>
          <w:color w:val="000000"/>
          <w:sz w:val="18"/>
          <w:szCs w:val="18"/>
          <w:lang w:val="x-none"/>
        </w:rPr>
      </w:pPr>
      <w:r>
        <w:rPr>
          <w:rFonts w:ascii="Arial" w:hAnsi="Arial" w:cs="Arial"/>
          <w:color w:val="000000"/>
          <w:sz w:val="18"/>
          <w:szCs w:val="18"/>
          <w:lang w:val="x-none"/>
        </w:rPr>
        <w:t xml:space="preserve">• </w:t>
      </w:r>
      <w:r>
        <w:rPr>
          <w:rFonts w:ascii="Arial" w:hAnsi="Arial" w:cs="Arial"/>
          <w:color w:val="000000"/>
          <w:sz w:val="18"/>
          <w:szCs w:val="18"/>
          <w:lang w:val="x-none"/>
        </w:rPr>
        <w:tab/>
        <w:t>do 3 m z nieprzygotowanym ościeżem</w:t>
      </w:r>
      <w:r>
        <w:rPr>
          <w:rFonts w:ascii="Arial" w:hAnsi="Arial" w:cs="Arial"/>
          <w:color w:val="000000"/>
          <w:sz w:val="18"/>
          <w:szCs w:val="18"/>
          <w:lang w:val="x-none"/>
        </w:rPr>
        <w:tab/>
        <w:t>±12 mm,</w:t>
      </w:r>
    </w:p>
    <w:p w14:paraId="4B86B8A9" w14:textId="77777777" w:rsidR="000A3B2B" w:rsidRDefault="000A3B2B" w:rsidP="009E5295">
      <w:pPr>
        <w:tabs>
          <w:tab w:val="right" w:pos="5520"/>
        </w:tabs>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od 3 do 6 m z nieprzygotowanym ościeżem</w:t>
      </w:r>
      <w:r>
        <w:rPr>
          <w:rFonts w:ascii="Arial" w:hAnsi="Arial" w:cs="Arial"/>
          <w:color w:val="000000"/>
          <w:sz w:val="18"/>
          <w:szCs w:val="18"/>
          <w:lang w:val="x-none"/>
        </w:rPr>
        <w:tab/>
        <w:t>±16 mm,</w:t>
      </w:r>
    </w:p>
    <w:p w14:paraId="0A671725" w14:textId="77777777" w:rsidR="000A3B2B" w:rsidRDefault="000A3B2B" w:rsidP="009E5295">
      <w:pPr>
        <w:tabs>
          <w:tab w:val="right" w:pos="5520"/>
        </w:tabs>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do 3 m z gotowym ościeżem</w:t>
      </w:r>
      <w:r>
        <w:rPr>
          <w:rFonts w:ascii="Arial" w:hAnsi="Arial" w:cs="Arial"/>
          <w:color w:val="000000"/>
          <w:sz w:val="18"/>
          <w:szCs w:val="18"/>
          <w:lang w:val="x-none"/>
        </w:rPr>
        <w:tab/>
        <w:t>±10 mm,</w:t>
      </w:r>
    </w:p>
    <w:p w14:paraId="2FEFA190" w14:textId="77777777" w:rsidR="000A3B2B" w:rsidRDefault="000A3B2B" w:rsidP="009E5295">
      <w:pPr>
        <w:tabs>
          <w:tab w:val="right" w:pos="5520"/>
        </w:tabs>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od 3 do 6 m z gotowym ościeżem</w:t>
      </w:r>
      <w:r>
        <w:rPr>
          <w:rFonts w:ascii="Arial" w:hAnsi="Arial" w:cs="Arial"/>
          <w:color w:val="000000"/>
          <w:sz w:val="18"/>
          <w:szCs w:val="18"/>
          <w:lang w:val="x-none"/>
        </w:rPr>
        <w:tab/>
        <w:t xml:space="preserve">±12 mm.       </w:t>
      </w:r>
    </w:p>
    <w:tbl>
      <w:tblPr>
        <w:tblW w:w="0" w:type="auto"/>
        <w:tblCellSpacing w:w="0" w:type="dxa"/>
        <w:tblInd w:w="-8" w:type="dxa"/>
        <w:tblLayout w:type="fixed"/>
        <w:tblCellMar>
          <w:left w:w="0" w:type="dxa"/>
          <w:right w:w="0" w:type="dxa"/>
        </w:tblCellMar>
        <w:tblLook w:val="0000" w:firstRow="0" w:lastRow="0" w:firstColumn="0" w:lastColumn="0" w:noHBand="0" w:noVBand="0"/>
      </w:tblPr>
      <w:tblGrid>
        <w:gridCol w:w="9532"/>
      </w:tblGrid>
      <w:tr w:rsidR="000A3B2B" w14:paraId="3AFA163C" w14:textId="77777777">
        <w:trPr>
          <w:trHeight w:val="60"/>
          <w:tblCellSpacing w:w="0" w:type="dxa"/>
        </w:trPr>
        <w:tc>
          <w:tcPr>
            <w:tcW w:w="9532" w:type="dxa"/>
            <w:tcBorders>
              <w:top w:val="single" w:sz="6" w:space="0" w:color="000000"/>
              <w:left w:val="single" w:sz="6" w:space="0" w:color="000000"/>
              <w:bottom w:val="single" w:sz="6" w:space="0" w:color="000000"/>
              <w:right w:val="single" w:sz="6" w:space="0" w:color="000000"/>
            </w:tcBorders>
          </w:tcPr>
          <w:p w14:paraId="1715D0DB" w14:textId="77777777" w:rsidR="000A3B2B" w:rsidRDefault="000A3B2B">
            <w:pPr>
              <w:autoSpaceDE w:val="0"/>
              <w:autoSpaceDN w:val="0"/>
              <w:adjustRightInd w:val="0"/>
              <w:spacing w:after="30" w:line="240" w:lineRule="auto"/>
              <w:jc w:val="both"/>
              <w:rPr>
                <w:rFonts w:ascii="Arial" w:hAnsi="Arial" w:cs="Arial"/>
                <w:i/>
                <w:iCs/>
                <w:color w:val="000000"/>
                <w:sz w:val="18"/>
                <w:szCs w:val="18"/>
                <w:lang w:val="x-none"/>
              </w:rPr>
            </w:pPr>
            <w:r>
              <w:rPr>
                <w:rFonts w:ascii="Arial" w:hAnsi="Arial" w:cs="Arial"/>
                <w:i/>
                <w:iCs/>
                <w:color w:val="000000"/>
                <w:sz w:val="18"/>
                <w:szCs w:val="18"/>
                <w:lang w:val="x-none"/>
              </w:rPr>
              <w:t>UWAGA: Graniczne odchyłki przekątnych otworów okiennych podane są w tablicy 1 a schematy pomiarów otworów okien/drzwi na rysunkach 2-4, zamieszczonych w pkt. 4.2. Warunków technicznych wykonania i odbioru robót budowlanych. Część B – Roboty wykończeniowe, zeszyt 6 „Montaż okien i drzwi balkonowych”, wydanie ITB – 2016 rok.</w:t>
            </w:r>
          </w:p>
        </w:tc>
      </w:tr>
    </w:tbl>
    <w:p w14:paraId="2733C9E0" w14:textId="77777777" w:rsidR="000A3B2B" w:rsidRDefault="000A3B2B" w:rsidP="009E5295">
      <w:pPr>
        <w:autoSpaceDE w:val="0"/>
        <w:autoSpaceDN w:val="0"/>
        <w:adjustRightInd w:val="0"/>
        <w:spacing w:after="30" w:line="240" w:lineRule="auto"/>
        <w:jc w:val="both"/>
        <w:rPr>
          <w:rFonts w:ascii="Arial" w:hAnsi="Arial" w:cs="Arial"/>
          <w:i/>
          <w:iCs/>
          <w:color w:val="000000"/>
          <w:sz w:val="18"/>
          <w:szCs w:val="18"/>
          <w:lang w:val="x-none"/>
        </w:rPr>
      </w:pPr>
    </w:p>
    <w:p w14:paraId="08D45432"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5.3.</w:t>
      </w:r>
      <w:r>
        <w:rPr>
          <w:rFonts w:ascii="Arial" w:hAnsi="Arial" w:cs="Arial"/>
          <w:b/>
          <w:bCs/>
          <w:color w:val="000000"/>
          <w:sz w:val="18"/>
          <w:szCs w:val="18"/>
          <w:lang w:val="x-none"/>
        </w:rPr>
        <w:tab/>
        <w:t>Ogólne zasady montażu okien i drzwi balkonowych</w:t>
      </w:r>
    </w:p>
    <w:p w14:paraId="54AEB005" w14:textId="77777777" w:rsidR="000A3B2B" w:rsidRDefault="000A3B2B" w:rsidP="009E529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5.3.1.</w:t>
      </w:r>
      <w:r>
        <w:rPr>
          <w:rFonts w:ascii="Arial" w:hAnsi="Arial" w:cs="Arial"/>
          <w:b/>
          <w:bCs/>
          <w:color w:val="000000"/>
          <w:sz w:val="18"/>
          <w:szCs w:val="18"/>
          <w:lang w:val="x-none"/>
        </w:rPr>
        <w:tab/>
        <w:t>Usytuowanie okna / drzwi balkonowych w ościeżu</w:t>
      </w:r>
    </w:p>
    <w:p w14:paraId="4CA38FF3"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Okno i/lub drzwi balkonowe należy sytuować w ościeżu tak, aby nie powstały mostki termiczne, prowadzące do skraplania się pary wodnej na wewnętrznej stronie ościeżnicy lub powierzchni ościeża.</w:t>
      </w:r>
    </w:p>
    <w:p w14:paraId="39D638D7"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ab/>
        <w:t>Na wewnętrznych powierzchniach ościeża powinna się utrzymywać temperatura wyższa o minimum 1°C od temperatury punktu rosy.</w:t>
      </w:r>
      <w:r>
        <w:rPr>
          <w:rFonts w:ascii="Arial" w:hAnsi="Arial" w:cs="Arial"/>
          <w:color w:val="000000"/>
          <w:sz w:val="18"/>
          <w:szCs w:val="18"/>
          <w:lang w:val="x-none"/>
        </w:rPr>
        <w:tab/>
      </w:r>
    </w:p>
    <w:p w14:paraId="6A4F6898"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ab/>
        <w:t>Jeżeli nie jest znany przebieg izoterm, należy stosować ogólne zasady usytuowania okien:</w:t>
      </w:r>
    </w:p>
    <w:p w14:paraId="036C7CEB" w14:textId="77777777" w:rsidR="000A3B2B" w:rsidRDefault="000A3B2B" w:rsidP="009E5295">
      <w:pPr>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 ścianie jednowarstwowej – w połowie grubości ściany,</w:t>
      </w:r>
    </w:p>
    <w:p w14:paraId="7400F3D9" w14:textId="77777777" w:rsidR="000A3B2B" w:rsidRDefault="000A3B2B" w:rsidP="009E5295">
      <w:pPr>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 ścianie warstwowej z ociepleniem wewnętrznym – w strefie umieszczenia izolacji termicznej,</w:t>
      </w:r>
    </w:p>
    <w:p w14:paraId="6397B9AD" w14:textId="77777777" w:rsidR="000A3B2B" w:rsidRDefault="000A3B2B" w:rsidP="009E5295">
      <w:pPr>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 ścianie z ociepleniem zewnętrznym – w licu muru lub przed licem muru.</w:t>
      </w:r>
    </w:p>
    <w:p w14:paraId="4EBB06C7"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 przypadku ościeży z węgarkami okna lub drzwi balkonowe powinny być usytuowane tak, by węgarek zasłaniał stojaki i nadproże ościeżnicy na szerokość nie większą niż połowa szerokości kształtownika ościeżnicy.</w:t>
      </w:r>
    </w:p>
    <w:p w14:paraId="77FFCD77"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 budynkach energooszczędnych lub pasywnych ze ścianami dwuwarstwowymi z zewnętrzną izolacją termiczną okna powinny być częściowo lub całkowicie wysunięte przed lico muru. W przypadku okien mocowanych z zastosowaniem rozwiązań systemowych (konsole, wsporniki, kątowniki lub ramy nośne) powinny być one sytuowane w warstwie izolacji termicznej.</w:t>
      </w:r>
    </w:p>
    <w:p w14:paraId="2B7A51E2" w14:textId="77777777" w:rsidR="000A3B2B" w:rsidRDefault="000A3B2B" w:rsidP="009E529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5.3.2.</w:t>
      </w:r>
      <w:r>
        <w:rPr>
          <w:rFonts w:ascii="Arial" w:hAnsi="Arial" w:cs="Arial"/>
          <w:b/>
          <w:bCs/>
          <w:color w:val="000000"/>
          <w:sz w:val="18"/>
          <w:szCs w:val="18"/>
          <w:lang w:val="x-none"/>
        </w:rPr>
        <w:tab/>
        <w:t>Zasady ustawienia okna / drzwi balkonowych w otworze</w:t>
      </w:r>
    </w:p>
    <w:p w14:paraId="0EA40420"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Ustawienie okien / drzwi balkonowych powinno zapewniać:</w:t>
      </w:r>
    </w:p>
    <w:p w14:paraId="453EFBDE" w14:textId="77777777" w:rsidR="000A3B2B" w:rsidRDefault="000A3B2B" w:rsidP="009E5295">
      <w:pPr>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luz (szczelinę) pomiędzy otworem w ścianie a wyrobem, pozwalający na zmiany wymiarów okna / drzwi pod wpływem temperatury, wilgotności oraz ruchu konstrukcji budynku nieograniczające funkcjonalności okna / drzwi,</w:t>
      </w:r>
    </w:p>
    <w:p w14:paraId="1C514EFD" w14:textId="77777777" w:rsidR="000A3B2B" w:rsidRDefault="000A3B2B" w:rsidP="009E5295">
      <w:pPr>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miejsce dla klocków dystansowych i podporowych.</w:t>
      </w:r>
    </w:p>
    <w:p w14:paraId="7650037E" w14:textId="77777777" w:rsidR="000A3B2B" w:rsidRDefault="000A3B2B" w:rsidP="009E5295">
      <w:pPr>
        <w:autoSpaceDE w:val="0"/>
        <w:autoSpaceDN w:val="0"/>
        <w:adjustRightInd w:val="0"/>
        <w:spacing w:after="30" w:line="240" w:lineRule="auto"/>
        <w:ind w:left="285" w:firstLine="285"/>
        <w:jc w:val="both"/>
        <w:rPr>
          <w:rFonts w:ascii="Arial" w:hAnsi="Arial" w:cs="Arial"/>
          <w:color w:val="000000"/>
          <w:sz w:val="18"/>
          <w:szCs w:val="18"/>
          <w:lang w:val="x-none"/>
        </w:rPr>
      </w:pPr>
      <w:r>
        <w:rPr>
          <w:rFonts w:ascii="Arial" w:hAnsi="Arial" w:cs="Arial"/>
          <w:color w:val="000000"/>
          <w:sz w:val="18"/>
          <w:szCs w:val="18"/>
          <w:lang w:val="x-none"/>
        </w:rPr>
        <w:t>Do posadowienia progu ościeżnicy okien / drzwi stosuje się zgodnie z wytycznymi ich producenta klocki, kliny z impregnowanego drewna lub z PVC, belki drewniane (czasami elementy poszerzające z PVC, o ile takie są przewidziane w dokumentacji producenta) oraz listwy progowe, kształtowniki aluminiowe, kątowniki, konsole i wsporniki stalowe.</w:t>
      </w:r>
    </w:p>
    <w:p w14:paraId="76A2F2D4"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Do ustawienia okna w otworze służą klocki podporowe i dystansowe.</w:t>
      </w:r>
    </w:p>
    <w:p w14:paraId="644AAB2B" w14:textId="77777777" w:rsidR="000A3B2B" w:rsidRDefault="000A3B2B" w:rsidP="009E5295">
      <w:pPr>
        <w:autoSpaceDE w:val="0"/>
        <w:autoSpaceDN w:val="0"/>
        <w:adjustRightInd w:val="0"/>
        <w:spacing w:after="30" w:line="240" w:lineRule="auto"/>
        <w:ind w:left="285" w:firstLine="285"/>
        <w:jc w:val="both"/>
        <w:rPr>
          <w:rFonts w:ascii="Arial" w:hAnsi="Arial" w:cs="Arial"/>
          <w:color w:val="000000"/>
          <w:sz w:val="18"/>
          <w:szCs w:val="18"/>
          <w:lang w:val="x-none"/>
        </w:rPr>
      </w:pPr>
      <w:r>
        <w:rPr>
          <w:rFonts w:ascii="Arial" w:hAnsi="Arial" w:cs="Arial"/>
          <w:color w:val="000000"/>
          <w:sz w:val="18"/>
          <w:szCs w:val="18"/>
          <w:lang w:val="x-none"/>
        </w:rPr>
        <w:t>Klocki podporowe i dystansowe powinny być tak rozmieszczone, aby była zapewniona możliwość odkształcania się kształtowników okien.</w:t>
      </w:r>
    </w:p>
    <w:p w14:paraId="1F959014" w14:textId="77777777" w:rsidR="000A3B2B" w:rsidRDefault="000A3B2B" w:rsidP="009E5295">
      <w:pPr>
        <w:autoSpaceDE w:val="0"/>
        <w:autoSpaceDN w:val="0"/>
        <w:adjustRightInd w:val="0"/>
        <w:spacing w:after="30" w:line="240" w:lineRule="auto"/>
        <w:ind w:left="285" w:firstLine="285"/>
        <w:jc w:val="both"/>
        <w:rPr>
          <w:rFonts w:ascii="Arial" w:hAnsi="Arial" w:cs="Arial"/>
          <w:color w:val="000000"/>
          <w:sz w:val="18"/>
          <w:szCs w:val="18"/>
          <w:lang w:val="x-none"/>
        </w:rPr>
      </w:pPr>
      <w:r>
        <w:rPr>
          <w:rFonts w:ascii="Arial" w:hAnsi="Arial" w:cs="Arial"/>
          <w:color w:val="000000"/>
          <w:sz w:val="18"/>
          <w:szCs w:val="18"/>
          <w:lang w:val="x-none"/>
        </w:rPr>
        <w:t>Przy montażu drzwi balkonowych uchylno-przesuwnych dolna szyna jezdna powinna być podparta stabilnie na całej długości, poprzez rozmieszczenie klocków podporowych pod szyną, z zachowaniem maksymalnych odstępów do 300 mm.</w:t>
      </w:r>
    </w:p>
    <w:p w14:paraId="47C5019E" w14:textId="77777777" w:rsidR="000A3B2B" w:rsidRDefault="000A3B2B" w:rsidP="009E5295">
      <w:pPr>
        <w:autoSpaceDE w:val="0"/>
        <w:autoSpaceDN w:val="0"/>
        <w:adjustRightInd w:val="0"/>
        <w:spacing w:after="30" w:line="240" w:lineRule="auto"/>
        <w:ind w:left="285" w:firstLine="285"/>
        <w:jc w:val="both"/>
        <w:rPr>
          <w:rFonts w:ascii="Arial" w:hAnsi="Arial" w:cs="Arial"/>
          <w:color w:val="000000"/>
          <w:sz w:val="18"/>
          <w:szCs w:val="18"/>
          <w:lang w:val="x-none"/>
        </w:rPr>
      </w:pPr>
      <w:r>
        <w:rPr>
          <w:rFonts w:ascii="Arial" w:hAnsi="Arial" w:cs="Arial"/>
          <w:color w:val="000000"/>
          <w:sz w:val="18"/>
          <w:szCs w:val="18"/>
          <w:lang w:val="x-none"/>
        </w:rPr>
        <w:t>Klocków podporowych nie stosuje się w przypadku montażu okien przy użyciu konsoli, wysuniętych przed lico muru i usytuowanych w warstwie izolacji termicznej.</w:t>
      </w:r>
    </w:p>
    <w:p w14:paraId="6BDBE6A2" w14:textId="77777777" w:rsidR="000A3B2B" w:rsidRDefault="000A3B2B" w:rsidP="009E5295">
      <w:pPr>
        <w:autoSpaceDE w:val="0"/>
        <w:autoSpaceDN w:val="0"/>
        <w:adjustRightInd w:val="0"/>
        <w:spacing w:after="30" w:line="240" w:lineRule="auto"/>
        <w:ind w:left="285" w:firstLine="285"/>
        <w:jc w:val="both"/>
        <w:rPr>
          <w:rFonts w:ascii="Arial" w:hAnsi="Arial" w:cs="Arial"/>
          <w:b/>
          <w:bCs/>
          <w:color w:val="000000"/>
          <w:sz w:val="18"/>
          <w:szCs w:val="18"/>
          <w:lang w:val="x-none"/>
        </w:rPr>
      </w:pPr>
      <w:r>
        <w:rPr>
          <w:rFonts w:ascii="Arial" w:hAnsi="Arial" w:cs="Arial"/>
          <w:b/>
          <w:bCs/>
          <w:color w:val="000000"/>
          <w:sz w:val="18"/>
          <w:szCs w:val="18"/>
          <w:lang w:val="x-none"/>
        </w:rPr>
        <w:t>Zamocowanie okien przy użyciu tylko kołków rozporowych, śrub lub kotew, bez zastosowania klocków podporowych, jest niewystarczające do przenoszenia obciążenia.</w:t>
      </w:r>
    </w:p>
    <w:p w14:paraId="6E2BC5B1" w14:textId="77777777" w:rsidR="000A3B2B" w:rsidRDefault="000A3B2B" w:rsidP="009E5295">
      <w:pPr>
        <w:autoSpaceDE w:val="0"/>
        <w:autoSpaceDN w:val="0"/>
        <w:adjustRightInd w:val="0"/>
        <w:spacing w:after="30" w:line="240" w:lineRule="auto"/>
        <w:ind w:left="285" w:firstLine="285"/>
        <w:jc w:val="both"/>
        <w:rPr>
          <w:rFonts w:ascii="Arial" w:hAnsi="Arial" w:cs="Arial"/>
          <w:color w:val="000000"/>
          <w:sz w:val="18"/>
          <w:szCs w:val="18"/>
          <w:lang w:val="x-none"/>
        </w:rPr>
      </w:pPr>
      <w:r>
        <w:rPr>
          <w:rFonts w:ascii="Arial" w:hAnsi="Arial" w:cs="Arial"/>
          <w:color w:val="000000"/>
          <w:sz w:val="18"/>
          <w:szCs w:val="18"/>
          <w:lang w:val="x-none"/>
        </w:rPr>
        <w:t>Klocki dystansowe, służące do ustalenia pozycji okna w otworze, po zamocowaniu ościeżnicy powinny być usunięte, nie należy natomiast usuwać klocków podporowych.</w:t>
      </w:r>
    </w:p>
    <w:p w14:paraId="204C066C"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Minimalne wymiary szczelin między ramą ościeżnicy a ościeżem umożliwiające konieczne odkształcanie się kształtowników okien lub drzwi balkonowych podane są w tablicy 3 i 4 niniejszej specyfikacji, zgodnie z pkt. 5.1. Warunków technicznych wykonania i odbioru robót budowlanych. Część B – Roboty wykończeniowe, zeszyt 6 „Montaż okien i drzwi balkonowych”, wydanie ITB – 2016 rok.</w:t>
      </w:r>
    </w:p>
    <w:p w14:paraId="1F9F1F19"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3678CEF6" w14:textId="77777777" w:rsidR="000A3B2B" w:rsidRDefault="000A3B2B" w:rsidP="009E5295">
      <w:pPr>
        <w:autoSpaceDE w:val="0"/>
        <w:autoSpaceDN w:val="0"/>
        <w:adjustRightInd w:val="0"/>
        <w:spacing w:after="30" w:line="240" w:lineRule="auto"/>
        <w:jc w:val="both"/>
        <w:rPr>
          <w:rFonts w:ascii="Arial" w:hAnsi="Arial" w:cs="Arial"/>
          <w:b/>
          <w:bCs/>
          <w:color w:val="000000"/>
          <w:sz w:val="18"/>
          <w:szCs w:val="18"/>
          <w:lang w:val="x-none"/>
        </w:rPr>
      </w:pPr>
      <w:r>
        <w:rPr>
          <w:rFonts w:ascii="Arial" w:hAnsi="Arial" w:cs="Arial"/>
          <w:b/>
          <w:bCs/>
          <w:color w:val="000000"/>
          <w:sz w:val="18"/>
          <w:szCs w:val="18"/>
          <w:lang w:val="x-none"/>
        </w:rPr>
        <w:t>Tablica 3. Minimalna szerokość szczelin między ramą ościeżnicy a ościeżem przy uszczelnieniach kitami elastycznymi*</w:t>
      </w:r>
    </w:p>
    <w:tbl>
      <w:tblPr>
        <w:tblW w:w="0" w:type="auto"/>
        <w:tblCellSpacing w:w="0" w:type="dxa"/>
        <w:tblInd w:w="-8" w:type="dxa"/>
        <w:tblLayout w:type="fixed"/>
        <w:tblCellMar>
          <w:left w:w="0" w:type="dxa"/>
          <w:right w:w="0" w:type="dxa"/>
        </w:tblCellMar>
        <w:tblLook w:val="0000" w:firstRow="0" w:lastRow="0" w:firstColumn="0" w:lastColumn="0" w:noHBand="0" w:noVBand="0"/>
      </w:tblPr>
      <w:tblGrid>
        <w:gridCol w:w="4492"/>
        <w:gridCol w:w="720"/>
        <w:gridCol w:w="720"/>
        <w:gridCol w:w="720"/>
        <w:gridCol w:w="720"/>
        <w:gridCol w:w="720"/>
        <w:gridCol w:w="720"/>
        <w:gridCol w:w="720"/>
      </w:tblGrid>
      <w:tr w:rsidR="000A3B2B" w14:paraId="524A4389" w14:textId="77777777">
        <w:trPr>
          <w:trHeight w:val="60"/>
          <w:tblHeader/>
          <w:tblCellSpacing w:w="0" w:type="dxa"/>
        </w:trPr>
        <w:tc>
          <w:tcPr>
            <w:tcW w:w="4492" w:type="dxa"/>
            <w:vMerge w:val="restart"/>
            <w:tcBorders>
              <w:top w:val="single" w:sz="6" w:space="0" w:color="000000"/>
              <w:left w:val="single" w:sz="6" w:space="0" w:color="000000"/>
              <w:bottom w:val="single" w:sz="6" w:space="0" w:color="000000"/>
              <w:right w:val="single" w:sz="6" w:space="0" w:color="000000"/>
            </w:tcBorders>
            <w:shd w:val="clear" w:color="auto" w:fill="CBCBCB"/>
            <w:vAlign w:val="center"/>
          </w:tcPr>
          <w:p w14:paraId="53A874C7"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Rodzaj kształtowników</w:t>
            </w:r>
          </w:p>
        </w:tc>
        <w:tc>
          <w:tcPr>
            <w:tcW w:w="2880" w:type="dxa"/>
            <w:gridSpan w:val="4"/>
            <w:tcBorders>
              <w:top w:val="single" w:sz="6" w:space="0" w:color="000000"/>
              <w:left w:val="single" w:sz="6" w:space="0" w:color="000000"/>
              <w:bottom w:val="single" w:sz="6" w:space="0" w:color="000000"/>
              <w:right w:val="single" w:sz="6" w:space="0" w:color="000000"/>
            </w:tcBorders>
            <w:shd w:val="clear" w:color="auto" w:fill="CBCBCB"/>
            <w:vAlign w:val="center"/>
          </w:tcPr>
          <w:p w14:paraId="0094E617"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Ościeże bez węgarka</w:t>
            </w:r>
          </w:p>
        </w:tc>
        <w:tc>
          <w:tcPr>
            <w:tcW w:w="2160" w:type="dxa"/>
            <w:gridSpan w:val="3"/>
            <w:tcBorders>
              <w:top w:val="single" w:sz="6" w:space="0" w:color="000000"/>
              <w:left w:val="single" w:sz="6" w:space="0" w:color="000000"/>
              <w:bottom w:val="single" w:sz="6" w:space="0" w:color="000000"/>
              <w:right w:val="single" w:sz="6" w:space="0" w:color="000000"/>
            </w:tcBorders>
            <w:shd w:val="clear" w:color="auto" w:fill="CBCBCB"/>
            <w:vAlign w:val="center"/>
          </w:tcPr>
          <w:p w14:paraId="6B4BB421"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Ościeże z węgarkiem</w:t>
            </w:r>
          </w:p>
        </w:tc>
      </w:tr>
      <w:tr w:rsidR="000A3B2B" w14:paraId="37C9280C" w14:textId="77777777">
        <w:trPr>
          <w:trHeight w:val="60"/>
          <w:tblHeader/>
          <w:tblCellSpacing w:w="0" w:type="dxa"/>
        </w:trPr>
        <w:tc>
          <w:tcPr>
            <w:tcW w:w="4492" w:type="dxa"/>
            <w:vMerge/>
            <w:tcBorders>
              <w:top w:val="single" w:sz="6" w:space="0" w:color="000000"/>
              <w:left w:val="single" w:sz="6" w:space="0" w:color="000000"/>
              <w:bottom w:val="single" w:sz="6" w:space="0" w:color="000000"/>
              <w:right w:val="single" w:sz="6" w:space="0" w:color="000000"/>
            </w:tcBorders>
            <w:shd w:val="clear" w:color="auto" w:fill="CBCBCB"/>
            <w:vAlign w:val="center"/>
          </w:tcPr>
          <w:p w14:paraId="060DB338" w14:textId="77777777" w:rsidR="000A3B2B" w:rsidRDefault="000A3B2B">
            <w:pPr>
              <w:autoSpaceDE w:val="0"/>
              <w:autoSpaceDN w:val="0"/>
              <w:adjustRightInd w:val="0"/>
              <w:spacing w:after="0" w:line="240" w:lineRule="auto"/>
              <w:rPr>
                <w:rFonts w:ascii="Arial" w:hAnsi="Arial" w:cs="Arial"/>
                <w:b/>
                <w:bCs/>
                <w:color w:val="000000"/>
                <w:sz w:val="18"/>
                <w:szCs w:val="18"/>
                <w:lang w:val="x-none"/>
              </w:rPr>
            </w:pPr>
          </w:p>
        </w:tc>
        <w:tc>
          <w:tcPr>
            <w:tcW w:w="2880" w:type="dxa"/>
            <w:gridSpan w:val="4"/>
            <w:tcBorders>
              <w:top w:val="single" w:sz="6" w:space="0" w:color="000000"/>
              <w:left w:val="single" w:sz="6" w:space="0" w:color="000000"/>
              <w:bottom w:val="single" w:sz="6" w:space="0" w:color="000000"/>
              <w:right w:val="single" w:sz="6" w:space="0" w:color="000000"/>
            </w:tcBorders>
            <w:shd w:val="clear" w:color="auto" w:fill="FFFFFF"/>
            <w:vAlign w:val="center"/>
          </w:tcPr>
          <w:p w14:paraId="56A113A7"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 xml:space="preserve"> </w:t>
            </w:r>
            <w:r>
              <w:rPr>
                <w:rFonts w:ascii="Arial" w:hAnsi="Arial" w:cs="Arial"/>
                <w:noProof/>
                <w:color w:val="000000"/>
                <w:sz w:val="18"/>
                <w:szCs w:val="18"/>
                <w:lang w:val="x-none"/>
              </w:rPr>
              <w:drawing>
                <wp:inline distT="0" distB="0" distL="0" distR="0" wp14:anchorId="1666EF06" wp14:editId="05EC7979">
                  <wp:extent cx="371475" cy="304800"/>
                  <wp:effectExtent l="0" t="0" r="9525" b="0"/>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1475" cy="304800"/>
                          </a:xfrm>
                          <a:prstGeom prst="rect">
                            <a:avLst/>
                          </a:prstGeom>
                          <a:noFill/>
                          <a:ln>
                            <a:noFill/>
                          </a:ln>
                        </pic:spPr>
                      </pic:pic>
                    </a:graphicData>
                  </a:graphic>
                </wp:inline>
              </w:drawing>
            </w:r>
            <w:r>
              <w:rPr>
                <w:rFonts w:ascii="Arial" w:hAnsi="Arial" w:cs="Arial"/>
                <w:color w:val="000000"/>
                <w:sz w:val="18"/>
                <w:szCs w:val="18"/>
                <w:lang w:val="x-none"/>
              </w:rPr>
              <w:t xml:space="preserve"> </w:t>
            </w:r>
          </w:p>
        </w:tc>
        <w:tc>
          <w:tcPr>
            <w:tcW w:w="2160" w:type="dxa"/>
            <w:gridSpan w:val="3"/>
            <w:tcBorders>
              <w:top w:val="single" w:sz="6" w:space="0" w:color="000000"/>
              <w:left w:val="single" w:sz="6" w:space="0" w:color="000000"/>
              <w:bottom w:val="single" w:sz="6" w:space="0" w:color="000000"/>
              <w:right w:val="single" w:sz="6" w:space="0" w:color="000000"/>
            </w:tcBorders>
            <w:shd w:val="clear" w:color="auto" w:fill="FFFFFF"/>
            <w:vAlign w:val="center"/>
          </w:tcPr>
          <w:p w14:paraId="7C7BE33A" w14:textId="77777777" w:rsidR="000A3B2B" w:rsidRDefault="000A3B2B">
            <w:pPr>
              <w:autoSpaceDE w:val="0"/>
              <w:autoSpaceDN w:val="0"/>
              <w:adjustRightInd w:val="0"/>
              <w:spacing w:after="30" w:line="240" w:lineRule="auto"/>
              <w:jc w:val="center"/>
              <w:rPr>
                <w:rFonts w:ascii="Arial" w:hAnsi="Arial" w:cs="Arial"/>
                <w:b/>
                <w:bCs/>
                <w:color w:val="000000"/>
                <w:sz w:val="18"/>
                <w:szCs w:val="18"/>
                <w:lang w:val="x-none"/>
              </w:rPr>
            </w:pPr>
            <w:r>
              <w:rPr>
                <w:rFonts w:ascii="Arial" w:hAnsi="Arial" w:cs="Arial"/>
                <w:b/>
                <w:bCs/>
                <w:noProof/>
                <w:color w:val="000000"/>
                <w:sz w:val="18"/>
                <w:szCs w:val="18"/>
                <w:lang w:val="x-none"/>
              </w:rPr>
              <w:drawing>
                <wp:inline distT="0" distB="0" distL="0" distR="0" wp14:anchorId="5BFCC496" wp14:editId="0B0EA016">
                  <wp:extent cx="419100" cy="285750"/>
                  <wp:effectExtent l="0" t="0" r="0" b="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9100" cy="285750"/>
                          </a:xfrm>
                          <a:prstGeom prst="rect">
                            <a:avLst/>
                          </a:prstGeom>
                          <a:noFill/>
                          <a:ln>
                            <a:noFill/>
                          </a:ln>
                        </pic:spPr>
                      </pic:pic>
                    </a:graphicData>
                  </a:graphic>
                </wp:inline>
              </w:drawing>
            </w:r>
          </w:p>
        </w:tc>
      </w:tr>
      <w:tr w:rsidR="000A3B2B" w14:paraId="045EC45D" w14:textId="77777777">
        <w:trPr>
          <w:trHeight w:val="60"/>
          <w:tblHeader/>
          <w:tblCellSpacing w:w="0" w:type="dxa"/>
        </w:trPr>
        <w:tc>
          <w:tcPr>
            <w:tcW w:w="4492" w:type="dxa"/>
            <w:vMerge/>
            <w:tcBorders>
              <w:top w:val="single" w:sz="6" w:space="0" w:color="000000"/>
              <w:left w:val="single" w:sz="6" w:space="0" w:color="000000"/>
              <w:bottom w:val="single" w:sz="6" w:space="0" w:color="000000"/>
              <w:right w:val="single" w:sz="6" w:space="0" w:color="000000"/>
            </w:tcBorders>
            <w:shd w:val="clear" w:color="auto" w:fill="CBCBCB"/>
            <w:vAlign w:val="center"/>
          </w:tcPr>
          <w:p w14:paraId="3B12377D" w14:textId="77777777" w:rsidR="000A3B2B" w:rsidRDefault="000A3B2B">
            <w:pPr>
              <w:autoSpaceDE w:val="0"/>
              <w:autoSpaceDN w:val="0"/>
              <w:adjustRightInd w:val="0"/>
              <w:spacing w:after="0" w:line="240" w:lineRule="auto"/>
              <w:rPr>
                <w:rFonts w:ascii="Arial" w:hAnsi="Arial" w:cs="Arial"/>
                <w:b/>
                <w:bCs/>
                <w:color w:val="000000"/>
                <w:sz w:val="18"/>
                <w:szCs w:val="18"/>
                <w:lang w:val="x-none"/>
              </w:rPr>
            </w:pPr>
          </w:p>
        </w:tc>
        <w:tc>
          <w:tcPr>
            <w:tcW w:w="5040" w:type="dxa"/>
            <w:gridSpan w:val="7"/>
            <w:tcBorders>
              <w:top w:val="single" w:sz="6" w:space="0" w:color="000000"/>
              <w:left w:val="single" w:sz="6" w:space="0" w:color="000000"/>
              <w:bottom w:val="single" w:sz="6" w:space="0" w:color="000000"/>
              <w:right w:val="single" w:sz="6" w:space="0" w:color="000000"/>
            </w:tcBorders>
            <w:shd w:val="clear" w:color="auto" w:fill="CBCBCB"/>
            <w:vAlign w:val="center"/>
          </w:tcPr>
          <w:p w14:paraId="44E79C2A"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Szerokość/długość okien/drzwi balkonowych (m)</w:t>
            </w:r>
          </w:p>
        </w:tc>
      </w:tr>
      <w:tr w:rsidR="000A3B2B" w14:paraId="1AB7C6D4" w14:textId="77777777">
        <w:trPr>
          <w:trHeight w:val="60"/>
          <w:tblHeader/>
          <w:tblCellSpacing w:w="0" w:type="dxa"/>
        </w:trPr>
        <w:tc>
          <w:tcPr>
            <w:tcW w:w="4492" w:type="dxa"/>
            <w:vMerge/>
            <w:tcBorders>
              <w:top w:val="single" w:sz="6" w:space="0" w:color="000000"/>
              <w:left w:val="single" w:sz="6" w:space="0" w:color="000000"/>
              <w:bottom w:val="single" w:sz="6" w:space="0" w:color="000000"/>
              <w:right w:val="single" w:sz="6" w:space="0" w:color="000000"/>
            </w:tcBorders>
            <w:shd w:val="clear" w:color="auto" w:fill="CBCBCB"/>
            <w:vAlign w:val="center"/>
          </w:tcPr>
          <w:p w14:paraId="429FD3BD" w14:textId="77777777" w:rsidR="000A3B2B" w:rsidRDefault="000A3B2B">
            <w:pPr>
              <w:autoSpaceDE w:val="0"/>
              <w:autoSpaceDN w:val="0"/>
              <w:adjustRightInd w:val="0"/>
              <w:spacing w:after="0" w:line="240" w:lineRule="auto"/>
              <w:rPr>
                <w:rFonts w:ascii="Arial" w:hAnsi="Arial" w:cs="Arial"/>
                <w:b/>
                <w:bCs/>
                <w:color w:val="000000"/>
                <w:sz w:val="18"/>
                <w:szCs w:val="18"/>
                <w:lang w:val="x-none"/>
              </w:rPr>
            </w:pPr>
          </w:p>
        </w:tc>
        <w:tc>
          <w:tcPr>
            <w:tcW w:w="720" w:type="dxa"/>
            <w:tcBorders>
              <w:top w:val="single" w:sz="6" w:space="0" w:color="000000"/>
              <w:left w:val="single" w:sz="6" w:space="0" w:color="000000"/>
              <w:bottom w:val="single" w:sz="6" w:space="0" w:color="000000"/>
              <w:right w:val="single" w:sz="6" w:space="0" w:color="000000"/>
            </w:tcBorders>
            <w:shd w:val="clear" w:color="auto" w:fill="CBCBCB"/>
            <w:vAlign w:val="center"/>
          </w:tcPr>
          <w:p w14:paraId="088ADD18"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do 1,5</w:t>
            </w:r>
          </w:p>
        </w:tc>
        <w:tc>
          <w:tcPr>
            <w:tcW w:w="720" w:type="dxa"/>
            <w:tcBorders>
              <w:top w:val="single" w:sz="6" w:space="0" w:color="000000"/>
              <w:left w:val="single" w:sz="6" w:space="0" w:color="000000"/>
              <w:bottom w:val="single" w:sz="6" w:space="0" w:color="000000"/>
              <w:right w:val="single" w:sz="6" w:space="0" w:color="000000"/>
            </w:tcBorders>
            <w:shd w:val="clear" w:color="auto" w:fill="CBCBCB"/>
            <w:vAlign w:val="center"/>
          </w:tcPr>
          <w:p w14:paraId="5250969E"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do 2,5</w:t>
            </w:r>
          </w:p>
        </w:tc>
        <w:tc>
          <w:tcPr>
            <w:tcW w:w="720" w:type="dxa"/>
            <w:tcBorders>
              <w:top w:val="single" w:sz="6" w:space="0" w:color="000000"/>
              <w:left w:val="single" w:sz="6" w:space="0" w:color="000000"/>
              <w:bottom w:val="single" w:sz="6" w:space="0" w:color="000000"/>
              <w:right w:val="single" w:sz="6" w:space="0" w:color="000000"/>
            </w:tcBorders>
            <w:shd w:val="clear" w:color="auto" w:fill="CBCBCB"/>
            <w:vAlign w:val="center"/>
          </w:tcPr>
          <w:p w14:paraId="78AF0E60"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do 3,5</w:t>
            </w:r>
          </w:p>
        </w:tc>
        <w:tc>
          <w:tcPr>
            <w:tcW w:w="720" w:type="dxa"/>
            <w:tcBorders>
              <w:top w:val="single" w:sz="6" w:space="0" w:color="000000"/>
              <w:left w:val="single" w:sz="6" w:space="0" w:color="000000"/>
              <w:bottom w:val="single" w:sz="6" w:space="0" w:color="000000"/>
              <w:right w:val="single" w:sz="6" w:space="0" w:color="000000"/>
            </w:tcBorders>
            <w:shd w:val="clear" w:color="auto" w:fill="CBCBCB"/>
            <w:vAlign w:val="center"/>
          </w:tcPr>
          <w:p w14:paraId="6EC7770D"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do 4,5</w:t>
            </w:r>
          </w:p>
        </w:tc>
        <w:tc>
          <w:tcPr>
            <w:tcW w:w="720" w:type="dxa"/>
            <w:tcBorders>
              <w:top w:val="single" w:sz="6" w:space="0" w:color="000000"/>
              <w:left w:val="single" w:sz="6" w:space="0" w:color="000000"/>
              <w:bottom w:val="single" w:sz="6" w:space="0" w:color="000000"/>
              <w:right w:val="single" w:sz="6" w:space="0" w:color="000000"/>
            </w:tcBorders>
            <w:shd w:val="clear" w:color="auto" w:fill="CBCBCB"/>
            <w:vAlign w:val="center"/>
          </w:tcPr>
          <w:p w14:paraId="752F296D"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do 2,5</w:t>
            </w:r>
          </w:p>
        </w:tc>
        <w:tc>
          <w:tcPr>
            <w:tcW w:w="720" w:type="dxa"/>
            <w:tcBorders>
              <w:top w:val="single" w:sz="6" w:space="0" w:color="000000"/>
              <w:left w:val="single" w:sz="6" w:space="0" w:color="000000"/>
              <w:bottom w:val="single" w:sz="6" w:space="0" w:color="000000"/>
              <w:right w:val="single" w:sz="6" w:space="0" w:color="000000"/>
            </w:tcBorders>
            <w:shd w:val="clear" w:color="auto" w:fill="CBCBCB"/>
            <w:vAlign w:val="center"/>
          </w:tcPr>
          <w:p w14:paraId="2D55369B"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do 3,5</w:t>
            </w:r>
          </w:p>
        </w:tc>
        <w:tc>
          <w:tcPr>
            <w:tcW w:w="720" w:type="dxa"/>
            <w:tcBorders>
              <w:top w:val="single" w:sz="6" w:space="0" w:color="000000"/>
              <w:left w:val="single" w:sz="6" w:space="0" w:color="000000"/>
              <w:bottom w:val="single" w:sz="6" w:space="0" w:color="000000"/>
              <w:right w:val="single" w:sz="6" w:space="0" w:color="000000"/>
            </w:tcBorders>
            <w:shd w:val="clear" w:color="auto" w:fill="CBCBCB"/>
            <w:vAlign w:val="center"/>
          </w:tcPr>
          <w:p w14:paraId="391CA376"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do 4,5</w:t>
            </w:r>
          </w:p>
        </w:tc>
      </w:tr>
      <w:tr w:rsidR="000A3B2B" w14:paraId="210A2566" w14:textId="77777777">
        <w:trPr>
          <w:trHeight w:val="60"/>
          <w:tblHeader/>
          <w:tblCellSpacing w:w="0" w:type="dxa"/>
        </w:trPr>
        <w:tc>
          <w:tcPr>
            <w:tcW w:w="4492" w:type="dxa"/>
            <w:vMerge/>
            <w:tcBorders>
              <w:top w:val="single" w:sz="6" w:space="0" w:color="000000"/>
              <w:left w:val="single" w:sz="6" w:space="0" w:color="000000"/>
              <w:bottom w:val="single" w:sz="6" w:space="0" w:color="000000"/>
              <w:right w:val="single" w:sz="6" w:space="0" w:color="000000"/>
            </w:tcBorders>
            <w:shd w:val="clear" w:color="auto" w:fill="CBCBCB"/>
            <w:vAlign w:val="center"/>
          </w:tcPr>
          <w:p w14:paraId="17536825" w14:textId="77777777" w:rsidR="000A3B2B" w:rsidRDefault="000A3B2B">
            <w:pPr>
              <w:autoSpaceDE w:val="0"/>
              <w:autoSpaceDN w:val="0"/>
              <w:adjustRightInd w:val="0"/>
              <w:spacing w:after="0" w:line="240" w:lineRule="auto"/>
              <w:rPr>
                <w:rFonts w:ascii="Arial" w:hAnsi="Arial" w:cs="Arial"/>
                <w:b/>
                <w:bCs/>
                <w:color w:val="000000"/>
                <w:sz w:val="18"/>
                <w:szCs w:val="18"/>
                <w:lang w:val="x-none"/>
              </w:rPr>
            </w:pPr>
          </w:p>
        </w:tc>
        <w:tc>
          <w:tcPr>
            <w:tcW w:w="5040" w:type="dxa"/>
            <w:gridSpan w:val="7"/>
            <w:tcBorders>
              <w:top w:val="single" w:sz="6" w:space="0" w:color="000000"/>
              <w:left w:val="single" w:sz="6" w:space="0" w:color="000000"/>
              <w:bottom w:val="single" w:sz="6" w:space="0" w:color="000000"/>
              <w:right w:val="single" w:sz="6" w:space="0" w:color="000000"/>
            </w:tcBorders>
            <w:shd w:val="clear" w:color="auto" w:fill="CBCBCB"/>
            <w:vAlign w:val="center"/>
          </w:tcPr>
          <w:p w14:paraId="75CEFE99"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Minimalna szerokość szczelin –</w:t>
            </w:r>
            <w:r>
              <w:rPr>
                <w:rFonts w:ascii="Arial" w:hAnsi="Arial" w:cs="Arial"/>
                <w:i/>
                <w:iCs/>
                <w:color w:val="000000"/>
                <w:sz w:val="18"/>
                <w:szCs w:val="18"/>
                <w:lang w:val="x-none"/>
              </w:rPr>
              <w:t xml:space="preserve"> b, t</w:t>
            </w:r>
            <w:r>
              <w:rPr>
                <w:rFonts w:ascii="Arial" w:hAnsi="Arial" w:cs="Arial"/>
                <w:i/>
                <w:iCs/>
                <w:color w:val="000000"/>
                <w:sz w:val="18"/>
                <w:szCs w:val="18"/>
                <w:lang w:val="x-none"/>
              </w:rPr>
              <w:br/>
            </w:r>
            <w:r>
              <w:rPr>
                <w:rFonts w:ascii="Arial" w:hAnsi="Arial" w:cs="Arial"/>
                <w:color w:val="000000"/>
                <w:sz w:val="18"/>
                <w:szCs w:val="18"/>
                <w:lang w:val="x-none"/>
              </w:rPr>
              <w:t>(mm)</w:t>
            </w:r>
          </w:p>
        </w:tc>
      </w:tr>
      <w:tr w:rsidR="000A3B2B" w14:paraId="670BD09D" w14:textId="77777777">
        <w:trPr>
          <w:trHeight w:val="60"/>
          <w:tblCellSpacing w:w="0" w:type="dxa"/>
        </w:trPr>
        <w:tc>
          <w:tcPr>
            <w:tcW w:w="4492" w:type="dxa"/>
            <w:tcBorders>
              <w:top w:val="single" w:sz="6" w:space="0" w:color="000000"/>
              <w:left w:val="single" w:sz="6" w:space="0" w:color="000000"/>
              <w:bottom w:val="single" w:sz="6" w:space="0" w:color="000000"/>
              <w:right w:val="single" w:sz="6" w:space="0" w:color="000000"/>
            </w:tcBorders>
          </w:tcPr>
          <w:p w14:paraId="1D499099"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PVC białe</w:t>
            </w:r>
          </w:p>
        </w:tc>
        <w:tc>
          <w:tcPr>
            <w:tcW w:w="720" w:type="dxa"/>
            <w:tcBorders>
              <w:top w:val="single" w:sz="6" w:space="0" w:color="000000"/>
              <w:left w:val="single" w:sz="6" w:space="0" w:color="000000"/>
              <w:bottom w:val="single" w:sz="6" w:space="0" w:color="000000"/>
              <w:right w:val="single" w:sz="6" w:space="0" w:color="000000"/>
            </w:tcBorders>
            <w:vAlign w:val="center"/>
          </w:tcPr>
          <w:p w14:paraId="2A3D0F8E"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10</w:t>
            </w:r>
          </w:p>
        </w:tc>
        <w:tc>
          <w:tcPr>
            <w:tcW w:w="720" w:type="dxa"/>
            <w:tcBorders>
              <w:top w:val="single" w:sz="6" w:space="0" w:color="000000"/>
              <w:left w:val="single" w:sz="6" w:space="0" w:color="000000"/>
              <w:bottom w:val="single" w:sz="6" w:space="0" w:color="000000"/>
              <w:right w:val="single" w:sz="6" w:space="0" w:color="000000"/>
            </w:tcBorders>
            <w:vAlign w:val="center"/>
          </w:tcPr>
          <w:p w14:paraId="038A897D"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15</w:t>
            </w:r>
          </w:p>
        </w:tc>
        <w:tc>
          <w:tcPr>
            <w:tcW w:w="720" w:type="dxa"/>
            <w:tcBorders>
              <w:top w:val="single" w:sz="6" w:space="0" w:color="000000"/>
              <w:left w:val="single" w:sz="6" w:space="0" w:color="000000"/>
              <w:bottom w:val="single" w:sz="6" w:space="0" w:color="000000"/>
              <w:right w:val="single" w:sz="6" w:space="0" w:color="000000"/>
            </w:tcBorders>
            <w:vAlign w:val="center"/>
          </w:tcPr>
          <w:p w14:paraId="74C93E26"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20</w:t>
            </w:r>
          </w:p>
        </w:tc>
        <w:tc>
          <w:tcPr>
            <w:tcW w:w="720" w:type="dxa"/>
            <w:tcBorders>
              <w:top w:val="single" w:sz="6" w:space="0" w:color="000000"/>
              <w:left w:val="single" w:sz="6" w:space="0" w:color="000000"/>
              <w:bottom w:val="single" w:sz="6" w:space="0" w:color="000000"/>
              <w:right w:val="single" w:sz="6" w:space="0" w:color="000000"/>
            </w:tcBorders>
            <w:vAlign w:val="center"/>
          </w:tcPr>
          <w:p w14:paraId="67622B6B"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25</w:t>
            </w:r>
          </w:p>
        </w:tc>
        <w:tc>
          <w:tcPr>
            <w:tcW w:w="720" w:type="dxa"/>
            <w:tcBorders>
              <w:top w:val="single" w:sz="6" w:space="0" w:color="000000"/>
              <w:left w:val="single" w:sz="6" w:space="0" w:color="000000"/>
              <w:bottom w:val="single" w:sz="6" w:space="0" w:color="000000"/>
              <w:right w:val="single" w:sz="6" w:space="0" w:color="000000"/>
            </w:tcBorders>
            <w:vAlign w:val="center"/>
          </w:tcPr>
          <w:p w14:paraId="3C288C33"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10</w:t>
            </w:r>
          </w:p>
        </w:tc>
        <w:tc>
          <w:tcPr>
            <w:tcW w:w="720" w:type="dxa"/>
            <w:tcBorders>
              <w:top w:val="single" w:sz="6" w:space="0" w:color="000000"/>
              <w:left w:val="single" w:sz="6" w:space="0" w:color="000000"/>
              <w:bottom w:val="single" w:sz="6" w:space="0" w:color="000000"/>
              <w:right w:val="single" w:sz="6" w:space="0" w:color="000000"/>
            </w:tcBorders>
            <w:vAlign w:val="center"/>
          </w:tcPr>
          <w:p w14:paraId="7A9762AE"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10</w:t>
            </w:r>
          </w:p>
        </w:tc>
        <w:tc>
          <w:tcPr>
            <w:tcW w:w="720" w:type="dxa"/>
            <w:tcBorders>
              <w:top w:val="single" w:sz="6" w:space="0" w:color="000000"/>
              <w:left w:val="single" w:sz="6" w:space="0" w:color="000000"/>
              <w:bottom w:val="single" w:sz="6" w:space="0" w:color="000000"/>
              <w:right w:val="single" w:sz="6" w:space="0" w:color="000000"/>
            </w:tcBorders>
            <w:vAlign w:val="center"/>
          </w:tcPr>
          <w:p w14:paraId="1CB1AB78"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15</w:t>
            </w:r>
          </w:p>
        </w:tc>
      </w:tr>
      <w:tr w:rsidR="000A3B2B" w14:paraId="2EB3CBA1" w14:textId="77777777">
        <w:trPr>
          <w:trHeight w:val="60"/>
          <w:tblCellSpacing w:w="0" w:type="dxa"/>
        </w:trPr>
        <w:tc>
          <w:tcPr>
            <w:tcW w:w="4492" w:type="dxa"/>
            <w:tcBorders>
              <w:top w:val="single" w:sz="6" w:space="0" w:color="000000"/>
              <w:left w:val="single" w:sz="6" w:space="0" w:color="000000"/>
              <w:bottom w:val="single" w:sz="6" w:space="0" w:color="000000"/>
              <w:right w:val="single" w:sz="6" w:space="0" w:color="000000"/>
            </w:tcBorders>
          </w:tcPr>
          <w:p w14:paraId="4B4F15D0"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PVC z warstwą PMMA* (barwione w masie)</w:t>
            </w:r>
          </w:p>
        </w:tc>
        <w:tc>
          <w:tcPr>
            <w:tcW w:w="720" w:type="dxa"/>
            <w:tcBorders>
              <w:top w:val="single" w:sz="6" w:space="0" w:color="000000"/>
              <w:left w:val="single" w:sz="6" w:space="0" w:color="000000"/>
              <w:bottom w:val="single" w:sz="6" w:space="0" w:color="000000"/>
              <w:right w:val="single" w:sz="6" w:space="0" w:color="000000"/>
            </w:tcBorders>
            <w:vAlign w:val="center"/>
          </w:tcPr>
          <w:p w14:paraId="3404B34A"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15</w:t>
            </w:r>
          </w:p>
        </w:tc>
        <w:tc>
          <w:tcPr>
            <w:tcW w:w="720" w:type="dxa"/>
            <w:tcBorders>
              <w:top w:val="single" w:sz="6" w:space="0" w:color="000000"/>
              <w:left w:val="single" w:sz="6" w:space="0" w:color="000000"/>
              <w:bottom w:val="single" w:sz="6" w:space="0" w:color="000000"/>
              <w:right w:val="single" w:sz="6" w:space="0" w:color="000000"/>
            </w:tcBorders>
            <w:vAlign w:val="center"/>
          </w:tcPr>
          <w:p w14:paraId="335EF8D9"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20</w:t>
            </w:r>
          </w:p>
        </w:tc>
        <w:tc>
          <w:tcPr>
            <w:tcW w:w="720" w:type="dxa"/>
            <w:tcBorders>
              <w:top w:val="single" w:sz="6" w:space="0" w:color="000000"/>
              <w:left w:val="single" w:sz="6" w:space="0" w:color="000000"/>
              <w:bottom w:val="single" w:sz="6" w:space="0" w:color="000000"/>
              <w:right w:val="single" w:sz="6" w:space="0" w:color="000000"/>
            </w:tcBorders>
            <w:vAlign w:val="center"/>
          </w:tcPr>
          <w:p w14:paraId="5D7D63F0"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25</w:t>
            </w:r>
          </w:p>
        </w:tc>
        <w:tc>
          <w:tcPr>
            <w:tcW w:w="720" w:type="dxa"/>
            <w:tcBorders>
              <w:top w:val="single" w:sz="6" w:space="0" w:color="000000"/>
              <w:left w:val="single" w:sz="6" w:space="0" w:color="000000"/>
              <w:bottom w:val="single" w:sz="6" w:space="0" w:color="000000"/>
              <w:right w:val="single" w:sz="6" w:space="0" w:color="000000"/>
            </w:tcBorders>
            <w:vAlign w:val="center"/>
          </w:tcPr>
          <w:p w14:paraId="2E6FD67D"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30</w:t>
            </w:r>
          </w:p>
        </w:tc>
        <w:tc>
          <w:tcPr>
            <w:tcW w:w="720" w:type="dxa"/>
            <w:tcBorders>
              <w:top w:val="single" w:sz="6" w:space="0" w:color="000000"/>
              <w:left w:val="single" w:sz="6" w:space="0" w:color="000000"/>
              <w:bottom w:val="single" w:sz="6" w:space="0" w:color="000000"/>
              <w:right w:val="single" w:sz="6" w:space="0" w:color="000000"/>
            </w:tcBorders>
            <w:vAlign w:val="center"/>
          </w:tcPr>
          <w:p w14:paraId="13844D42"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10</w:t>
            </w:r>
          </w:p>
        </w:tc>
        <w:tc>
          <w:tcPr>
            <w:tcW w:w="720" w:type="dxa"/>
            <w:tcBorders>
              <w:top w:val="single" w:sz="6" w:space="0" w:color="000000"/>
              <w:left w:val="single" w:sz="6" w:space="0" w:color="000000"/>
              <w:bottom w:val="single" w:sz="6" w:space="0" w:color="000000"/>
              <w:right w:val="single" w:sz="6" w:space="0" w:color="000000"/>
            </w:tcBorders>
            <w:vAlign w:val="center"/>
          </w:tcPr>
          <w:p w14:paraId="55949A44"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15</w:t>
            </w:r>
          </w:p>
        </w:tc>
        <w:tc>
          <w:tcPr>
            <w:tcW w:w="720" w:type="dxa"/>
            <w:tcBorders>
              <w:top w:val="single" w:sz="6" w:space="0" w:color="000000"/>
              <w:left w:val="single" w:sz="6" w:space="0" w:color="000000"/>
              <w:bottom w:val="single" w:sz="6" w:space="0" w:color="000000"/>
              <w:right w:val="single" w:sz="6" w:space="0" w:color="000000"/>
            </w:tcBorders>
            <w:vAlign w:val="center"/>
          </w:tcPr>
          <w:p w14:paraId="40EF12DF"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20</w:t>
            </w:r>
          </w:p>
        </w:tc>
      </w:tr>
      <w:tr w:rsidR="000A3B2B" w14:paraId="263B4076" w14:textId="77777777">
        <w:trPr>
          <w:trHeight w:val="60"/>
          <w:tblCellSpacing w:w="0" w:type="dxa"/>
        </w:trPr>
        <w:tc>
          <w:tcPr>
            <w:tcW w:w="4492" w:type="dxa"/>
            <w:tcBorders>
              <w:top w:val="single" w:sz="6" w:space="0" w:color="000000"/>
              <w:left w:val="single" w:sz="6" w:space="0" w:color="000000"/>
              <w:bottom w:val="single" w:sz="6" w:space="0" w:color="000000"/>
              <w:right w:val="single" w:sz="6" w:space="0" w:color="000000"/>
            </w:tcBorders>
          </w:tcPr>
          <w:p w14:paraId="4297B86E"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PVC z warstwą PMMA*</w:t>
            </w:r>
          </w:p>
        </w:tc>
        <w:tc>
          <w:tcPr>
            <w:tcW w:w="720" w:type="dxa"/>
            <w:tcBorders>
              <w:top w:val="single" w:sz="6" w:space="0" w:color="000000"/>
              <w:left w:val="single" w:sz="6" w:space="0" w:color="000000"/>
              <w:bottom w:val="single" w:sz="6" w:space="0" w:color="000000"/>
              <w:right w:val="single" w:sz="6" w:space="0" w:color="000000"/>
            </w:tcBorders>
            <w:vAlign w:val="center"/>
          </w:tcPr>
          <w:p w14:paraId="518B1EBD"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10</w:t>
            </w:r>
          </w:p>
        </w:tc>
        <w:tc>
          <w:tcPr>
            <w:tcW w:w="720" w:type="dxa"/>
            <w:tcBorders>
              <w:top w:val="single" w:sz="6" w:space="0" w:color="000000"/>
              <w:left w:val="single" w:sz="6" w:space="0" w:color="000000"/>
              <w:bottom w:val="single" w:sz="6" w:space="0" w:color="000000"/>
              <w:right w:val="single" w:sz="6" w:space="0" w:color="000000"/>
            </w:tcBorders>
            <w:vAlign w:val="center"/>
          </w:tcPr>
          <w:p w14:paraId="61271D23"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10</w:t>
            </w:r>
          </w:p>
        </w:tc>
        <w:tc>
          <w:tcPr>
            <w:tcW w:w="720" w:type="dxa"/>
            <w:tcBorders>
              <w:top w:val="single" w:sz="6" w:space="0" w:color="000000"/>
              <w:left w:val="single" w:sz="6" w:space="0" w:color="000000"/>
              <w:bottom w:val="single" w:sz="6" w:space="0" w:color="000000"/>
              <w:right w:val="single" w:sz="6" w:space="0" w:color="000000"/>
            </w:tcBorders>
            <w:vAlign w:val="center"/>
          </w:tcPr>
          <w:p w14:paraId="3495B7CF"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15</w:t>
            </w:r>
          </w:p>
        </w:tc>
        <w:tc>
          <w:tcPr>
            <w:tcW w:w="720" w:type="dxa"/>
            <w:tcBorders>
              <w:top w:val="single" w:sz="6" w:space="0" w:color="000000"/>
              <w:left w:val="single" w:sz="6" w:space="0" w:color="000000"/>
              <w:bottom w:val="single" w:sz="6" w:space="0" w:color="000000"/>
              <w:right w:val="single" w:sz="6" w:space="0" w:color="000000"/>
            </w:tcBorders>
            <w:vAlign w:val="center"/>
          </w:tcPr>
          <w:p w14:paraId="6EB94FD8"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20</w:t>
            </w:r>
          </w:p>
        </w:tc>
        <w:tc>
          <w:tcPr>
            <w:tcW w:w="720" w:type="dxa"/>
            <w:tcBorders>
              <w:top w:val="single" w:sz="6" w:space="0" w:color="000000"/>
              <w:left w:val="single" w:sz="6" w:space="0" w:color="000000"/>
              <w:bottom w:val="single" w:sz="6" w:space="0" w:color="000000"/>
              <w:right w:val="single" w:sz="6" w:space="0" w:color="000000"/>
            </w:tcBorders>
            <w:vAlign w:val="center"/>
          </w:tcPr>
          <w:p w14:paraId="563914E4"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10</w:t>
            </w:r>
          </w:p>
        </w:tc>
        <w:tc>
          <w:tcPr>
            <w:tcW w:w="720" w:type="dxa"/>
            <w:tcBorders>
              <w:top w:val="single" w:sz="6" w:space="0" w:color="000000"/>
              <w:left w:val="single" w:sz="6" w:space="0" w:color="000000"/>
              <w:bottom w:val="single" w:sz="6" w:space="0" w:color="000000"/>
              <w:right w:val="single" w:sz="6" w:space="0" w:color="000000"/>
            </w:tcBorders>
            <w:vAlign w:val="center"/>
          </w:tcPr>
          <w:p w14:paraId="66E35FBE"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10</w:t>
            </w:r>
          </w:p>
        </w:tc>
        <w:tc>
          <w:tcPr>
            <w:tcW w:w="720" w:type="dxa"/>
            <w:tcBorders>
              <w:top w:val="single" w:sz="6" w:space="0" w:color="000000"/>
              <w:left w:val="single" w:sz="6" w:space="0" w:color="000000"/>
              <w:bottom w:val="single" w:sz="6" w:space="0" w:color="000000"/>
              <w:right w:val="single" w:sz="6" w:space="0" w:color="000000"/>
            </w:tcBorders>
            <w:vAlign w:val="center"/>
          </w:tcPr>
          <w:p w14:paraId="3BDCF1F6"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15</w:t>
            </w:r>
          </w:p>
        </w:tc>
      </w:tr>
      <w:tr w:rsidR="000A3B2B" w14:paraId="74A7420E" w14:textId="77777777">
        <w:trPr>
          <w:trHeight w:val="60"/>
          <w:tblCellSpacing w:w="0" w:type="dxa"/>
        </w:trPr>
        <w:tc>
          <w:tcPr>
            <w:tcW w:w="4492" w:type="dxa"/>
            <w:tcBorders>
              <w:top w:val="single" w:sz="6" w:space="0" w:color="000000"/>
              <w:left w:val="single" w:sz="6" w:space="0" w:color="000000"/>
              <w:bottom w:val="single" w:sz="6" w:space="0" w:color="000000"/>
              <w:right w:val="single" w:sz="6" w:space="0" w:color="000000"/>
            </w:tcBorders>
          </w:tcPr>
          <w:p w14:paraId="4A24BD64"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Aluminiowe z przekładką termiczną (koloru jasnego)</w:t>
            </w:r>
          </w:p>
        </w:tc>
        <w:tc>
          <w:tcPr>
            <w:tcW w:w="720" w:type="dxa"/>
            <w:tcBorders>
              <w:top w:val="single" w:sz="6" w:space="0" w:color="000000"/>
              <w:left w:val="single" w:sz="6" w:space="0" w:color="000000"/>
              <w:bottom w:val="single" w:sz="6" w:space="0" w:color="000000"/>
              <w:right w:val="single" w:sz="6" w:space="0" w:color="000000"/>
            </w:tcBorders>
            <w:vAlign w:val="center"/>
          </w:tcPr>
          <w:p w14:paraId="7E828CF3"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10</w:t>
            </w:r>
          </w:p>
        </w:tc>
        <w:tc>
          <w:tcPr>
            <w:tcW w:w="720" w:type="dxa"/>
            <w:tcBorders>
              <w:top w:val="single" w:sz="6" w:space="0" w:color="000000"/>
              <w:left w:val="single" w:sz="6" w:space="0" w:color="000000"/>
              <w:bottom w:val="single" w:sz="6" w:space="0" w:color="000000"/>
              <w:right w:val="single" w:sz="6" w:space="0" w:color="000000"/>
            </w:tcBorders>
            <w:vAlign w:val="center"/>
          </w:tcPr>
          <w:p w14:paraId="71664E7F"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10</w:t>
            </w:r>
          </w:p>
        </w:tc>
        <w:tc>
          <w:tcPr>
            <w:tcW w:w="720" w:type="dxa"/>
            <w:tcBorders>
              <w:top w:val="single" w:sz="6" w:space="0" w:color="000000"/>
              <w:left w:val="single" w:sz="6" w:space="0" w:color="000000"/>
              <w:bottom w:val="single" w:sz="6" w:space="0" w:color="000000"/>
              <w:right w:val="single" w:sz="6" w:space="0" w:color="000000"/>
            </w:tcBorders>
            <w:vAlign w:val="center"/>
          </w:tcPr>
          <w:p w14:paraId="7CDE40AA"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15</w:t>
            </w:r>
          </w:p>
        </w:tc>
        <w:tc>
          <w:tcPr>
            <w:tcW w:w="720" w:type="dxa"/>
            <w:tcBorders>
              <w:top w:val="single" w:sz="6" w:space="0" w:color="000000"/>
              <w:left w:val="single" w:sz="6" w:space="0" w:color="000000"/>
              <w:bottom w:val="single" w:sz="6" w:space="0" w:color="000000"/>
              <w:right w:val="single" w:sz="6" w:space="0" w:color="000000"/>
            </w:tcBorders>
            <w:vAlign w:val="center"/>
          </w:tcPr>
          <w:p w14:paraId="7563B490"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20</w:t>
            </w:r>
          </w:p>
        </w:tc>
        <w:tc>
          <w:tcPr>
            <w:tcW w:w="720" w:type="dxa"/>
            <w:tcBorders>
              <w:top w:val="single" w:sz="6" w:space="0" w:color="000000"/>
              <w:left w:val="single" w:sz="6" w:space="0" w:color="000000"/>
              <w:bottom w:val="single" w:sz="6" w:space="0" w:color="000000"/>
              <w:right w:val="single" w:sz="6" w:space="0" w:color="000000"/>
            </w:tcBorders>
            <w:vAlign w:val="center"/>
          </w:tcPr>
          <w:p w14:paraId="0D12ED6E"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10</w:t>
            </w:r>
          </w:p>
        </w:tc>
        <w:tc>
          <w:tcPr>
            <w:tcW w:w="720" w:type="dxa"/>
            <w:tcBorders>
              <w:top w:val="single" w:sz="6" w:space="0" w:color="000000"/>
              <w:left w:val="single" w:sz="6" w:space="0" w:color="000000"/>
              <w:bottom w:val="single" w:sz="6" w:space="0" w:color="000000"/>
              <w:right w:val="single" w:sz="6" w:space="0" w:color="000000"/>
            </w:tcBorders>
            <w:vAlign w:val="center"/>
          </w:tcPr>
          <w:p w14:paraId="2A2B44D7"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10</w:t>
            </w:r>
          </w:p>
        </w:tc>
        <w:tc>
          <w:tcPr>
            <w:tcW w:w="720" w:type="dxa"/>
            <w:tcBorders>
              <w:top w:val="single" w:sz="6" w:space="0" w:color="000000"/>
              <w:left w:val="single" w:sz="6" w:space="0" w:color="000000"/>
              <w:bottom w:val="single" w:sz="6" w:space="0" w:color="000000"/>
              <w:right w:val="single" w:sz="6" w:space="0" w:color="000000"/>
            </w:tcBorders>
            <w:vAlign w:val="center"/>
          </w:tcPr>
          <w:p w14:paraId="58FCC891"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15</w:t>
            </w:r>
          </w:p>
        </w:tc>
      </w:tr>
      <w:tr w:rsidR="000A3B2B" w14:paraId="3EB6F920" w14:textId="77777777">
        <w:trPr>
          <w:trHeight w:val="60"/>
          <w:tblCellSpacing w:w="0" w:type="dxa"/>
        </w:trPr>
        <w:tc>
          <w:tcPr>
            <w:tcW w:w="4492" w:type="dxa"/>
            <w:tcBorders>
              <w:top w:val="single" w:sz="6" w:space="0" w:color="000000"/>
              <w:left w:val="single" w:sz="6" w:space="0" w:color="000000"/>
              <w:bottom w:val="single" w:sz="6" w:space="0" w:color="000000"/>
              <w:right w:val="single" w:sz="6" w:space="0" w:color="000000"/>
            </w:tcBorders>
          </w:tcPr>
          <w:p w14:paraId="4F9E1C0E"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Aluminiowe z przekładką termiczną (koloru ciemnego)</w:t>
            </w:r>
          </w:p>
        </w:tc>
        <w:tc>
          <w:tcPr>
            <w:tcW w:w="720" w:type="dxa"/>
            <w:tcBorders>
              <w:top w:val="single" w:sz="6" w:space="0" w:color="000000"/>
              <w:left w:val="single" w:sz="6" w:space="0" w:color="000000"/>
              <w:bottom w:val="single" w:sz="6" w:space="0" w:color="000000"/>
              <w:right w:val="single" w:sz="6" w:space="0" w:color="000000"/>
            </w:tcBorders>
            <w:vAlign w:val="center"/>
          </w:tcPr>
          <w:p w14:paraId="7FA7206C"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10</w:t>
            </w:r>
          </w:p>
        </w:tc>
        <w:tc>
          <w:tcPr>
            <w:tcW w:w="720" w:type="dxa"/>
            <w:tcBorders>
              <w:top w:val="single" w:sz="6" w:space="0" w:color="000000"/>
              <w:left w:val="single" w:sz="6" w:space="0" w:color="000000"/>
              <w:bottom w:val="single" w:sz="6" w:space="0" w:color="000000"/>
              <w:right w:val="single" w:sz="6" w:space="0" w:color="000000"/>
            </w:tcBorders>
            <w:vAlign w:val="center"/>
          </w:tcPr>
          <w:p w14:paraId="4993B92F"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15</w:t>
            </w:r>
          </w:p>
        </w:tc>
        <w:tc>
          <w:tcPr>
            <w:tcW w:w="720" w:type="dxa"/>
            <w:tcBorders>
              <w:top w:val="single" w:sz="6" w:space="0" w:color="000000"/>
              <w:left w:val="single" w:sz="6" w:space="0" w:color="000000"/>
              <w:bottom w:val="single" w:sz="6" w:space="0" w:color="000000"/>
              <w:right w:val="single" w:sz="6" w:space="0" w:color="000000"/>
            </w:tcBorders>
            <w:vAlign w:val="center"/>
          </w:tcPr>
          <w:p w14:paraId="433413EB"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20</w:t>
            </w:r>
          </w:p>
        </w:tc>
        <w:tc>
          <w:tcPr>
            <w:tcW w:w="720" w:type="dxa"/>
            <w:tcBorders>
              <w:top w:val="single" w:sz="6" w:space="0" w:color="000000"/>
              <w:left w:val="single" w:sz="6" w:space="0" w:color="000000"/>
              <w:bottom w:val="single" w:sz="6" w:space="0" w:color="000000"/>
              <w:right w:val="single" w:sz="6" w:space="0" w:color="000000"/>
            </w:tcBorders>
            <w:vAlign w:val="center"/>
          </w:tcPr>
          <w:p w14:paraId="3FED0207"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25</w:t>
            </w:r>
          </w:p>
        </w:tc>
        <w:tc>
          <w:tcPr>
            <w:tcW w:w="720" w:type="dxa"/>
            <w:tcBorders>
              <w:top w:val="single" w:sz="6" w:space="0" w:color="000000"/>
              <w:left w:val="single" w:sz="6" w:space="0" w:color="000000"/>
              <w:bottom w:val="single" w:sz="6" w:space="0" w:color="000000"/>
              <w:right w:val="single" w:sz="6" w:space="0" w:color="000000"/>
            </w:tcBorders>
            <w:vAlign w:val="center"/>
          </w:tcPr>
          <w:p w14:paraId="0273905A"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10</w:t>
            </w:r>
          </w:p>
        </w:tc>
        <w:tc>
          <w:tcPr>
            <w:tcW w:w="720" w:type="dxa"/>
            <w:tcBorders>
              <w:top w:val="single" w:sz="6" w:space="0" w:color="000000"/>
              <w:left w:val="single" w:sz="6" w:space="0" w:color="000000"/>
              <w:bottom w:val="single" w:sz="6" w:space="0" w:color="000000"/>
              <w:right w:val="single" w:sz="6" w:space="0" w:color="000000"/>
            </w:tcBorders>
            <w:vAlign w:val="center"/>
          </w:tcPr>
          <w:p w14:paraId="26757CF3"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10</w:t>
            </w:r>
          </w:p>
        </w:tc>
        <w:tc>
          <w:tcPr>
            <w:tcW w:w="720" w:type="dxa"/>
            <w:tcBorders>
              <w:top w:val="single" w:sz="6" w:space="0" w:color="000000"/>
              <w:left w:val="single" w:sz="6" w:space="0" w:color="000000"/>
              <w:bottom w:val="single" w:sz="6" w:space="0" w:color="000000"/>
              <w:right w:val="single" w:sz="6" w:space="0" w:color="000000"/>
            </w:tcBorders>
            <w:vAlign w:val="center"/>
          </w:tcPr>
          <w:p w14:paraId="04474F39"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15</w:t>
            </w:r>
          </w:p>
        </w:tc>
      </w:tr>
      <w:tr w:rsidR="000A3B2B" w14:paraId="7CEDAB04" w14:textId="77777777">
        <w:trPr>
          <w:trHeight w:val="60"/>
          <w:tblCellSpacing w:w="0" w:type="dxa"/>
        </w:trPr>
        <w:tc>
          <w:tcPr>
            <w:tcW w:w="4492" w:type="dxa"/>
            <w:tcBorders>
              <w:top w:val="single" w:sz="6" w:space="0" w:color="000000"/>
              <w:left w:val="single" w:sz="6" w:space="0" w:color="000000"/>
              <w:bottom w:val="single" w:sz="6" w:space="0" w:color="000000"/>
              <w:right w:val="single" w:sz="6" w:space="0" w:color="000000"/>
            </w:tcBorders>
          </w:tcPr>
          <w:p w14:paraId="0C801C0A"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Drewniane</w:t>
            </w:r>
          </w:p>
        </w:tc>
        <w:tc>
          <w:tcPr>
            <w:tcW w:w="720" w:type="dxa"/>
            <w:tcBorders>
              <w:top w:val="single" w:sz="6" w:space="0" w:color="000000"/>
              <w:left w:val="single" w:sz="6" w:space="0" w:color="000000"/>
              <w:bottom w:val="single" w:sz="6" w:space="0" w:color="000000"/>
              <w:right w:val="single" w:sz="6" w:space="0" w:color="000000"/>
            </w:tcBorders>
            <w:vAlign w:val="center"/>
          </w:tcPr>
          <w:p w14:paraId="29C07630"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10</w:t>
            </w:r>
          </w:p>
        </w:tc>
        <w:tc>
          <w:tcPr>
            <w:tcW w:w="720" w:type="dxa"/>
            <w:tcBorders>
              <w:top w:val="single" w:sz="6" w:space="0" w:color="000000"/>
              <w:left w:val="single" w:sz="6" w:space="0" w:color="000000"/>
              <w:bottom w:val="single" w:sz="6" w:space="0" w:color="000000"/>
              <w:right w:val="single" w:sz="6" w:space="0" w:color="000000"/>
            </w:tcBorders>
            <w:vAlign w:val="center"/>
          </w:tcPr>
          <w:p w14:paraId="5782DF03"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10</w:t>
            </w:r>
          </w:p>
        </w:tc>
        <w:tc>
          <w:tcPr>
            <w:tcW w:w="720" w:type="dxa"/>
            <w:tcBorders>
              <w:top w:val="single" w:sz="6" w:space="0" w:color="000000"/>
              <w:left w:val="single" w:sz="6" w:space="0" w:color="000000"/>
              <w:bottom w:val="single" w:sz="6" w:space="0" w:color="000000"/>
              <w:right w:val="single" w:sz="6" w:space="0" w:color="000000"/>
            </w:tcBorders>
            <w:vAlign w:val="center"/>
          </w:tcPr>
          <w:p w14:paraId="52B24C2E"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10</w:t>
            </w:r>
          </w:p>
        </w:tc>
        <w:tc>
          <w:tcPr>
            <w:tcW w:w="720" w:type="dxa"/>
            <w:tcBorders>
              <w:top w:val="single" w:sz="6" w:space="0" w:color="000000"/>
              <w:left w:val="single" w:sz="6" w:space="0" w:color="000000"/>
              <w:bottom w:val="single" w:sz="6" w:space="0" w:color="000000"/>
              <w:right w:val="single" w:sz="6" w:space="0" w:color="000000"/>
            </w:tcBorders>
            <w:vAlign w:val="center"/>
          </w:tcPr>
          <w:p w14:paraId="1D21759A"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10</w:t>
            </w:r>
          </w:p>
        </w:tc>
        <w:tc>
          <w:tcPr>
            <w:tcW w:w="720" w:type="dxa"/>
            <w:tcBorders>
              <w:top w:val="single" w:sz="6" w:space="0" w:color="000000"/>
              <w:left w:val="single" w:sz="6" w:space="0" w:color="000000"/>
              <w:bottom w:val="single" w:sz="6" w:space="0" w:color="000000"/>
              <w:right w:val="single" w:sz="6" w:space="0" w:color="000000"/>
            </w:tcBorders>
            <w:vAlign w:val="center"/>
          </w:tcPr>
          <w:p w14:paraId="27A95636"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10</w:t>
            </w:r>
          </w:p>
        </w:tc>
        <w:tc>
          <w:tcPr>
            <w:tcW w:w="720" w:type="dxa"/>
            <w:tcBorders>
              <w:top w:val="single" w:sz="6" w:space="0" w:color="000000"/>
              <w:left w:val="single" w:sz="6" w:space="0" w:color="000000"/>
              <w:bottom w:val="single" w:sz="6" w:space="0" w:color="000000"/>
              <w:right w:val="single" w:sz="6" w:space="0" w:color="000000"/>
            </w:tcBorders>
            <w:vAlign w:val="center"/>
          </w:tcPr>
          <w:p w14:paraId="265D111D"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10</w:t>
            </w:r>
          </w:p>
        </w:tc>
        <w:tc>
          <w:tcPr>
            <w:tcW w:w="720" w:type="dxa"/>
            <w:tcBorders>
              <w:top w:val="single" w:sz="6" w:space="0" w:color="000000"/>
              <w:left w:val="single" w:sz="6" w:space="0" w:color="000000"/>
              <w:bottom w:val="single" w:sz="6" w:space="0" w:color="000000"/>
              <w:right w:val="single" w:sz="6" w:space="0" w:color="000000"/>
            </w:tcBorders>
            <w:vAlign w:val="center"/>
          </w:tcPr>
          <w:p w14:paraId="5B66418D"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10</w:t>
            </w:r>
          </w:p>
        </w:tc>
      </w:tr>
      <w:tr w:rsidR="000A3B2B" w14:paraId="152B67DA" w14:textId="77777777">
        <w:trPr>
          <w:trHeight w:val="60"/>
          <w:tblCellSpacing w:w="0" w:type="dxa"/>
        </w:trPr>
        <w:tc>
          <w:tcPr>
            <w:tcW w:w="9532" w:type="dxa"/>
            <w:gridSpan w:val="8"/>
            <w:tcBorders>
              <w:top w:val="single" w:sz="6" w:space="0" w:color="000000"/>
              <w:left w:val="single" w:sz="6" w:space="0" w:color="000000"/>
              <w:bottom w:val="single" w:sz="6" w:space="0" w:color="000000"/>
              <w:right w:val="single" w:sz="6" w:space="0" w:color="000000"/>
            </w:tcBorders>
          </w:tcPr>
          <w:p w14:paraId="44C6AEC4"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 xml:space="preserve">* Materiał uszczelniający powinien wykazywać się odkształcalnością 25%, </w:t>
            </w:r>
            <w:r>
              <w:rPr>
                <w:rFonts w:ascii="Arial" w:hAnsi="Arial" w:cs="Arial"/>
                <w:color w:val="000000"/>
                <w:sz w:val="18"/>
                <w:szCs w:val="18"/>
                <w:lang w:val="x-none"/>
              </w:rPr>
              <w:br/>
              <w:t>* PMMA – polimetakrylan metylu</w:t>
            </w:r>
          </w:p>
        </w:tc>
      </w:tr>
      <w:tr w:rsidR="000A3B2B" w14:paraId="3BB72602" w14:textId="77777777">
        <w:trPr>
          <w:trHeight w:val="240"/>
          <w:tblCellSpacing w:w="0" w:type="dxa"/>
        </w:trPr>
        <w:tc>
          <w:tcPr>
            <w:tcW w:w="9532" w:type="dxa"/>
            <w:gridSpan w:val="8"/>
            <w:tcBorders>
              <w:top w:val="single" w:sz="6" w:space="0" w:color="000000"/>
              <w:left w:val="single" w:sz="6" w:space="0" w:color="000000"/>
              <w:bottom w:val="single" w:sz="6" w:space="0" w:color="000000"/>
              <w:right w:val="single" w:sz="6" w:space="0" w:color="000000"/>
            </w:tcBorders>
          </w:tcPr>
          <w:p w14:paraId="3D3BD715"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i/>
                <w:iCs/>
                <w:color w:val="000000"/>
                <w:sz w:val="18"/>
                <w:szCs w:val="18"/>
                <w:lang w:val="x-none"/>
              </w:rPr>
              <w:t>t</w:t>
            </w:r>
            <w:r>
              <w:rPr>
                <w:rFonts w:ascii="Arial" w:hAnsi="Arial" w:cs="Arial"/>
                <w:color w:val="000000"/>
                <w:sz w:val="18"/>
                <w:szCs w:val="18"/>
                <w:lang w:val="x-none"/>
              </w:rPr>
              <w:t xml:space="preserve"> – głębokość uszczelnienia, </w:t>
            </w:r>
            <w:r>
              <w:rPr>
                <w:rFonts w:ascii="Arial" w:hAnsi="Arial" w:cs="Arial"/>
                <w:i/>
                <w:iCs/>
                <w:color w:val="000000"/>
                <w:sz w:val="18"/>
                <w:szCs w:val="18"/>
                <w:lang w:val="x-none"/>
              </w:rPr>
              <w:t>b</w:t>
            </w:r>
            <w:r>
              <w:rPr>
                <w:rFonts w:ascii="Arial" w:hAnsi="Arial" w:cs="Arial"/>
                <w:color w:val="000000"/>
                <w:sz w:val="18"/>
                <w:szCs w:val="18"/>
                <w:lang w:val="x-none"/>
              </w:rPr>
              <w:t xml:space="preserve"> – szerokość uszczelnienia</w:t>
            </w:r>
          </w:p>
        </w:tc>
      </w:tr>
    </w:tbl>
    <w:p w14:paraId="7C39EB59"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5506A041"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 xml:space="preserve">Przy wykonywaniu uszczelnień z kitów trwale elastycznych należy przestrzegać zasady, że głębokość warstwy uszczelnienia </w:t>
      </w:r>
      <w:r>
        <w:rPr>
          <w:rFonts w:ascii="Arial" w:hAnsi="Arial" w:cs="Arial"/>
          <w:b/>
          <w:bCs/>
          <w:i/>
          <w:iCs/>
          <w:color w:val="000000"/>
          <w:sz w:val="18"/>
          <w:szCs w:val="18"/>
          <w:lang w:val="x-none"/>
        </w:rPr>
        <w:t>t</w:t>
      </w:r>
      <w:r>
        <w:rPr>
          <w:rFonts w:ascii="Arial" w:hAnsi="Arial" w:cs="Arial"/>
          <w:color w:val="000000"/>
          <w:sz w:val="18"/>
          <w:szCs w:val="18"/>
          <w:lang w:val="x-none"/>
        </w:rPr>
        <w:t xml:space="preserve"> powinna odpowiadać co najmniej połowie szerokości szczeliny </w:t>
      </w:r>
      <w:r>
        <w:rPr>
          <w:rFonts w:ascii="Arial" w:hAnsi="Arial" w:cs="Arial"/>
          <w:b/>
          <w:bCs/>
          <w:i/>
          <w:iCs/>
          <w:color w:val="000000"/>
          <w:sz w:val="18"/>
          <w:szCs w:val="18"/>
          <w:lang w:val="x-none"/>
        </w:rPr>
        <w:t>b</w:t>
      </w:r>
      <w:r>
        <w:rPr>
          <w:rFonts w:ascii="Arial" w:hAnsi="Arial" w:cs="Arial"/>
          <w:color w:val="000000"/>
          <w:sz w:val="18"/>
          <w:szCs w:val="18"/>
          <w:lang w:val="x-none"/>
        </w:rPr>
        <w:t xml:space="preserve"> i wynosić nie mniej niż 6 mm.</w:t>
      </w:r>
    </w:p>
    <w:p w14:paraId="7A3EBF3E"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 </w:t>
      </w:r>
    </w:p>
    <w:p w14:paraId="543BA15D" w14:textId="77777777" w:rsidR="000A3B2B" w:rsidRDefault="000A3B2B" w:rsidP="009E5295">
      <w:pPr>
        <w:autoSpaceDE w:val="0"/>
        <w:autoSpaceDN w:val="0"/>
        <w:adjustRightInd w:val="0"/>
        <w:spacing w:after="30" w:line="240" w:lineRule="auto"/>
        <w:jc w:val="both"/>
        <w:rPr>
          <w:rFonts w:ascii="Arial" w:hAnsi="Arial" w:cs="Arial"/>
          <w:b/>
          <w:bCs/>
          <w:color w:val="000000"/>
          <w:sz w:val="18"/>
          <w:szCs w:val="18"/>
          <w:lang w:val="x-none"/>
        </w:rPr>
      </w:pPr>
      <w:r>
        <w:rPr>
          <w:rFonts w:ascii="Arial" w:hAnsi="Arial" w:cs="Arial"/>
          <w:b/>
          <w:bCs/>
          <w:color w:val="000000"/>
          <w:sz w:val="18"/>
          <w:szCs w:val="18"/>
          <w:lang w:val="x-none"/>
        </w:rPr>
        <w:t>Tablica 4. Minimalna szerokość szczelin między ramą ościeżnicy a ościeżem przy uszczelnieniach impregnowanymi taśmami rozprężnymi*</w:t>
      </w:r>
    </w:p>
    <w:tbl>
      <w:tblPr>
        <w:tblW w:w="0" w:type="auto"/>
        <w:tblCellSpacing w:w="0" w:type="dxa"/>
        <w:tblInd w:w="-8" w:type="dxa"/>
        <w:tblLayout w:type="fixed"/>
        <w:tblCellMar>
          <w:left w:w="0" w:type="dxa"/>
          <w:right w:w="0" w:type="dxa"/>
        </w:tblCellMar>
        <w:tblLook w:val="0000" w:firstRow="0" w:lastRow="0" w:firstColumn="0" w:lastColumn="0" w:noHBand="0" w:noVBand="0"/>
      </w:tblPr>
      <w:tblGrid>
        <w:gridCol w:w="4492"/>
        <w:gridCol w:w="720"/>
        <w:gridCol w:w="720"/>
        <w:gridCol w:w="720"/>
        <w:gridCol w:w="720"/>
        <w:gridCol w:w="720"/>
        <w:gridCol w:w="720"/>
        <w:gridCol w:w="720"/>
      </w:tblGrid>
      <w:tr w:rsidR="000A3B2B" w14:paraId="2D20CA12" w14:textId="77777777">
        <w:trPr>
          <w:trHeight w:val="60"/>
          <w:tblHeader/>
          <w:tblCellSpacing w:w="0" w:type="dxa"/>
        </w:trPr>
        <w:tc>
          <w:tcPr>
            <w:tcW w:w="4492" w:type="dxa"/>
            <w:vMerge w:val="restart"/>
            <w:tcBorders>
              <w:top w:val="single" w:sz="6" w:space="0" w:color="000000"/>
              <w:left w:val="single" w:sz="6" w:space="0" w:color="000000"/>
              <w:bottom w:val="single" w:sz="6" w:space="0" w:color="000000"/>
              <w:right w:val="single" w:sz="6" w:space="0" w:color="000000"/>
            </w:tcBorders>
            <w:shd w:val="clear" w:color="auto" w:fill="CBCBCB"/>
            <w:vAlign w:val="center"/>
          </w:tcPr>
          <w:p w14:paraId="0EAA3FBC"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Rodzaj kształtowników</w:t>
            </w:r>
          </w:p>
        </w:tc>
        <w:tc>
          <w:tcPr>
            <w:tcW w:w="2880" w:type="dxa"/>
            <w:gridSpan w:val="4"/>
            <w:tcBorders>
              <w:top w:val="single" w:sz="6" w:space="0" w:color="000000"/>
              <w:left w:val="single" w:sz="6" w:space="0" w:color="000000"/>
              <w:bottom w:val="single" w:sz="6" w:space="0" w:color="000000"/>
              <w:right w:val="single" w:sz="6" w:space="0" w:color="000000"/>
            </w:tcBorders>
            <w:shd w:val="clear" w:color="auto" w:fill="CBCBCB"/>
            <w:vAlign w:val="center"/>
          </w:tcPr>
          <w:p w14:paraId="345BC5B2"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Ościeże bez węgarka</w:t>
            </w:r>
          </w:p>
        </w:tc>
        <w:tc>
          <w:tcPr>
            <w:tcW w:w="2160" w:type="dxa"/>
            <w:gridSpan w:val="3"/>
            <w:tcBorders>
              <w:top w:val="single" w:sz="6" w:space="0" w:color="000000"/>
              <w:left w:val="single" w:sz="6" w:space="0" w:color="000000"/>
              <w:bottom w:val="single" w:sz="6" w:space="0" w:color="000000"/>
              <w:right w:val="single" w:sz="6" w:space="0" w:color="000000"/>
            </w:tcBorders>
            <w:shd w:val="clear" w:color="auto" w:fill="CBCBCB"/>
            <w:vAlign w:val="center"/>
          </w:tcPr>
          <w:p w14:paraId="3FBC128F"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Ościeże z węgarkiem</w:t>
            </w:r>
          </w:p>
        </w:tc>
      </w:tr>
      <w:tr w:rsidR="000A3B2B" w14:paraId="1011339C" w14:textId="77777777">
        <w:trPr>
          <w:trHeight w:val="60"/>
          <w:tblHeader/>
          <w:tblCellSpacing w:w="0" w:type="dxa"/>
        </w:trPr>
        <w:tc>
          <w:tcPr>
            <w:tcW w:w="4492" w:type="dxa"/>
            <w:vMerge/>
            <w:tcBorders>
              <w:top w:val="single" w:sz="6" w:space="0" w:color="000000"/>
              <w:left w:val="single" w:sz="6" w:space="0" w:color="000000"/>
              <w:bottom w:val="single" w:sz="6" w:space="0" w:color="000000"/>
              <w:right w:val="single" w:sz="6" w:space="0" w:color="000000"/>
            </w:tcBorders>
            <w:shd w:val="clear" w:color="auto" w:fill="CBCBCB"/>
            <w:vAlign w:val="center"/>
          </w:tcPr>
          <w:p w14:paraId="5DF4F160" w14:textId="77777777" w:rsidR="000A3B2B" w:rsidRDefault="000A3B2B">
            <w:pPr>
              <w:autoSpaceDE w:val="0"/>
              <w:autoSpaceDN w:val="0"/>
              <w:adjustRightInd w:val="0"/>
              <w:spacing w:after="0" w:line="240" w:lineRule="auto"/>
              <w:rPr>
                <w:rFonts w:ascii="Arial" w:hAnsi="Arial" w:cs="Arial"/>
                <w:b/>
                <w:bCs/>
                <w:color w:val="000000"/>
                <w:sz w:val="18"/>
                <w:szCs w:val="18"/>
                <w:lang w:val="x-none"/>
              </w:rPr>
            </w:pPr>
          </w:p>
        </w:tc>
        <w:tc>
          <w:tcPr>
            <w:tcW w:w="2880" w:type="dxa"/>
            <w:gridSpan w:val="4"/>
            <w:tcBorders>
              <w:top w:val="single" w:sz="6" w:space="0" w:color="000000"/>
              <w:left w:val="single" w:sz="6" w:space="0" w:color="000000"/>
              <w:bottom w:val="single" w:sz="6" w:space="0" w:color="000000"/>
              <w:right w:val="single" w:sz="6" w:space="0" w:color="000000"/>
            </w:tcBorders>
            <w:vAlign w:val="center"/>
          </w:tcPr>
          <w:p w14:paraId="18DCCBBD"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b/>
                <w:bCs/>
                <w:noProof/>
                <w:color w:val="000000"/>
                <w:sz w:val="18"/>
                <w:szCs w:val="18"/>
                <w:lang w:val="x-none"/>
              </w:rPr>
              <w:drawing>
                <wp:inline distT="0" distB="0" distL="0" distR="0" wp14:anchorId="4B202D8E" wp14:editId="2C8077F4">
                  <wp:extent cx="371475" cy="295275"/>
                  <wp:effectExtent l="0" t="0" r="9525" b="9525"/>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1475" cy="295275"/>
                          </a:xfrm>
                          <a:prstGeom prst="rect">
                            <a:avLst/>
                          </a:prstGeom>
                          <a:noFill/>
                          <a:ln>
                            <a:noFill/>
                          </a:ln>
                        </pic:spPr>
                      </pic:pic>
                    </a:graphicData>
                  </a:graphic>
                </wp:inline>
              </w:drawing>
            </w:r>
            <w:r>
              <w:rPr>
                <w:rFonts w:ascii="Arial" w:hAnsi="Arial" w:cs="Arial"/>
                <w:color w:val="000000"/>
                <w:sz w:val="18"/>
                <w:szCs w:val="18"/>
                <w:lang w:val="x-none"/>
              </w:rPr>
              <w:t xml:space="preserve">  </w:t>
            </w:r>
          </w:p>
        </w:tc>
        <w:tc>
          <w:tcPr>
            <w:tcW w:w="2160" w:type="dxa"/>
            <w:gridSpan w:val="3"/>
            <w:tcBorders>
              <w:top w:val="single" w:sz="6" w:space="0" w:color="000000"/>
              <w:left w:val="single" w:sz="6" w:space="0" w:color="000000"/>
              <w:bottom w:val="single" w:sz="6" w:space="0" w:color="000000"/>
              <w:right w:val="single" w:sz="6" w:space="0" w:color="000000"/>
            </w:tcBorders>
            <w:vAlign w:val="center"/>
          </w:tcPr>
          <w:p w14:paraId="6980DFA9" w14:textId="77777777" w:rsidR="000A3B2B" w:rsidRDefault="000A3B2B">
            <w:pPr>
              <w:autoSpaceDE w:val="0"/>
              <w:autoSpaceDN w:val="0"/>
              <w:adjustRightInd w:val="0"/>
              <w:spacing w:after="30" w:line="240" w:lineRule="auto"/>
              <w:jc w:val="center"/>
              <w:rPr>
                <w:rFonts w:ascii="Arial" w:hAnsi="Arial" w:cs="Arial"/>
                <w:b/>
                <w:bCs/>
                <w:color w:val="000000"/>
                <w:sz w:val="18"/>
                <w:szCs w:val="18"/>
                <w:lang w:val="x-none"/>
              </w:rPr>
            </w:pPr>
            <w:r>
              <w:rPr>
                <w:rFonts w:ascii="Arial" w:hAnsi="Arial" w:cs="Arial"/>
                <w:b/>
                <w:bCs/>
                <w:noProof/>
                <w:color w:val="000000"/>
                <w:sz w:val="18"/>
                <w:szCs w:val="18"/>
                <w:lang w:val="x-none"/>
              </w:rPr>
              <w:drawing>
                <wp:inline distT="0" distB="0" distL="0" distR="0" wp14:anchorId="57869D89" wp14:editId="62567F10">
                  <wp:extent cx="419100" cy="285750"/>
                  <wp:effectExtent l="0" t="0" r="0" b="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9100" cy="285750"/>
                          </a:xfrm>
                          <a:prstGeom prst="rect">
                            <a:avLst/>
                          </a:prstGeom>
                          <a:noFill/>
                          <a:ln>
                            <a:noFill/>
                          </a:ln>
                        </pic:spPr>
                      </pic:pic>
                    </a:graphicData>
                  </a:graphic>
                </wp:inline>
              </w:drawing>
            </w:r>
          </w:p>
        </w:tc>
      </w:tr>
      <w:tr w:rsidR="000A3B2B" w14:paraId="3A10260C" w14:textId="77777777">
        <w:trPr>
          <w:trHeight w:val="60"/>
          <w:tblHeader/>
          <w:tblCellSpacing w:w="0" w:type="dxa"/>
        </w:trPr>
        <w:tc>
          <w:tcPr>
            <w:tcW w:w="4492" w:type="dxa"/>
            <w:vMerge/>
            <w:tcBorders>
              <w:top w:val="single" w:sz="6" w:space="0" w:color="000000"/>
              <w:left w:val="single" w:sz="6" w:space="0" w:color="000000"/>
              <w:bottom w:val="single" w:sz="6" w:space="0" w:color="000000"/>
              <w:right w:val="single" w:sz="6" w:space="0" w:color="000000"/>
            </w:tcBorders>
            <w:shd w:val="clear" w:color="auto" w:fill="CBCBCB"/>
            <w:vAlign w:val="center"/>
          </w:tcPr>
          <w:p w14:paraId="7EF599A5" w14:textId="77777777" w:rsidR="000A3B2B" w:rsidRDefault="000A3B2B">
            <w:pPr>
              <w:autoSpaceDE w:val="0"/>
              <w:autoSpaceDN w:val="0"/>
              <w:adjustRightInd w:val="0"/>
              <w:spacing w:after="0" w:line="240" w:lineRule="auto"/>
              <w:rPr>
                <w:rFonts w:ascii="Arial" w:hAnsi="Arial" w:cs="Arial"/>
                <w:b/>
                <w:bCs/>
                <w:color w:val="000000"/>
                <w:sz w:val="18"/>
                <w:szCs w:val="18"/>
                <w:lang w:val="x-none"/>
              </w:rPr>
            </w:pPr>
          </w:p>
        </w:tc>
        <w:tc>
          <w:tcPr>
            <w:tcW w:w="5040" w:type="dxa"/>
            <w:gridSpan w:val="7"/>
            <w:tcBorders>
              <w:top w:val="single" w:sz="6" w:space="0" w:color="000000"/>
              <w:left w:val="single" w:sz="6" w:space="0" w:color="000000"/>
              <w:bottom w:val="single" w:sz="6" w:space="0" w:color="000000"/>
              <w:right w:val="single" w:sz="6" w:space="0" w:color="000000"/>
            </w:tcBorders>
            <w:shd w:val="clear" w:color="auto" w:fill="CBCBCB"/>
            <w:vAlign w:val="center"/>
          </w:tcPr>
          <w:p w14:paraId="2F145510"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Szerokość/długość okien/drzwi balkonowych (m)</w:t>
            </w:r>
          </w:p>
        </w:tc>
      </w:tr>
      <w:tr w:rsidR="000A3B2B" w14:paraId="397EFABF" w14:textId="77777777">
        <w:trPr>
          <w:trHeight w:val="60"/>
          <w:tblHeader/>
          <w:tblCellSpacing w:w="0" w:type="dxa"/>
        </w:trPr>
        <w:tc>
          <w:tcPr>
            <w:tcW w:w="4492" w:type="dxa"/>
            <w:vMerge/>
            <w:tcBorders>
              <w:top w:val="single" w:sz="6" w:space="0" w:color="000000"/>
              <w:left w:val="single" w:sz="6" w:space="0" w:color="000000"/>
              <w:bottom w:val="single" w:sz="6" w:space="0" w:color="000000"/>
              <w:right w:val="single" w:sz="6" w:space="0" w:color="000000"/>
            </w:tcBorders>
            <w:shd w:val="clear" w:color="auto" w:fill="CBCBCB"/>
            <w:vAlign w:val="center"/>
          </w:tcPr>
          <w:p w14:paraId="18906F08" w14:textId="77777777" w:rsidR="000A3B2B" w:rsidRDefault="000A3B2B">
            <w:pPr>
              <w:autoSpaceDE w:val="0"/>
              <w:autoSpaceDN w:val="0"/>
              <w:adjustRightInd w:val="0"/>
              <w:spacing w:after="0" w:line="240" w:lineRule="auto"/>
              <w:rPr>
                <w:rFonts w:ascii="Arial" w:hAnsi="Arial" w:cs="Arial"/>
                <w:b/>
                <w:bCs/>
                <w:color w:val="000000"/>
                <w:sz w:val="18"/>
                <w:szCs w:val="18"/>
                <w:lang w:val="x-none"/>
              </w:rPr>
            </w:pPr>
          </w:p>
        </w:tc>
        <w:tc>
          <w:tcPr>
            <w:tcW w:w="720" w:type="dxa"/>
            <w:tcBorders>
              <w:top w:val="single" w:sz="6" w:space="0" w:color="000000"/>
              <w:left w:val="single" w:sz="6" w:space="0" w:color="000000"/>
              <w:bottom w:val="single" w:sz="6" w:space="0" w:color="000000"/>
              <w:right w:val="single" w:sz="6" w:space="0" w:color="000000"/>
            </w:tcBorders>
            <w:shd w:val="clear" w:color="auto" w:fill="CBCBCB"/>
            <w:vAlign w:val="center"/>
          </w:tcPr>
          <w:p w14:paraId="7800431F"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do 1,5</w:t>
            </w:r>
          </w:p>
        </w:tc>
        <w:tc>
          <w:tcPr>
            <w:tcW w:w="720" w:type="dxa"/>
            <w:tcBorders>
              <w:top w:val="single" w:sz="6" w:space="0" w:color="000000"/>
              <w:left w:val="single" w:sz="6" w:space="0" w:color="000000"/>
              <w:bottom w:val="single" w:sz="6" w:space="0" w:color="000000"/>
              <w:right w:val="single" w:sz="6" w:space="0" w:color="000000"/>
            </w:tcBorders>
            <w:shd w:val="clear" w:color="auto" w:fill="CBCBCB"/>
            <w:vAlign w:val="center"/>
          </w:tcPr>
          <w:p w14:paraId="3D1BE576"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do 2,5</w:t>
            </w:r>
          </w:p>
        </w:tc>
        <w:tc>
          <w:tcPr>
            <w:tcW w:w="720" w:type="dxa"/>
            <w:tcBorders>
              <w:top w:val="single" w:sz="6" w:space="0" w:color="000000"/>
              <w:left w:val="single" w:sz="6" w:space="0" w:color="000000"/>
              <w:bottom w:val="single" w:sz="6" w:space="0" w:color="000000"/>
              <w:right w:val="single" w:sz="6" w:space="0" w:color="000000"/>
            </w:tcBorders>
            <w:shd w:val="clear" w:color="auto" w:fill="CBCBCB"/>
            <w:vAlign w:val="center"/>
          </w:tcPr>
          <w:p w14:paraId="723EBA9A"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do 3,5</w:t>
            </w:r>
          </w:p>
        </w:tc>
        <w:tc>
          <w:tcPr>
            <w:tcW w:w="720" w:type="dxa"/>
            <w:tcBorders>
              <w:top w:val="single" w:sz="6" w:space="0" w:color="000000"/>
              <w:left w:val="single" w:sz="6" w:space="0" w:color="000000"/>
              <w:bottom w:val="single" w:sz="6" w:space="0" w:color="000000"/>
              <w:right w:val="single" w:sz="6" w:space="0" w:color="000000"/>
            </w:tcBorders>
            <w:shd w:val="clear" w:color="auto" w:fill="CBCBCB"/>
            <w:vAlign w:val="center"/>
          </w:tcPr>
          <w:p w14:paraId="6B89A4DF"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do 4,5</w:t>
            </w:r>
          </w:p>
        </w:tc>
        <w:tc>
          <w:tcPr>
            <w:tcW w:w="720" w:type="dxa"/>
            <w:tcBorders>
              <w:top w:val="single" w:sz="6" w:space="0" w:color="000000"/>
              <w:left w:val="single" w:sz="6" w:space="0" w:color="000000"/>
              <w:bottom w:val="single" w:sz="6" w:space="0" w:color="000000"/>
              <w:right w:val="single" w:sz="6" w:space="0" w:color="000000"/>
            </w:tcBorders>
            <w:shd w:val="clear" w:color="auto" w:fill="CBCBCB"/>
            <w:vAlign w:val="center"/>
          </w:tcPr>
          <w:p w14:paraId="1A86F3D4"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do 2,5</w:t>
            </w:r>
          </w:p>
        </w:tc>
        <w:tc>
          <w:tcPr>
            <w:tcW w:w="720" w:type="dxa"/>
            <w:tcBorders>
              <w:top w:val="single" w:sz="6" w:space="0" w:color="000000"/>
              <w:left w:val="single" w:sz="6" w:space="0" w:color="000000"/>
              <w:bottom w:val="single" w:sz="6" w:space="0" w:color="000000"/>
              <w:right w:val="single" w:sz="6" w:space="0" w:color="000000"/>
            </w:tcBorders>
            <w:shd w:val="clear" w:color="auto" w:fill="CBCBCB"/>
            <w:vAlign w:val="center"/>
          </w:tcPr>
          <w:p w14:paraId="4644C662"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do 3,5</w:t>
            </w:r>
          </w:p>
        </w:tc>
        <w:tc>
          <w:tcPr>
            <w:tcW w:w="720" w:type="dxa"/>
            <w:tcBorders>
              <w:top w:val="single" w:sz="6" w:space="0" w:color="000000"/>
              <w:left w:val="single" w:sz="6" w:space="0" w:color="000000"/>
              <w:bottom w:val="single" w:sz="6" w:space="0" w:color="000000"/>
              <w:right w:val="single" w:sz="6" w:space="0" w:color="000000"/>
            </w:tcBorders>
            <w:shd w:val="clear" w:color="auto" w:fill="CBCBCB"/>
            <w:vAlign w:val="center"/>
          </w:tcPr>
          <w:p w14:paraId="577B8A8C"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do 4,5</w:t>
            </w:r>
          </w:p>
        </w:tc>
      </w:tr>
      <w:tr w:rsidR="000A3B2B" w14:paraId="1205D00C" w14:textId="77777777">
        <w:trPr>
          <w:trHeight w:val="60"/>
          <w:tblHeader/>
          <w:tblCellSpacing w:w="0" w:type="dxa"/>
        </w:trPr>
        <w:tc>
          <w:tcPr>
            <w:tcW w:w="4492" w:type="dxa"/>
            <w:vMerge/>
            <w:tcBorders>
              <w:top w:val="single" w:sz="6" w:space="0" w:color="000000"/>
              <w:left w:val="single" w:sz="6" w:space="0" w:color="000000"/>
              <w:bottom w:val="single" w:sz="6" w:space="0" w:color="000000"/>
              <w:right w:val="single" w:sz="6" w:space="0" w:color="000000"/>
            </w:tcBorders>
            <w:shd w:val="clear" w:color="auto" w:fill="CBCBCB"/>
            <w:vAlign w:val="center"/>
          </w:tcPr>
          <w:p w14:paraId="57663BB7" w14:textId="77777777" w:rsidR="000A3B2B" w:rsidRDefault="000A3B2B">
            <w:pPr>
              <w:autoSpaceDE w:val="0"/>
              <w:autoSpaceDN w:val="0"/>
              <w:adjustRightInd w:val="0"/>
              <w:spacing w:after="0" w:line="240" w:lineRule="auto"/>
              <w:rPr>
                <w:rFonts w:ascii="Arial" w:hAnsi="Arial" w:cs="Arial"/>
                <w:b/>
                <w:bCs/>
                <w:color w:val="000000"/>
                <w:sz w:val="18"/>
                <w:szCs w:val="18"/>
                <w:lang w:val="x-none"/>
              </w:rPr>
            </w:pPr>
          </w:p>
        </w:tc>
        <w:tc>
          <w:tcPr>
            <w:tcW w:w="5040" w:type="dxa"/>
            <w:gridSpan w:val="7"/>
            <w:tcBorders>
              <w:top w:val="single" w:sz="6" w:space="0" w:color="000000"/>
              <w:left w:val="single" w:sz="6" w:space="0" w:color="000000"/>
              <w:bottom w:val="single" w:sz="6" w:space="0" w:color="000000"/>
              <w:right w:val="single" w:sz="6" w:space="0" w:color="000000"/>
            </w:tcBorders>
            <w:shd w:val="clear" w:color="auto" w:fill="CBCBCB"/>
            <w:vAlign w:val="center"/>
          </w:tcPr>
          <w:p w14:paraId="080DBC84"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 xml:space="preserve">Minimalna szerokość szczelin – </w:t>
            </w:r>
            <w:r>
              <w:rPr>
                <w:rFonts w:ascii="Arial" w:hAnsi="Arial" w:cs="Arial"/>
                <w:i/>
                <w:iCs/>
                <w:color w:val="000000"/>
                <w:sz w:val="18"/>
                <w:szCs w:val="18"/>
                <w:lang w:val="x-none"/>
              </w:rPr>
              <w:t>b, t</w:t>
            </w:r>
            <w:r>
              <w:rPr>
                <w:rFonts w:ascii="Arial" w:hAnsi="Arial" w:cs="Arial"/>
                <w:i/>
                <w:iCs/>
                <w:color w:val="000000"/>
                <w:sz w:val="18"/>
                <w:szCs w:val="18"/>
                <w:lang w:val="x-none"/>
              </w:rPr>
              <w:br/>
            </w:r>
            <w:r>
              <w:rPr>
                <w:rFonts w:ascii="Arial" w:hAnsi="Arial" w:cs="Arial"/>
                <w:color w:val="000000"/>
                <w:sz w:val="18"/>
                <w:szCs w:val="18"/>
                <w:lang w:val="x-none"/>
              </w:rPr>
              <w:t>(mm)</w:t>
            </w:r>
          </w:p>
        </w:tc>
      </w:tr>
      <w:tr w:rsidR="000A3B2B" w14:paraId="2750E010" w14:textId="77777777">
        <w:trPr>
          <w:trHeight w:val="60"/>
          <w:tblCellSpacing w:w="0" w:type="dxa"/>
        </w:trPr>
        <w:tc>
          <w:tcPr>
            <w:tcW w:w="4492" w:type="dxa"/>
            <w:tcBorders>
              <w:top w:val="single" w:sz="6" w:space="0" w:color="000000"/>
              <w:left w:val="single" w:sz="6" w:space="0" w:color="000000"/>
              <w:bottom w:val="single" w:sz="6" w:space="0" w:color="000000"/>
              <w:right w:val="single" w:sz="6" w:space="0" w:color="000000"/>
            </w:tcBorders>
          </w:tcPr>
          <w:p w14:paraId="040B29C4"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PVC białe</w:t>
            </w:r>
          </w:p>
        </w:tc>
        <w:tc>
          <w:tcPr>
            <w:tcW w:w="720" w:type="dxa"/>
            <w:tcBorders>
              <w:top w:val="single" w:sz="6" w:space="0" w:color="000000"/>
              <w:left w:val="single" w:sz="6" w:space="0" w:color="000000"/>
              <w:bottom w:val="single" w:sz="6" w:space="0" w:color="000000"/>
              <w:right w:val="single" w:sz="6" w:space="0" w:color="000000"/>
            </w:tcBorders>
            <w:vAlign w:val="center"/>
          </w:tcPr>
          <w:p w14:paraId="3B4DE9AB"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8</w:t>
            </w:r>
          </w:p>
        </w:tc>
        <w:tc>
          <w:tcPr>
            <w:tcW w:w="720" w:type="dxa"/>
            <w:tcBorders>
              <w:top w:val="single" w:sz="6" w:space="0" w:color="000000"/>
              <w:left w:val="single" w:sz="6" w:space="0" w:color="000000"/>
              <w:bottom w:val="single" w:sz="6" w:space="0" w:color="000000"/>
              <w:right w:val="single" w:sz="6" w:space="0" w:color="000000"/>
            </w:tcBorders>
            <w:vAlign w:val="center"/>
          </w:tcPr>
          <w:p w14:paraId="370A1811"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8</w:t>
            </w:r>
          </w:p>
        </w:tc>
        <w:tc>
          <w:tcPr>
            <w:tcW w:w="720" w:type="dxa"/>
            <w:tcBorders>
              <w:top w:val="single" w:sz="6" w:space="0" w:color="000000"/>
              <w:left w:val="single" w:sz="6" w:space="0" w:color="000000"/>
              <w:bottom w:val="single" w:sz="6" w:space="0" w:color="000000"/>
              <w:right w:val="single" w:sz="6" w:space="0" w:color="000000"/>
            </w:tcBorders>
            <w:vAlign w:val="center"/>
          </w:tcPr>
          <w:p w14:paraId="194A20F1"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10</w:t>
            </w:r>
          </w:p>
        </w:tc>
        <w:tc>
          <w:tcPr>
            <w:tcW w:w="720" w:type="dxa"/>
            <w:tcBorders>
              <w:top w:val="single" w:sz="6" w:space="0" w:color="000000"/>
              <w:left w:val="single" w:sz="6" w:space="0" w:color="000000"/>
              <w:bottom w:val="single" w:sz="6" w:space="0" w:color="000000"/>
              <w:right w:val="single" w:sz="6" w:space="0" w:color="000000"/>
            </w:tcBorders>
            <w:vAlign w:val="center"/>
          </w:tcPr>
          <w:p w14:paraId="4BDE6C15"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10</w:t>
            </w:r>
          </w:p>
        </w:tc>
        <w:tc>
          <w:tcPr>
            <w:tcW w:w="720" w:type="dxa"/>
            <w:tcBorders>
              <w:top w:val="single" w:sz="6" w:space="0" w:color="000000"/>
              <w:left w:val="single" w:sz="6" w:space="0" w:color="000000"/>
              <w:bottom w:val="single" w:sz="6" w:space="0" w:color="000000"/>
              <w:right w:val="single" w:sz="6" w:space="0" w:color="000000"/>
            </w:tcBorders>
            <w:vAlign w:val="center"/>
          </w:tcPr>
          <w:p w14:paraId="2EE533C0"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8</w:t>
            </w:r>
          </w:p>
        </w:tc>
        <w:tc>
          <w:tcPr>
            <w:tcW w:w="720" w:type="dxa"/>
            <w:tcBorders>
              <w:top w:val="single" w:sz="6" w:space="0" w:color="000000"/>
              <w:left w:val="single" w:sz="6" w:space="0" w:color="000000"/>
              <w:bottom w:val="single" w:sz="6" w:space="0" w:color="000000"/>
              <w:right w:val="single" w:sz="6" w:space="0" w:color="000000"/>
            </w:tcBorders>
            <w:vAlign w:val="center"/>
          </w:tcPr>
          <w:p w14:paraId="29FF2996"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8</w:t>
            </w:r>
          </w:p>
        </w:tc>
        <w:tc>
          <w:tcPr>
            <w:tcW w:w="720" w:type="dxa"/>
            <w:tcBorders>
              <w:top w:val="single" w:sz="6" w:space="0" w:color="000000"/>
              <w:left w:val="single" w:sz="6" w:space="0" w:color="000000"/>
              <w:bottom w:val="single" w:sz="6" w:space="0" w:color="000000"/>
              <w:right w:val="single" w:sz="6" w:space="0" w:color="000000"/>
            </w:tcBorders>
            <w:vAlign w:val="center"/>
          </w:tcPr>
          <w:p w14:paraId="3CEB3B5B"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8</w:t>
            </w:r>
          </w:p>
        </w:tc>
      </w:tr>
      <w:tr w:rsidR="000A3B2B" w14:paraId="01D12CF1" w14:textId="77777777">
        <w:trPr>
          <w:trHeight w:val="60"/>
          <w:tblCellSpacing w:w="0" w:type="dxa"/>
        </w:trPr>
        <w:tc>
          <w:tcPr>
            <w:tcW w:w="4492" w:type="dxa"/>
            <w:tcBorders>
              <w:top w:val="single" w:sz="6" w:space="0" w:color="000000"/>
              <w:left w:val="single" w:sz="6" w:space="0" w:color="000000"/>
              <w:bottom w:val="single" w:sz="6" w:space="0" w:color="000000"/>
              <w:right w:val="single" w:sz="6" w:space="0" w:color="000000"/>
            </w:tcBorders>
          </w:tcPr>
          <w:p w14:paraId="64B07CA8"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PVC z warstwą PMMA* (barwione w masie)</w:t>
            </w:r>
          </w:p>
        </w:tc>
        <w:tc>
          <w:tcPr>
            <w:tcW w:w="720" w:type="dxa"/>
            <w:tcBorders>
              <w:top w:val="single" w:sz="6" w:space="0" w:color="000000"/>
              <w:left w:val="single" w:sz="6" w:space="0" w:color="000000"/>
              <w:bottom w:val="single" w:sz="6" w:space="0" w:color="000000"/>
              <w:right w:val="single" w:sz="6" w:space="0" w:color="000000"/>
            </w:tcBorders>
            <w:vAlign w:val="center"/>
          </w:tcPr>
          <w:p w14:paraId="61AB37BC"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8</w:t>
            </w:r>
          </w:p>
        </w:tc>
        <w:tc>
          <w:tcPr>
            <w:tcW w:w="720" w:type="dxa"/>
            <w:tcBorders>
              <w:top w:val="single" w:sz="6" w:space="0" w:color="000000"/>
              <w:left w:val="single" w:sz="6" w:space="0" w:color="000000"/>
              <w:bottom w:val="single" w:sz="6" w:space="0" w:color="000000"/>
              <w:right w:val="single" w:sz="6" w:space="0" w:color="000000"/>
            </w:tcBorders>
            <w:vAlign w:val="center"/>
          </w:tcPr>
          <w:p w14:paraId="0086070F"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10</w:t>
            </w:r>
          </w:p>
        </w:tc>
        <w:tc>
          <w:tcPr>
            <w:tcW w:w="720" w:type="dxa"/>
            <w:tcBorders>
              <w:top w:val="single" w:sz="6" w:space="0" w:color="000000"/>
              <w:left w:val="single" w:sz="6" w:space="0" w:color="000000"/>
              <w:bottom w:val="single" w:sz="6" w:space="0" w:color="000000"/>
              <w:right w:val="single" w:sz="6" w:space="0" w:color="000000"/>
            </w:tcBorders>
            <w:vAlign w:val="center"/>
          </w:tcPr>
          <w:p w14:paraId="30C9832C"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10</w:t>
            </w:r>
          </w:p>
        </w:tc>
        <w:tc>
          <w:tcPr>
            <w:tcW w:w="720" w:type="dxa"/>
            <w:tcBorders>
              <w:top w:val="single" w:sz="6" w:space="0" w:color="000000"/>
              <w:left w:val="single" w:sz="6" w:space="0" w:color="000000"/>
              <w:bottom w:val="single" w:sz="6" w:space="0" w:color="000000"/>
              <w:right w:val="single" w:sz="6" w:space="0" w:color="000000"/>
            </w:tcBorders>
            <w:vAlign w:val="center"/>
          </w:tcPr>
          <w:p w14:paraId="3DB9F5B8"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12</w:t>
            </w:r>
          </w:p>
        </w:tc>
        <w:tc>
          <w:tcPr>
            <w:tcW w:w="720" w:type="dxa"/>
            <w:tcBorders>
              <w:top w:val="single" w:sz="6" w:space="0" w:color="000000"/>
              <w:left w:val="single" w:sz="6" w:space="0" w:color="000000"/>
              <w:bottom w:val="single" w:sz="6" w:space="0" w:color="000000"/>
              <w:right w:val="single" w:sz="6" w:space="0" w:color="000000"/>
            </w:tcBorders>
            <w:vAlign w:val="center"/>
          </w:tcPr>
          <w:p w14:paraId="221464CE"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8</w:t>
            </w:r>
          </w:p>
        </w:tc>
        <w:tc>
          <w:tcPr>
            <w:tcW w:w="720" w:type="dxa"/>
            <w:tcBorders>
              <w:top w:val="single" w:sz="6" w:space="0" w:color="000000"/>
              <w:left w:val="single" w:sz="6" w:space="0" w:color="000000"/>
              <w:bottom w:val="single" w:sz="6" w:space="0" w:color="000000"/>
              <w:right w:val="single" w:sz="6" w:space="0" w:color="000000"/>
            </w:tcBorders>
            <w:vAlign w:val="center"/>
          </w:tcPr>
          <w:p w14:paraId="036C039D"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8</w:t>
            </w:r>
          </w:p>
        </w:tc>
        <w:tc>
          <w:tcPr>
            <w:tcW w:w="720" w:type="dxa"/>
            <w:tcBorders>
              <w:top w:val="single" w:sz="6" w:space="0" w:color="000000"/>
              <w:left w:val="single" w:sz="6" w:space="0" w:color="000000"/>
              <w:bottom w:val="single" w:sz="6" w:space="0" w:color="000000"/>
              <w:right w:val="single" w:sz="6" w:space="0" w:color="000000"/>
            </w:tcBorders>
            <w:vAlign w:val="center"/>
          </w:tcPr>
          <w:p w14:paraId="61D34A2B"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8</w:t>
            </w:r>
          </w:p>
        </w:tc>
      </w:tr>
      <w:tr w:rsidR="000A3B2B" w14:paraId="35B16F62" w14:textId="77777777">
        <w:trPr>
          <w:trHeight w:val="60"/>
          <w:tblCellSpacing w:w="0" w:type="dxa"/>
        </w:trPr>
        <w:tc>
          <w:tcPr>
            <w:tcW w:w="4492" w:type="dxa"/>
            <w:tcBorders>
              <w:top w:val="single" w:sz="6" w:space="0" w:color="000000"/>
              <w:left w:val="single" w:sz="6" w:space="0" w:color="000000"/>
              <w:bottom w:val="single" w:sz="6" w:space="0" w:color="000000"/>
              <w:right w:val="single" w:sz="6" w:space="0" w:color="000000"/>
            </w:tcBorders>
          </w:tcPr>
          <w:p w14:paraId="50B5BA72"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PVC z warstwą PMMA*</w:t>
            </w:r>
          </w:p>
        </w:tc>
        <w:tc>
          <w:tcPr>
            <w:tcW w:w="720" w:type="dxa"/>
            <w:tcBorders>
              <w:top w:val="single" w:sz="6" w:space="0" w:color="000000"/>
              <w:left w:val="single" w:sz="6" w:space="0" w:color="000000"/>
              <w:bottom w:val="single" w:sz="6" w:space="0" w:color="000000"/>
              <w:right w:val="single" w:sz="6" w:space="0" w:color="000000"/>
            </w:tcBorders>
            <w:vAlign w:val="center"/>
          </w:tcPr>
          <w:p w14:paraId="66BE774A"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6</w:t>
            </w:r>
          </w:p>
        </w:tc>
        <w:tc>
          <w:tcPr>
            <w:tcW w:w="720" w:type="dxa"/>
            <w:tcBorders>
              <w:top w:val="single" w:sz="6" w:space="0" w:color="000000"/>
              <w:left w:val="single" w:sz="6" w:space="0" w:color="000000"/>
              <w:bottom w:val="single" w:sz="6" w:space="0" w:color="000000"/>
              <w:right w:val="single" w:sz="6" w:space="0" w:color="000000"/>
            </w:tcBorders>
            <w:vAlign w:val="center"/>
          </w:tcPr>
          <w:p w14:paraId="33F3347D"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8</w:t>
            </w:r>
          </w:p>
        </w:tc>
        <w:tc>
          <w:tcPr>
            <w:tcW w:w="720" w:type="dxa"/>
            <w:tcBorders>
              <w:top w:val="single" w:sz="6" w:space="0" w:color="000000"/>
              <w:left w:val="single" w:sz="6" w:space="0" w:color="000000"/>
              <w:bottom w:val="single" w:sz="6" w:space="0" w:color="000000"/>
              <w:right w:val="single" w:sz="6" w:space="0" w:color="000000"/>
            </w:tcBorders>
            <w:vAlign w:val="center"/>
          </w:tcPr>
          <w:p w14:paraId="14317AC0"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8</w:t>
            </w:r>
          </w:p>
        </w:tc>
        <w:tc>
          <w:tcPr>
            <w:tcW w:w="720" w:type="dxa"/>
            <w:tcBorders>
              <w:top w:val="single" w:sz="6" w:space="0" w:color="000000"/>
              <w:left w:val="single" w:sz="6" w:space="0" w:color="000000"/>
              <w:bottom w:val="single" w:sz="6" w:space="0" w:color="000000"/>
              <w:right w:val="single" w:sz="6" w:space="0" w:color="000000"/>
            </w:tcBorders>
            <w:vAlign w:val="center"/>
          </w:tcPr>
          <w:p w14:paraId="493EDB56"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10</w:t>
            </w:r>
          </w:p>
        </w:tc>
        <w:tc>
          <w:tcPr>
            <w:tcW w:w="720" w:type="dxa"/>
            <w:tcBorders>
              <w:top w:val="single" w:sz="6" w:space="0" w:color="000000"/>
              <w:left w:val="single" w:sz="6" w:space="0" w:color="000000"/>
              <w:bottom w:val="single" w:sz="6" w:space="0" w:color="000000"/>
              <w:right w:val="single" w:sz="6" w:space="0" w:color="000000"/>
            </w:tcBorders>
            <w:vAlign w:val="center"/>
          </w:tcPr>
          <w:p w14:paraId="0B7145F1"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8</w:t>
            </w:r>
          </w:p>
        </w:tc>
        <w:tc>
          <w:tcPr>
            <w:tcW w:w="720" w:type="dxa"/>
            <w:tcBorders>
              <w:top w:val="single" w:sz="6" w:space="0" w:color="000000"/>
              <w:left w:val="single" w:sz="6" w:space="0" w:color="000000"/>
              <w:bottom w:val="single" w:sz="6" w:space="0" w:color="000000"/>
              <w:right w:val="single" w:sz="6" w:space="0" w:color="000000"/>
            </w:tcBorders>
            <w:vAlign w:val="center"/>
          </w:tcPr>
          <w:p w14:paraId="1394DDE9"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8</w:t>
            </w:r>
          </w:p>
        </w:tc>
        <w:tc>
          <w:tcPr>
            <w:tcW w:w="720" w:type="dxa"/>
            <w:tcBorders>
              <w:top w:val="single" w:sz="6" w:space="0" w:color="000000"/>
              <w:left w:val="single" w:sz="6" w:space="0" w:color="000000"/>
              <w:bottom w:val="single" w:sz="6" w:space="0" w:color="000000"/>
              <w:right w:val="single" w:sz="6" w:space="0" w:color="000000"/>
            </w:tcBorders>
            <w:vAlign w:val="center"/>
          </w:tcPr>
          <w:p w14:paraId="5111DF54"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8</w:t>
            </w:r>
          </w:p>
        </w:tc>
      </w:tr>
      <w:tr w:rsidR="000A3B2B" w14:paraId="11E95AEA" w14:textId="77777777">
        <w:trPr>
          <w:trHeight w:val="60"/>
          <w:tblCellSpacing w:w="0" w:type="dxa"/>
        </w:trPr>
        <w:tc>
          <w:tcPr>
            <w:tcW w:w="4492" w:type="dxa"/>
            <w:tcBorders>
              <w:top w:val="single" w:sz="6" w:space="0" w:color="000000"/>
              <w:left w:val="single" w:sz="6" w:space="0" w:color="000000"/>
              <w:bottom w:val="single" w:sz="6" w:space="0" w:color="000000"/>
              <w:right w:val="single" w:sz="6" w:space="0" w:color="000000"/>
            </w:tcBorders>
          </w:tcPr>
          <w:p w14:paraId="730AE295"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Aluminiowe z przekładką termiczną (koloru jasnego)</w:t>
            </w:r>
          </w:p>
        </w:tc>
        <w:tc>
          <w:tcPr>
            <w:tcW w:w="720" w:type="dxa"/>
            <w:tcBorders>
              <w:top w:val="single" w:sz="6" w:space="0" w:color="000000"/>
              <w:left w:val="single" w:sz="6" w:space="0" w:color="000000"/>
              <w:bottom w:val="single" w:sz="6" w:space="0" w:color="000000"/>
              <w:right w:val="single" w:sz="6" w:space="0" w:color="000000"/>
            </w:tcBorders>
            <w:vAlign w:val="center"/>
          </w:tcPr>
          <w:p w14:paraId="03A3621F"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6</w:t>
            </w:r>
          </w:p>
        </w:tc>
        <w:tc>
          <w:tcPr>
            <w:tcW w:w="720" w:type="dxa"/>
            <w:tcBorders>
              <w:top w:val="single" w:sz="6" w:space="0" w:color="000000"/>
              <w:left w:val="single" w:sz="6" w:space="0" w:color="000000"/>
              <w:bottom w:val="single" w:sz="6" w:space="0" w:color="000000"/>
              <w:right w:val="single" w:sz="6" w:space="0" w:color="000000"/>
            </w:tcBorders>
            <w:vAlign w:val="center"/>
          </w:tcPr>
          <w:p w14:paraId="2DF7F9A2"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8</w:t>
            </w:r>
          </w:p>
        </w:tc>
        <w:tc>
          <w:tcPr>
            <w:tcW w:w="720" w:type="dxa"/>
            <w:tcBorders>
              <w:top w:val="single" w:sz="6" w:space="0" w:color="000000"/>
              <w:left w:val="single" w:sz="6" w:space="0" w:color="000000"/>
              <w:bottom w:val="single" w:sz="6" w:space="0" w:color="000000"/>
              <w:right w:val="single" w:sz="6" w:space="0" w:color="000000"/>
            </w:tcBorders>
            <w:vAlign w:val="center"/>
          </w:tcPr>
          <w:p w14:paraId="1D308270"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10</w:t>
            </w:r>
          </w:p>
        </w:tc>
        <w:tc>
          <w:tcPr>
            <w:tcW w:w="720" w:type="dxa"/>
            <w:tcBorders>
              <w:top w:val="single" w:sz="6" w:space="0" w:color="000000"/>
              <w:left w:val="single" w:sz="6" w:space="0" w:color="000000"/>
              <w:bottom w:val="single" w:sz="6" w:space="0" w:color="000000"/>
              <w:right w:val="single" w:sz="6" w:space="0" w:color="000000"/>
            </w:tcBorders>
            <w:vAlign w:val="center"/>
          </w:tcPr>
          <w:p w14:paraId="6908BA35"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10</w:t>
            </w:r>
          </w:p>
        </w:tc>
        <w:tc>
          <w:tcPr>
            <w:tcW w:w="720" w:type="dxa"/>
            <w:tcBorders>
              <w:top w:val="single" w:sz="6" w:space="0" w:color="000000"/>
              <w:left w:val="single" w:sz="6" w:space="0" w:color="000000"/>
              <w:bottom w:val="single" w:sz="6" w:space="0" w:color="000000"/>
              <w:right w:val="single" w:sz="6" w:space="0" w:color="000000"/>
            </w:tcBorders>
            <w:vAlign w:val="center"/>
          </w:tcPr>
          <w:p w14:paraId="0EDC73F3"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8</w:t>
            </w:r>
          </w:p>
        </w:tc>
        <w:tc>
          <w:tcPr>
            <w:tcW w:w="720" w:type="dxa"/>
            <w:tcBorders>
              <w:top w:val="single" w:sz="6" w:space="0" w:color="000000"/>
              <w:left w:val="single" w:sz="6" w:space="0" w:color="000000"/>
              <w:bottom w:val="single" w:sz="6" w:space="0" w:color="000000"/>
              <w:right w:val="single" w:sz="6" w:space="0" w:color="000000"/>
            </w:tcBorders>
            <w:vAlign w:val="center"/>
          </w:tcPr>
          <w:p w14:paraId="3A58EBF2"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8</w:t>
            </w:r>
          </w:p>
        </w:tc>
        <w:tc>
          <w:tcPr>
            <w:tcW w:w="720" w:type="dxa"/>
            <w:tcBorders>
              <w:top w:val="single" w:sz="6" w:space="0" w:color="000000"/>
              <w:left w:val="single" w:sz="6" w:space="0" w:color="000000"/>
              <w:bottom w:val="single" w:sz="6" w:space="0" w:color="000000"/>
              <w:right w:val="single" w:sz="6" w:space="0" w:color="000000"/>
            </w:tcBorders>
            <w:vAlign w:val="center"/>
          </w:tcPr>
          <w:p w14:paraId="00608560"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8</w:t>
            </w:r>
          </w:p>
        </w:tc>
      </w:tr>
      <w:tr w:rsidR="000A3B2B" w14:paraId="29A06BD7" w14:textId="77777777">
        <w:trPr>
          <w:trHeight w:val="60"/>
          <w:tblCellSpacing w:w="0" w:type="dxa"/>
        </w:trPr>
        <w:tc>
          <w:tcPr>
            <w:tcW w:w="4492" w:type="dxa"/>
            <w:tcBorders>
              <w:top w:val="single" w:sz="6" w:space="0" w:color="000000"/>
              <w:left w:val="single" w:sz="6" w:space="0" w:color="000000"/>
              <w:bottom w:val="single" w:sz="6" w:space="0" w:color="000000"/>
              <w:right w:val="single" w:sz="6" w:space="0" w:color="000000"/>
            </w:tcBorders>
          </w:tcPr>
          <w:p w14:paraId="40518ED6"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Aluminiowe z przekładką termiczną (koloru ciemnego)</w:t>
            </w:r>
          </w:p>
        </w:tc>
        <w:tc>
          <w:tcPr>
            <w:tcW w:w="720" w:type="dxa"/>
            <w:tcBorders>
              <w:top w:val="single" w:sz="6" w:space="0" w:color="000000"/>
              <w:left w:val="single" w:sz="6" w:space="0" w:color="000000"/>
              <w:bottom w:val="single" w:sz="6" w:space="0" w:color="000000"/>
              <w:right w:val="single" w:sz="6" w:space="0" w:color="000000"/>
            </w:tcBorders>
            <w:vAlign w:val="center"/>
          </w:tcPr>
          <w:p w14:paraId="13E1890F"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6</w:t>
            </w:r>
          </w:p>
        </w:tc>
        <w:tc>
          <w:tcPr>
            <w:tcW w:w="720" w:type="dxa"/>
            <w:tcBorders>
              <w:top w:val="single" w:sz="6" w:space="0" w:color="000000"/>
              <w:left w:val="single" w:sz="6" w:space="0" w:color="000000"/>
              <w:bottom w:val="single" w:sz="6" w:space="0" w:color="000000"/>
              <w:right w:val="single" w:sz="6" w:space="0" w:color="000000"/>
            </w:tcBorders>
            <w:vAlign w:val="center"/>
          </w:tcPr>
          <w:p w14:paraId="4E53BDEB"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8</w:t>
            </w:r>
          </w:p>
        </w:tc>
        <w:tc>
          <w:tcPr>
            <w:tcW w:w="720" w:type="dxa"/>
            <w:tcBorders>
              <w:top w:val="single" w:sz="6" w:space="0" w:color="000000"/>
              <w:left w:val="single" w:sz="6" w:space="0" w:color="000000"/>
              <w:bottom w:val="single" w:sz="6" w:space="0" w:color="000000"/>
              <w:right w:val="single" w:sz="6" w:space="0" w:color="000000"/>
            </w:tcBorders>
            <w:vAlign w:val="center"/>
          </w:tcPr>
          <w:p w14:paraId="7DA9C66C"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10</w:t>
            </w:r>
          </w:p>
        </w:tc>
        <w:tc>
          <w:tcPr>
            <w:tcW w:w="720" w:type="dxa"/>
            <w:tcBorders>
              <w:top w:val="single" w:sz="6" w:space="0" w:color="000000"/>
              <w:left w:val="single" w:sz="6" w:space="0" w:color="000000"/>
              <w:bottom w:val="single" w:sz="6" w:space="0" w:color="000000"/>
              <w:right w:val="single" w:sz="6" w:space="0" w:color="000000"/>
            </w:tcBorders>
            <w:vAlign w:val="center"/>
          </w:tcPr>
          <w:p w14:paraId="752E0635"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10</w:t>
            </w:r>
          </w:p>
        </w:tc>
        <w:tc>
          <w:tcPr>
            <w:tcW w:w="720" w:type="dxa"/>
            <w:tcBorders>
              <w:top w:val="single" w:sz="6" w:space="0" w:color="000000"/>
              <w:left w:val="single" w:sz="6" w:space="0" w:color="000000"/>
              <w:bottom w:val="single" w:sz="6" w:space="0" w:color="000000"/>
              <w:right w:val="single" w:sz="6" w:space="0" w:color="000000"/>
            </w:tcBorders>
            <w:vAlign w:val="center"/>
          </w:tcPr>
          <w:p w14:paraId="01B10B88"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8</w:t>
            </w:r>
          </w:p>
        </w:tc>
        <w:tc>
          <w:tcPr>
            <w:tcW w:w="720" w:type="dxa"/>
            <w:tcBorders>
              <w:top w:val="single" w:sz="6" w:space="0" w:color="000000"/>
              <w:left w:val="single" w:sz="6" w:space="0" w:color="000000"/>
              <w:bottom w:val="single" w:sz="6" w:space="0" w:color="000000"/>
              <w:right w:val="single" w:sz="6" w:space="0" w:color="000000"/>
            </w:tcBorders>
            <w:vAlign w:val="center"/>
          </w:tcPr>
          <w:p w14:paraId="0013FFA8"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8</w:t>
            </w:r>
          </w:p>
        </w:tc>
        <w:tc>
          <w:tcPr>
            <w:tcW w:w="720" w:type="dxa"/>
            <w:tcBorders>
              <w:top w:val="single" w:sz="6" w:space="0" w:color="000000"/>
              <w:left w:val="single" w:sz="6" w:space="0" w:color="000000"/>
              <w:bottom w:val="single" w:sz="6" w:space="0" w:color="000000"/>
              <w:right w:val="single" w:sz="6" w:space="0" w:color="000000"/>
            </w:tcBorders>
            <w:vAlign w:val="center"/>
          </w:tcPr>
          <w:p w14:paraId="1A4379B2"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8</w:t>
            </w:r>
          </w:p>
        </w:tc>
      </w:tr>
      <w:tr w:rsidR="000A3B2B" w14:paraId="265189B6" w14:textId="77777777">
        <w:trPr>
          <w:trHeight w:val="60"/>
          <w:tblCellSpacing w:w="0" w:type="dxa"/>
        </w:trPr>
        <w:tc>
          <w:tcPr>
            <w:tcW w:w="4492" w:type="dxa"/>
            <w:tcBorders>
              <w:top w:val="single" w:sz="6" w:space="0" w:color="000000"/>
              <w:left w:val="single" w:sz="6" w:space="0" w:color="000000"/>
              <w:bottom w:val="single" w:sz="6" w:space="0" w:color="000000"/>
              <w:right w:val="single" w:sz="6" w:space="0" w:color="000000"/>
            </w:tcBorders>
          </w:tcPr>
          <w:p w14:paraId="0A55D93C"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Drewniane</w:t>
            </w:r>
          </w:p>
        </w:tc>
        <w:tc>
          <w:tcPr>
            <w:tcW w:w="720" w:type="dxa"/>
            <w:tcBorders>
              <w:top w:val="single" w:sz="6" w:space="0" w:color="000000"/>
              <w:left w:val="single" w:sz="6" w:space="0" w:color="000000"/>
              <w:bottom w:val="single" w:sz="6" w:space="0" w:color="000000"/>
              <w:right w:val="single" w:sz="6" w:space="0" w:color="000000"/>
            </w:tcBorders>
            <w:vAlign w:val="center"/>
          </w:tcPr>
          <w:p w14:paraId="1A7B7E85"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6</w:t>
            </w:r>
          </w:p>
        </w:tc>
        <w:tc>
          <w:tcPr>
            <w:tcW w:w="720" w:type="dxa"/>
            <w:tcBorders>
              <w:top w:val="single" w:sz="6" w:space="0" w:color="000000"/>
              <w:left w:val="single" w:sz="6" w:space="0" w:color="000000"/>
              <w:bottom w:val="single" w:sz="6" w:space="0" w:color="000000"/>
              <w:right w:val="single" w:sz="6" w:space="0" w:color="000000"/>
            </w:tcBorders>
            <w:vAlign w:val="center"/>
          </w:tcPr>
          <w:p w14:paraId="0EB17A7D"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8</w:t>
            </w:r>
          </w:p>
        </w:tc>
        <w:tc>
          <w:tcPr>
            <w:tcW w:w="720" w:type="dxa"/>
            <w:tcBorders>
              <w:top w:val="single" w:sz="6" w:space="0" w:color="000000"/>
              <w:left w:val="single" w:sz="6" w:space="0" w:color="000000"/>
              <w:bottom w:val="single" w:sz="6" w:space="0" w:color="000000"/>
              <w:right w:val="single" w:sz="6" w:space="0" w:color="000000"/>
            </w:tcBorders>
            <w:vAlign w:val="center"/>
          </w:tcPr>
          <w:p w14:paraId="49B4D827"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8</w:t>
            </w:r>
          </w:p>
        </w:tc>
        <w:tc>
          <w:tcPr>
            <w:tcW w:w="720" w:type="dxa"/>
            <w:tcBorders>
              <w:top w:val="single" w:sz="6" w:space="0" w:color="000000"/>
              <w:left w:val="single" w:sz="6" w:space="0" w:color="000000"/>
              <w:bottom w:val="single" w:sz="6" w:space="0" w:color="000000"/>
              <w:right w:val="single" w:sz="6" w:space="0" w:color="000000"/>
            </w:tcBorders>
            <w:vAlign w:val="center"/>
          </w:tcPr>
          <w:p w14:paraId="39D51DFB"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8</w:t>
            </w:r>
          </w:p>
        </w:tc>
        <w:tc>
          <w:tcPr>
            <w:tcW w:w="720" w:type="dxa"/>
            <w:tcBorders>
              <w:top w:val="single" w:sz="6" w:space="0" w:color="000000"/>
              <w:left w:val="single" w:sz="6" w:space="0" w:color="000000"/>
              <w:bottom w:val="single" w:sz="6" w:space="0" w:color="000000"/>
              <w:right w:val="single" w:sz="6" w:space="0" w:color="000000"/>
            </w:tcBorders>
            <w:vAlign w:val="center"/>
          </w:tcPr>
          <w:p w14:paraId="3FEC0531"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6</w:t>
            </w:r>
          </w:p>
        </w:tc>
        <w:tc>
          <w:tcPr>
            <w:tcW w:w="720" w:type="dxa"/>
            <w:tcBorders>
              <w:top w:val="single" w:sz="6" w:space="0" w:color="000000"/>
              <w:left w:val="single" w:sz="6" w:space="0" w:color="000000"/>
              <w:bottom w:val="single" w:sz="6" w:space="0" w:color="000000"/>
              <w:right w:val="single" w:sz="6" w:space="0" w:color="000000"/>
            </w:tcBorders>
            <w:vAlign w:val="center"/>
          </w:tcPr>
          <w:p w14:paraId="5C900EED"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8</w:t>
            </w:r>
          </w:p>
        </w:tc>
        <w:tc>
          <w:tcPr>
            <w:tcW w:w="720" w:type="dxa"/>
            <w:tcBorders>
              <w:top w:val="single" w:sz="6" w:space="0" w:color="000000"/>
              <w:left w:val="single" w:sz="6" w:space="0" w:color="000000"/>
              <w:bottom w:val="single" w:sz="6" w:space="0" w:color="000000"/>
              <w:right w:val="single" w:sz="6" w:space="0" w:color="000000"/>
            </w:tcBorders>
            <w:vAlign w:val="center"/>
          </w:tcPr>
          <w:p w14:paraId="1D998A0B"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8</w:t>
            </w:r>
          </w:p>
        </w:tc>
      </w:tr>
      <w:tr w:rsidR="000A3B2B" w14:paraId="68806B1A" w14:textId="77777777">
        <w:trPr>
          <w:trHeight w:val="60"/>
          <w:tblCellSpacing w:w="0" w:type="dxa"/>
        </w:trPr>
        <w:tc>
          <w:tcPr>
            <w:tcW w:w="9532" w:type="dxa"/>
            <w:gridSpan w:val="8"/>
            <w:tcBorders>
              <w:top w:val="single" w:sz="6" w:space="0" w:color="000000"/>
              <w:left w:val="single" w:sz="6" w:space="0" w:color="000000"/>
              <w:bottom w:val="single" w:sz="6" w:space="0" w:color="000000"/>
              <w:right w:val="single" w:sz="6" w:space="0" w:color="000000"/>
            </w:tcBorders>
          </w:tcPr>
          <w:p w14:paraId="211CCA0F"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 xml:space="preserve">* Głębokość uszczelnienia </w:t>
            </w:r>
            <w:r>
              <w:rPr>
                <w:rFonts w:ascii="Arial" w:hAnsi="Arial" w:cs="Arial"/>
                <w:b/>
                <w:bCs/>
                <w:i/>
                <w:iCs/>
                <w:color w:val="000000"/>
                <w:sz w:val="18"/>
                <w:szCs w:val="18"/>
                <w:lang w:val="x-none"/>
              </w:rPr>
              <w:t>t</w:t>
            </w:r>
            <w:r>
              <w:rPr>
                <w:rFonts w:ascii="Arial" w:hAnsi="Arial" w:cs="Arial"/>
                <w:color w:val="000000"/>
                <w:sz w:val="18"/>
                <w:szCs w:val="18"/>
                <w:lang w:val="x-none"/>
              </w:rPr>
              <w:t xml:space="preserve"> należy dopasować w zależności od jego szerokości, </w:t>
            </w:r>
            <w:r>
              <w:rPr>
                <w:rFonts w:ascii="Arial" w:hAnsi="Arial" w:cs="Arial"/>
                <w:color w:val="000000"/>
                <w:sz w:val="18"/>
                <w:szCs w:val="18"/>
                <w:lang w:val="x-none"/>
              </w:rPr>
              <w:br/>
            </w:r>
            <w:r>
              <w:rPr>
                <w:rFonts w:ascii="Arial" w:hAnsi="Arial" w:cs="Arial"/>
                <w:b/>
                <w:bCs/>
                <w:i/>
                <w:iCs/>
                <w:color w:val="000000"/>
                <w:sz w:val="18"/>
                <w:szCs w:val="18"/>
                <w:lang w:val="x-none"/>
              </w:rPr>
              <w:t>b</w:t>
            </w:r>
            <w:r>
              <w:rPr>
                <w:rFonts w:ascii="Arial" w:hAnsi="Arial" w:cs="Arial"/>
                <w:color w:val="000000"/>
                <w:sz w:val="18"/>
                <w:szCs w:val="18"/>
                <w:lang w:val="x-none"/>
              </w:rPr>
              <w:t xml:space="preserve"> – uzgodnić z producentem taśm uszczelniających, * PMMA – polimetakrylan metylu</w:t>
            </w:r>
          </w:p>
        </w:tc>
      </w:tr>
    </w:tbl>
    <w:p w14:paraId="2199B37E"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2087A398"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Maksymalny wymiar szczeliny między ościeżnicą okienną a ościeżem nie powinien przekraczać 40 mm. Przy stosowaniu pianek jednoskładnikowych wymiar ten powinien wynosić maksymalnie 30 mm.</w:t>
      </w:r>
    </w:p>
    <w:p w14:paraId="0E9BC840"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Dopuszczalne odchyłki pionowe i poziome ustawienia okna w otworze przy długości elementu do 3,0 m powinny wynosić do 1,5 mm/m i nie więcej niż 3 mm łącznie.</w:t>
      </w:r>
    </w:p>
    <w:p w14:paraId="095E046A"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Przy elementach o większych wymiarach, występujące odchyłki nie mogą mieć negatywnego wpływu na funkcjonalność okien lub drzwi balkonowych.</w:t>
      </w:r>
    </w:p>
    <w:p w14:paraId="76DBFCB8"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707B111B" w14:textId="77777777" w:rsidR="000A3B2B" w:rsidRDefault="000A3B2B" w:rsidP="009E529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5.3.3.</w:t>
      </w:r>
      <w:r>
        <w:rPr>
          <w:rFonts w:ascii="Arial" w:hAnsi="Arial" w:cs="Arial"/>
          <w:b/>
          <w:bCs/>
          <w:color w:val="000000"/>
          <w:sz w:val="18"/>
          <w:szCs w:val="18"/>
          <w:lang w:val="x-none"/>
        </w:rPr>
        <w:tab/>
        <w:t>Zasady mocowania okna/drzwi balkonowych w ościeżu</w:t>
      </w:r>
    </w:p>
    <w:p w14:paraId="3C4C3929"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Mocowanie powinno być wykonane w taki sposób, aby przewidywalne obciążenia zewnętrzne były przenoszone za pośrednictwem łączników na konstrukcję budynku, a funkcjonalność okien była zachowana, tzn. ruch skrzydeł okiennych przy otwieraniu i zamykaniu był płynny.</w:t>
      </w:r>
    </w:p>
    <w:p w14:paraId="5339B994"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Zamocowania powinny być rozmieszczone na całym obwodzie ościeżnicy.</w:t>
      </w:r>
    </w:p>
    <w:p w14:paraId="68913AE1"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Do mocowania okien w ścianie budynku – w zależności od rodzaju ściany (monolityczna, warstwowa) i sposobu mocowania stosuje się kołki rozporowe/dyble, kotwy i śruby/wkręty.</w:t>
      </w:r>
    </w:p>
    <w:p w14:paraId="268CBAF5" w14:textId="77777777" w:rsidR="000A3B2B" w:rsidRDefault="000A3B2B" w:rsidP="009E5295">
      <w:pPr>
        <w:autoSpaceDE w:val="0"/>
        <w:autoSpaceDN w:val="0"/>
        <w:adjustRightInd w:val="0"/>
        <w:spacing w:after="30" w:line="240" w:lineRule="auto"/>
        <w:ind w:left="285" w:firstLine="285"/>
        <w:jc w:val="both"/>
        <w:rPr>
          <w:rFonts w:ascii="Arial" w:hAnsi="Arial" w:cs="Arial"/>
          <w:b/>
          <w:bCs/>
          <w:color w:val="000000"/>
          <w:sz w:val="18"/>
          <w:szCs w:val="18"/>
          <w:lang w:val="x-none"/>
        </w:rPr>
      </w:pPr>
      <w:r>
        <w:rPr>
          <w:rFonts w:ascii="Arial" w:hAnsi="Arial" w:cs="Arial"/>
          <w:b/>
          <w:bCs/>
          <w:color w:val="000000"/>
          <w:sz w:val="18"/>
          <w:szCs w:val="18"/>
          <w:lang w:val="x-none"/>
        </w:rPr>
        <w:t>Pianki poliuretanowe i tym podobne materiały izolacyjne nie służą do mocowania okien, a wyłącznie do uszczelnienia i ocieplenia szczeliny między oknem a ścianą.</w:t>
      </w:r>
    </w:p>
    <w:p w14:paraId="7FED0E16"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Kołki rozporowe/dyble stosuje się do betonu, muru z cegły dziurawki, pustaków ceramicznych i cementowych, gazobetonu, kamienia naturalnego itp.</w:t>
      </w:r>
    </w:p>
    <w:p w14:paraId="44424DF7"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Śruby mogą być stosowane do mocowania ościeżnic do betonu, cegły pełnej, cegły silikatowej, cegły dziurawki, betonu lekkiego, drewna itp. Należy stosować śruby dostosowane do materiału ościeży.</w:t>
      </w:r>
    </w:p>
    <w:p w14:paraId="3EB5CCD4"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Kotwy budowlane powinny być stosowane wszędzie tam, gdzie odstęp ościeżnicy jest zbyt duży do stosowania dybli, np. przy mocowaniu dolnym (progowym) lub w rozwiązaniach ścian warstwowych.</w:t>
      </w:r>
    </w:p>
    <w:p w14:paraId="5F7FC186"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 przypadku okien aluminiowych z kształtowników z przekładkami termicznymi ww. łączniki mocowane są do komory wewnętrznej kształtownika lub w osi zintegrowanego profilu za pośrednictwem podkładki metalowej, wykluczającej przenoszenie obciążeń na przekładki termiczne z tworzyw sztucznych.</w:t>
      </w:r>
    </w:p>
    <w:p w14:paraId="433009B8" w14:textId="77777777" w:rsidR="000A3B2B" w:rsidRDefault="000A3B2B" w:rsidP="009E529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5.3.4.</w:t>
      </w:r>
      <w:r>
        <w:rPr>
          <w:rFonts w:ascii="Arial" w:hAnsi="Arial" w:cs="Arial"/>
          <w:b/>
          <w:bCs/>
          <w:color w:val="000000"/>
          <w:sz w:val="18"/>
          <w:szCs w:val="18"/>
          <w:lang w:val="x-none"/>
        </w:rPr>
        <w:tab/>
        <w:t>Zasady mocowania okna/drzwi balkonowych przed lico muru</w:t>
      </w:r>
    </w:p>
    <w:p w14:paraId="24F1C218"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Okna wysunięte całkowicie lub częściowo przed lico ściany zewnętrznej mocuje się zgodnie z rozwiązaniem przewidzianym w dokumentacji projektowej, przy użyciu:</w:t>
      </w:r>
    </w:p>
    <w:p w14:paraId="69AFDBEC"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konsoli, wsporników lub kątowników stalowych stosowanych zgodnie z wytycznymi i wskazówkami ich producenta,</w:t>
      </w:r>
    </w:p>
    <w:p w14:paraId="1A94D856"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specjalnych ram nośnych z odpowiednich materiałów przyklejanych i mocowanych mechanicznie do ścian od zewnątrz (poszerzających wymiar ościeża), w których osadzone będą okna (okno wstawiane jest w przygotowaną ramę, mocowane wkrętami ramowymi, uszczelniane i izolowane termicznie metodą trójwarstwową – taśma paroszczelna od wewnątrz, izolacja z pianki poliuretanowej w części środkowej i taśma paroprzepuszczalna od zewnątrz – lub wielofunkcyjna taśmą rozprężną),</w:t>
      </w:r>
    </w:p>
    <w:p w14:paraId="5B3C086C"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wsporników z dodatkowym wykorzystaniem podpór montowanych na zewnątrz muru, w miejscach przewidzianych dla klocków podporowych i dystansowych wraz z obudową ościeżnicy nośną ramką izolacyjną.</w:t>
      </w:r>
    </w:p>
    <w:p w14:paraId="291C0561" w14:textId="77777777" w:rsidR="000A3B2B" w:rsidRDefault="000A3B2B" w:rsidP="009E529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5.3.5.</w:t>
      </w:r>
      <w:r>
        <w:rPr>
          <w:rFonts w:ascii="Arial" w:hAnsi="Arial" w:cs="Arial"/>
          <w:b/>
          <w:bCs/>
          <w:color w:val="000000"/>
          <w:sz w:val="18"/>
          <w:szCs w:val="18"/>
          <w:lang w:val="x-none"/>
        </w:rPr>
        <w:tab/>
        <w:t>Uszczelnienie i izolacja połączenia okna/drzwi balkonowych ze ścianą</w:t>
      </w:r>
    </w:p>
    <w:p w14:paraId="33073487"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Uszczelnienie powinno zabezpieczyć szczeliny między oknem a ościeżem przed wnikaniem wody opadowej od strony zewnętrznej oraz wilgoci z powietrza przenikającego z pomieszczenia od strony wewnętrznej.</w:t>
      </w:r>
    </w:p>
    <w:p w14:paraId="3676F42A"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Przy wykonywaniu uszczelnienia należy przestrzegać zaleceń (wytycznych) producenta materiałów uszczelniających, dotyczących:</w:t>
      </w:r>
    </w:p>
    <w:p w14:paraId="0C81AFED"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zgodności chemicznej stykających się ze sobą materiałów,</w:t>
      </w:r>
    </w:p>
    <w:p w14:paraId="6646C135"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oczyszczenia powierzchni przylegania,</w:t>
      </w:r>
    </w:p>
    <w:p w14:paraId="436EEB3D"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zagruntowania powierzchni przylegania (w zależności od rodzaju materiału),</w:t>
      </w:r>
    </w:p>
    <w:p w14:paraId="11436CF6"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wymagań w zakresie wilgotności i temperatury powietrza.</w:t>
      </w:r>
    </w:p>
    <w:p w14:paraId="62B7DF20"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Uszczelnienie okien na obwodzie składa się z trzech warstw: wewnętrznej, środkowej i zewnętrznej.</w:t>
      </w:r>
    </w:p>
    <w:p w14:paraId="42F7AC96"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Warstwa wewnętrzna</w:t>
      </w:r>
      <w:r>
        <w:rPr>
          <w:rFonts w:ascii="Arial" w:hAnsi="Arial" w:cs="Arial"/>
          <w:color w:val="000000"/>
          <w:sz w:val="18"/>
          <w:szCs w:val="18"/>
          <w:lang w:val="x-none"/>
        </w:rPr>
        <w:t xml:space="preserve"> to uszczelnienie wykonane z materiałów paroszczelnych w formie taśm, folii uszczelniających, kitów trwale elastycznych (silikonów) nieprzepuszczających powietrza i pary wodnej.</w:t>
      </w:r>
    </w:p>
    <w:p w14:paraId="32A4C7CA"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Uszczelnienie to powinno nie dopuszczać do przenikania pary wodnej z pomieszczenia do szczeliny między oknem a ścianą budynku, a tym samym zapobiegać wykraplaniu się pary wodnej w szczelinie między oknem a ościeżem (tj. w miejscach o temperaturze niższej od temperatury punktu rosy).</w:t>
      </w:r>
    </w:p>
    <w:p w14:paraId="76916D4A"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Paroszczelność uszczelnienia po stronie wewnętrznej okna powinna być wyższa niż po stronie zewnętrznej. Przestrzeganie tej zasady umożliwia dyfuzję pary wodnej z połączenia na zewnątrz budynku.</w:t>
      </w:r>
    </w:p>
    <w:p w14:paraId="441AB914"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Uszczelnienie powinno być trwałe i nie może wchodzić w reakcje chemiczne z otaczającymi je materiałami.</w:t>
      </w:r>
    </w:p>
    <w:p w14:paraId="503AFE38"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 xml:space="preserve">Warstwa środkowa </w:t>
      </w:r>
      <w:r>
        <w:rPr>
          <w:rFonts w:ascii="Arial" w:hAnsi="Arial" w:cs="Arial"/>
          <w:color w:val="000000"/>
          <w:sz w:val="18"/>
          <w:szCs w:val="18"/>
          <w:lang w:val="x-none"/>
        </w:rPr>
        <w:t>to izolacja termiczna wykonywana z pianki wypełniającej (np. pianki poliuretanowej) lub mineralnych materiałów izolacyjnych (np. wełny), które zapewniają izolację termiczną i akustyczną połączenia okna ze ścianą.</w:t>
      </w:r>
    </w:p>
    <w:p w14:paraId="02378EE7"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Szczelina między ościeżnicą a ościeżem powinna być całkowicie wypełniona warstwą izolacji termicznej.</w:t>
      </w:r>
    </w:p>
    <w:p w14:paraId="2871DE41"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Pianki stosowane do wypełnienia połączeń (zaleca się pianki dwuskładnikowe o kontrolowanym spienianiu) nie mogą wchodzić w reakcje chemiczne, ani też wydzielać substancji szkodliwych.</w:t>
      </w:r>
    </w:p>
    <w:p w14:paraId="33682F25"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Stosowanie ich powinno być zgodne z instrukcją producenta. Dotyczy to przede wszystkim temperatury otoczenia, przy której mogą być użyte oraz czystości wypełnianej szczeliny.</w:t>
      </w:r>
    </w:p>
    <w:p w14:paraId="3EE56C84"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Podczas wtryskiwania pianki należy zwracać uwagę na dokładne wypełnienie szczeliny, a jednocześnie nie wolno doprowadzić do odkształcenia (deformacji) ramy ościeżnicy.</w:t>
      </w:r>
    </w:p>
    <w:p w14:paraId="0280E823"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Warstwa zewnętrzna</w:t>
      </w:r>
      <w:r>
        <w:rPr>
          <w:rFonts w:ascii="Arial" w:hAnsi="Arial" w:cs="Arial"/>
          <w:color w:val="000000"/>
          <w:sz w:val="18"/>
          <w:szCs w:val="18"/>
          <w:lang w:val="x-none"/>
        </w:rPr>
        <w:t xml:space="preserve"> to uszczelnienie wykonane z impregnowanych taśm rozprężnych lub taśm warstwowych bądź folii paroprzepuszczalnych.</w:t>
      </w:r>
    </w:p>
    <w:p w14:paraId="26563493"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Uszczelnienie zewnętrzne powinno być paroprzepuszczalne, a jednocześnie wykonane w taki sposób, aby nie było możliwości przenikania wody opadowej do wnętrza szczeliny między oknem a ścianą.</w:t>
      </w:r>
    </w:p>
    <w:p w14:paraId="542BA52C"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Uszczelnienie powinno być trwałe i nie może wchodzić w reakcje chemiczne z otaczającymi je materiałami.</w:t>
      </w:r>
    </w:p>
    <w:tbl>
      <w:tblPr>
        <w:tblW w:w="0" w:type="auto"/>
        <w:tblCellSpacing w:w="0" w:type="dxa"/>
        <w:tblInd w:w="-8" w:type="dxa"/>
        <w:tblLayout w:type="fixed"/>
        <w:tblCellMar>
          <w:left w:w="0" w:type="dxa"/>
          <w:right w:w="0" w:type="dxa"/>
        </w:tblCellMar>
        <w:tblLook w:val="0000" w:firstRow="0" w:lastRow="0" w:firstColumn="0" w:lastColumn="0" w:noHBand="0" w:noVBand="0"/>
      </w:tblPr>
      <w:tblGrid>
        <w:gridCol w:w="9532"/>
      </w:tblGrid>
      <w:tr w:rsidR="000A3B2B" w14:paraId="41CC9FA6" w14:textId="77777777">
        <w:trPr>
          <w:trHeight w:val="60"/>
          <w:tblCellSpacing w:w="0" w:type="dxa"/>
        </w:trPr>
        <w:tc>
          <w:tcPr>
            <w:tcW w:w="9532" w:type="dxa"/>
            <w:tcBorders>
              <w:top w:val="single" w:sz="6" w:space="0" w:color="000000"/>
              <w:left w:val="single" w:sz="6" w:space="0" w:color="000000"/>
              <w:bottom w:val="single" w:sz="6" w:space="0" w:color="000000"/>
              <w:right w:val="single" w:sz="6" w:space="0" w:color="000000"/>
            </w:tcBorders>
          </w:tcPr>
          <w:p w14:paraId="296C7B8D" w14:textId="77777777" w:rsidR="000A3B2B" w:rsidRDefault="000A3B2B">
            <w:pPr>
              <w:autoSpaceDE w:val="0"/>
              <w:autoSpaceDN w:val="0"/>
              <w:adjustRightInd w:val="0"/>
              <w:spacing w:after="30" w:line="240" w:lineRule="auto"/>
              <w:jc w:val="both"/>
              <w:rPr>
                <w:rFonts w:ascii="Arial" w:hAnsi="Arial" w:cs="Arial"/>
                <w:i/>
                <w:iCs/>
                <w:color w:val="000000"/>
                <w:sz w:val="18"/>
                <w:szCs w:val="18"/>
                <w:lang w:val="x-none"/>
              </w:rPr>
            </w:pPr>
            <w:r>
              <w:rPr>
                <w:rFonts w:ascii="Arial" w:hAnsi="Arial" w:cs="Arial"/>
                <w:i/>
                <w:iCs/>
                <w:color w:val="000000"/>
                <w:sz w:val="18"/>
                <w:szCs w:val="18"/>
                <w:lang w:val="x-none"/>
              </w:rPr>
              <w:t>UWAGA: Detale mocowania i uszczelnienia okien i drzwi balkonowych powinny być zamieszczone w dokumentacji projektowej. W razie braku w dokumentacji tych szczegółów odpowiednie przykłady standardowych rozwiązań można znaleźć w Warunkach technicznych wykonania i odbioru robót budowlanych. Część B – Roboty wykończeniowe, zeszyt 6 „Montaż okien i drzwi balkonowych”, wydanie ITB – 2016 rok oraz w dokumentacjach systemowych (producentów systemów).</w:t>
            </w:r>
          </w:p>
        </w:tc>
      </w:tr>
    </w:tbl>
    <w:p w14:paraId="62156B75" w14:textId="77777777" w:rsidR="000A3B2B" w:rsidRDefault="000A3B2B" w:rsidP="009E5295">
      <w:pPr>
        <w:autoSpaceDE w:val="0"/>
        <w:autoSpaceDN w:val="0"/>
        <w:adjustRightInd w:val="0"/>
        <w:spacing w:after="30" w:line="240" w:lineRule="auto"/>
        <w:jc w:val="both"/>
        <w:rPr>
          <w:rFonts w:ascii="Arial" w:hAnsi="Arial" w:cs="Arial"/>
          <w:i/>
          <w:iCs/>
          <w:color w:val="000000"/>
          <w:sz w:val="18"/>
          <w:szCs w:val="18"/>
          <w:lang w:val="x-none"/>
        </w:rPr>
      </w:pPr>
    </w:p>
    <w:p w14:paraId="6AC864A2"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5.4.</w:t>
      </w:r>
      <w:r>
        <w:rPr>
          <w:rFonts w:ascii="Arial" w:hAnsi="Arial" w:cs="Arial"/>
          <w:b/>
          <w:bCs/>
          <w:color w:val="000000"/>
          <w:sz w:val="18"/>
          <w:szCs w:val="18"/>
          <w:lang w:val="x-none"/>
        </w:rPr>
        <w:tab/>
        <w:t>Ogólne zasady osadzania parapetów okiennych i obróbek progów drzwi balkonowych</w:t>
      </w:r>
    </w:p>
    <w:p w14:paraId="24C981BB" w14:textId="77777777" w:rsidR="000A3B2B" w:rsidRDefault="000A3B2B" w:rsidP="009E529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5.4.1.</w:t>
      </w:r>
      <w:r>
        <w:rPr>
          <w:rFonts w:ascii="Arial" w:hAnsi="Arial" w:cs="Arial"/>
          <w:b/>
          <w:bCs/>
          <w:color w:val="000000"/>
          <w:sz w:val="18"/>
          <w:szCs w:val="18"/>
          <w:lang w:val="x-none"/>
        </w:rPr>
        <w:tab/>
        <w:t>Parapety zewnętrzne</w:t>
      </w:r>
    </w:p>
    <w:p w14:paraId="6182A58B"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Parapet zewnętrzny powinien być osadzony zgodnie z rozwiązaniem przewidzianym w dokumentacji projektowej tak, by spełnione były następujące wymagania:</w:t>
      </w:r>
    </w:p>
    <w:p w14:paraId="6C15B1B1"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osadzanie parapetu należy rozpocząć po zakończeniu montażu i uszczelnieniu na obwodzie okna,</w:t>
      </w:r>
    </w:p>
    <w:p w14:paraId="174EB83B"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parapet powinien wystawać poza płaszczyznę ściany około 3-4 cm lecz nie mniej niż 2 cm,</w:t>
      </w:r>
    </w:p>
    <w:p w14:paraId="41FE7CAF"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mocowanie do ościeżnicy powinno być dostatecznie mocne,</w:t>
      </w:r>
    </w:p>
    <w:p w14:paraId="5B0229D4"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miejsca połączenia parapetu z ościeżnicą powinny być szczelne lub uszczelnione taśmami rozprężnymi i silikonem,</w:t>
      </w:r>
    </w:p>
    <w:p w14:paraId="7D0B8533"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połączenia boczne parapetu z ościeżami oraz w narożu (okno – mur – parapet) powinny zapewniać ciągłość uszczelnienia (przykłady uszczelnienia parapetu zewnętrznego na styku z ościeżem przedstawione są w załączniku 2 (rys. Z2-16) Warunków technicznych wykonania i odbioru robót budowlanych. Część B – Roboty wykończeniowe, zeszyt 6 „Montaż okien i drzwi balkonowych”, wydanie ITB – 2016 r.),</w:t>
      </w:r>
    </w:p>
    <w:p w14:paraId="3E01F7E7"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przy oknach z kształtowników aluminiowych lub z PVC kołnierz parapetu powinien być wprowadzony pod profil progowy ościeżnicy (wywinięcie kołnierza na profil ramy ościeżnicowej bez dodatkowego uszczelnienia taśmami rozprężnymi i silikonem nie zapewnia szczelności połączenia),</w:t>
      </w:r>
    </w:p>
    <w:p w14:paraId="6C9034DA"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przy oknach drewnianych kołnierz parapetu powinien być wprowadzony w miejsce tzw. wydry w ramiaku progowym,</w:t>
      </w:r>
    </w:p>
    <w:p w14:paraId="73488A86"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osadzenie parapetu z kamienia lub elementów ceramicznych powinno być poprzedzone ułożeniem na styku ościeżnicy i ościeża izolacji przeciwwilgociowej wywiniętej na kształtownik progu ościeżnicy, tak jak w obróbkach drzwi balkonowych (pkt 5.4.3. niniejszej specyfikacji technicznej).</w:t>
      </w:r>
    </w:p>
    <w:p w14:paraId="40F73648"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Przy montażu parapetów z blachy należy zwrócić uwagę na:</w:t>
      </w:r>
    </w:p>
    <w:p w14:paraId="66EA4EE2"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zmianę ich wymiarów pod wpływem temperatury (styki dylatacyjne powinny być rozmieszczone co 250 cm),</w:t>
      </w:r>
    </w:p>
    <w:p w14:paraId="45E10F11"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podparcie i zabezpieczenie parapetów przed podrywaniem do góry przez wiatr,</w:t>
      </w:r>
    </w:p>
    <w:p w14:paraId="660BC648"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wytłumienie odgłosów padającego deszczu (stosowanie taśm wygłuszających),</w:t>
      </w:r>
    </w:p>
    <w:p w14:paraId="6CC2A074"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dostosowanie połączeń końcowych parapetów z ościeżami do konkretnego rozwiązania elewacji.</w:t>
      </w:r>
    </w:p>
    <w:tbl>
      <w:tblPr>
        <w:tblW w:w="0" w:type="auto"/>
        <w:tblCellSpacing w:w="0" w:type="dxa"/>
        <w:tblInd w:w="-8" w:type="dxa"/>
        <w:tblLayout w:type="fixed"/>
        <w:tblCellMar>
          <w:left w:w="0" w:type="dxa"/>
          <w:right w:w="0" w:type="dxa"/>
        </w:tblCellMar>
        <w:tblLook w:val="0000" w:firstRow="0" w:lastRow="0" w:firstColumn="0" w:lastColumn="0" w:noHBand="0" w:noVBand="0"/>
      </w:tblPr>
      <w:tblGrid>
        <w:gridCol w:w="9532"/>
      </w:tblGrid>
      <w:tr w:rsidR="000A3B2B" w14:paraId="6BB9460F" w14:textId="77777777">
        <w:trPr>
          <w:trHeight w:val="60"/>
          <w:tblCellSpacing w:w="0" w:type="dxa"/>
        </w:trPr>
        <w:tc>
          <w:tcPr>
            <w:tcW w:w="9532" w:type="dxa"/>
            <w:tcBorders>
              <w:top w:val="single" w:sz="6" w:space="0" w:color="000000"/>
              <w:left w:val="single" w:sz="6" w:space="0" w:color="000000"/>
              <w:bottom w:val="single" w:sz="6" w:space="0" w:color="000000"/>
              <w:right w:val="single" w:sz="6" w:space="0" w:color="000000"/>
            </w:tcBorders>
          </w:tcPr>
          <w:p w14:paraId="01927C5A" w14:textId="77777777" w:rsidR="000A3B2B" w:rsidRDefault="000A3B2B">
            <w:pPr>
              <w:autoSpaceDE w:val="0"/>
              <w:autoSpaceDN w:val="0"/>
              <w:adjustRightInd w:val="0"/>
              <w:spacing w:after="30" w:line="240" w:lineRule="auto"/>
              <w:jc w:val="both"/>
              <w:rPr>
                <w:rFonts w:ascii="Arial" w:hAnsi="Arial" w:cs="Arial"/>
                <w:i/>
                <w:iCs/>
                <w:color w:val="000000"/>
                <w:sz w:val="18"/>
                <w:szCs w:val="18"/>
                <w:lang w:val="x-none"/>
              </w:rPr>
            </w:pPr>
            <w:r>
              <w:rPr>
                <w:rFonts w:ascii="Arial" w:hAnsi="Arial" w:cs="Arial"/>
                <w:i/>
                <w:iCs/>
                <w:color w:val="000000"/>
                <w:sz w:val="18"/>
                <w:szCs w:val="18"/>
                <w:lang w:val="x-none"/>
              </w:rPr>
              <w:t>UWAGA: Przykłady szczegółów zamocowania i uszczelnienia parapetów zewnętrznych przedstawione są w Warunkach technicznych wykonania i odbioru robót budowlanych. Część B – Roboty wykończeniowe, zeszyt 6 „Montaż okien i drzwi balkonowych”, wydanie ITB – 2016 rok oraz w dokumentacjach systemowych (producentów systemów).</w:t>
            </w:r>
          </w:p>
        </w:tc>
      </w:tr>
    </w:tbl>
    <w:p w14:paraId="3DC1A496"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48D3EC87" w14:textId="77777777" w:rsidR="000A3B2B" w:rsidRDefault="000A3B2B" w:rsidP="009E529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5.4.2.</w:t>
      </w:r>
      <w:r>
        <w:rPr>
          <w:rFonts w:ascii="Arial" w:hAnsi="Arial" w:cs="Arial"/>
          <w:b/>
          <w:bCs/>
          <w:color w:val="000000"/>
          <w:sz w:val="18"/>
          <w:szCs w:val="18"/>
          <w:lang w:val="x-none"/>
        </w:rPr>
        <w:tab/>
        <w:t>Parapety wewnętrzne</w:t>
      </w:r>
    </w:p>
    <w:p w14:paraId="0525CF50"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Osadzanie parapetu wewnętrznego należy rozpocząć po zakończeniu montażu i uszczelnieniu na obwodzie okna, z uwzględnieniem uszczelnienia pod progiem ościeżnicy.</w:t>
      </w:r>
    </w:p>
    <w:p w14:paraId="168EE27E"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Parapety wewnętrzne powinny być osadzone w dolnej części ościeża, zgodnie z rozwiązaniami przewidzianymi w dokumentacji projektowej. Płaszczyzna styku parapetu z wrębem ościeżnicy powinna być tak uszczelniona, aby nie dopuścić do przedostawania się wody i pary wodnej do przestrzeni pod progiem ościeżnicy.</w:t>
      </w:r>
    </w:p>
    <w:tbl>
      <w:tblPr>
        <w:tblW w:w="0" w:type="auto"/>
        <w:tblCellSpacing w:w="0" w:type="dxa"/>
        <w:tblInd w:w="-8" w:type="dxa"/>
        <w:tblLayout w:type="fixed"/>
        <w:tblCellMar>
          <w:left w:w="0" w:type="dxa"/>
          <w:right w:w="0" w:type="dxa"/>
        </w:tblCellMar>
        <w:tblLook w:val="0000" w:firstRow="0" w:lastRow="0" w:firstColumn="0" w:lastColumn="0" w:noHBand="0" w:noVBand="0"/>
      </w:tblPr>
      <w:tblGrid>
        <w:gridCol w:w="9532"/>
      </w:tblGrid>
      <w:tr w:rsidR="000A3B2B" w14:paraId="781E4BC1" w14:textId="77777777">
        <w:trPr>
          <w:trHeight w:val="60"/>
          <w:tblCellSpacing w:w="0" w:type="dxa"/>
        </w:trPr>
        <w:tc>
          <w:tcPr>
            <w:tcW w:w="9532" w:type="dxa"/>
            <w:tcBorders>
              <w:top w:val="single" w:sz="6" w:space="0" w:color="000000"/>
              <w:left w:val="single" w:sz="6" w:space="0" w:color="000000"/>
              <w:bottom w:val="single" w:sz="6" w:space="0" w:color="000000"/>
              <w:right w:val="single" w:sz="6" w:space="0" w:color="000000"/>
            </w:tcBorders>
          </w:tcPr>
          <w:p w14:paraId="0293B89F" w14:textId="77777777" w:rsidR="000A3B2B" w:rsidRDefault="000A3B2B">
            <w:pPr>
              <w:autoSpaceDE w:val="0"/>
              <w:autoSpaceDN w:val="0"/>
              <w:adjustRightInd w:val="0"/>
              <w:spacing w:after="30" w:line="240" w:lineRule="auto"/>
              <w:jc w:val="both"/>
              <w:rPr>
                <w:rFonts w:ascii="Arial" w:hAnsi="Arial" w:cs="Arial"/>
                <w:i/>
                <w:iCs/>
                <w:color w:val="000000"/>
                <w:sz w:val="18"/>
                <w:szCs w:val="18"/>
                <w:lang w:val="x-none"/>
              </w:rPr>
            </w:pPr>
            <w:r>
              <w:rPr>
                <w:rFonts w:ascii="Arial" w:hAnsi="Arial" w:cs="Arial"/>
                <w:i/>
                <w:iCs/>
                <w:color w:val="000000"/>
                <w:sz w:val="18"/>
                <w:szCs w:val="18"/>
                <w:lang w:val="x-none"/>
              </w:rPr>
              <w:t>UWAGA: Przykłady szczegółów zamocowania i uszczelnienia parapetów wewnętrznych przedstawione są w Warunkach technicznych wykonania i odbioru robót budowlanych. Część B – Roboty wykończeniowe, zeszyt 6 „Montaż okien i drzwi balkonowych”, wydanie ITB – 2016 rok oraz w dokumentacjach systemowych.</w:t>
            </w:r>
          </w:p>
        </w:tc>
      </w:tr>
    </w:tbl>
    <w:p w14:paraId="3D4D1A76" w14:textId="77777777" w:rsidR="000A3B2B" w:rsidRDefault="000A3B2B" w:rsidP="009E5295">
      <w:pPr>
        <w:autoSpaceDE w:val="0"/>
        <w:autoSpaceDN w:val="0"/>
        <w:adjustRightInd w:val="0"/>
        <w:spacing w:after="30" w:line="240" w:lineRule="auto"/>
        <w:jc w:val="both"/>
        <w:rPr>
          <w:rFonts w:ascii="Arial" w:hAnsi="Arial" w:cs="Arial"/>
          <w:i/>
          <w:iCs/>
          <w:color w:val="000000"/>
          <w:sz w:val="18"/>
          <w:szCs w:val="18"/>
          <w:lang w:val="x-none"/>
        </w:rPr>
      </w:pPr>
    </w:p>
    <w:p w14:paraId="51FCE846" w14:textId="77777777" w:rsidR="000A3B2B" w:rsidRDefault="000A3B2B" w:rsidP="009E529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5.4.3.</w:t>
      </w:r>
      <w:r>
        <w:rPr>
          <w:rFonts w:ascii="Arial" w:hAnsi="Arial" w:cs="Arial"/>
          <w:b/>
          <w:bCs/>
          <w:color w:val="000000"/>
          <w:sz w:val="18"/>
          <w:szCs w:val="18"/>
          <w:lang w:val="x-none"/>
        </w:rPr>
        <w:tab/>
        <w:t>Obróbki progów drzwi balkonowych</w:t>
      </w:r>
    </w:p>
    <w:p w14:paraId="6E67A33D"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Progi balkonowe ze względu na duże zagrożenie wodą należą do miejsc krytycznych, trudnych do uszczelnienia. Dokumentacja projektowa powinna więc zawierać szczegółowe rozwiązania sposobów obrobienia tych miejsc.</w:t>
      </w:r>
    </w:p>
    <w:p w14:paraId="18EE44E3" w14:textId="77777777" w:rsidR="000A3B2B" w:rsidRDefault="000A3B2B" w:rsidP="009E5295">
      <w:pPr>
        <w:autoSpaceDE w:val="0"/>
        <w:autoSpaceDN w:val="0"/>
        <w:adjustRightInd w:val="0"/>
        <w:spacing w:after="30" w:line="240" w:lineRule="auto"/>
        <w:ind w:firstLine="285"/>
        <w:jc w:val="both"/>
        <w:rPr>
          <w:rFonts w:ascii="Arial" w:hAnsi="Arial" w:cs="Arial"/>
          <w:b/>
          <w:bCs/>
          <w:color w:val="000000"/>
          <w:sz w:val="18"/>
          <w:szCs w:val="18"/>
          <w:lang w:val="x-none"/>
        </w:rPr>
      </w:pPr>
      <w:r>
        <w:rPr>
          <w:rFonts w:ascii="Arial" w:hAnsi="Arial" w:cs="Arial"/>
          <w:b/>
          <w:bCs/>
          <w:color w:val="000000"/>
          <w:sz w:val="18"/>
          <w:szCs w:val="18"/>
          <w:lang w:val="x-none"/>
        </w:rPr>
        <w:t>Obróbki progów balkonowych należy wykonywać zgodnie z dokumentacją projektową.</w:t>
      </w:r>
    </w:p>
    <w:p w14:paraId="07D57755"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Przy uszczelnianiu progów należy zachowywać różnicę poziomów między górną krawędzią izolacji przeciwwilgociowej płyty balkonu (tarasu) a przewidywanym poziomem wykończenia powierzchni balkonu. Różnica poziomów wykończenia płyty balkonu i górnej krawędzi izolacji przeciwwilgociowej z materiałów rolowych, wywiniętej na kształtownik progu, powinna wynosić 15 cm.</w:t>
      </w:r>
    </w:p>
    <w:p w14:paraId="234FBA91"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 xml:space="preserve">Odstępstwo od powyższego wymogu jest dopuszczalne tylko w przypadku, gdy w dokumentacji przewidziano rozwiązania systemowe obróbek progów (taśmy uszczelniające, kształtki wtopione w masę </w:t>
      </w:r>
      <w:proofErr w:type="spellStart"/>
      <w:r>
        <w:rPr>
          <w:rFonts w:ascii="Arial" w:hAnsi="Arial" w:cs="Arial"/>
          <w:color w:val="000000"/>
          <w:sz w:val="18"/>
          <w:szCs w:val="18"/>
          <w:lang w:val="x-none"/>
        </w:rPr>
        <w:t>hydroizolacyjną</w:t>
      </w:r>
      <w:proofErr w:type="spellEnd"/>
      <w:r>
        <w:rPr>
          <w:rFonts w:ascii="Arial" w:hAnsi="Arial" w:cs="Arial"/>
          <w:color w:val="000000"/>
          <w:sz w:val="18"/>
          <w:szCs w:val="18"/>
          <w:lang w:val="x-none"/>
        </w:rPr>
        <w:t>) bądź w płycie balkonu lub tarasu zaprojektowano odprowadzenie wody w pasie bezpośrednio przylegającym do progu drzwi balkonowych.</w:t>
      </w:r>
    </w:p>
    <w:p w14:paraId="44B5197A"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729F3E20"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5.5.</w:t>
      </w:r>
      <w:r>
        <w:rPr>
          <w:rFonts w:ascii="Arial" w:hAnsi="Arial" w:cs="Arial"/>
          <w:b/>
          <w:bCs/>
          <w:color w:val="000000"/>
          <w:sz w:val="18"/>
          <w:szCs w:val="18"/>
          <w:lang w:val="x-none"/>
        </w:rPr>
        <w:tab/>
        <w:t>Łączenie okien w zestawy</w:t>
      </w:r>
    </w:p>
    <w:p w14:paraId="621F458A"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Okna lub okna i drzwi balkonowe można łączyć w zestawy:</w:t>
      </w:r>
    </w:p>
    <w:p w14:paraId="64BB98F8"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poziome,</w:t>
      </w:r>
    </w:p>
    <w:p w14:paraId="0BE85A22"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pionowe.</w:t>
      </w:r>
    </w:p>
    <w:p w14:paraId="6BD67D60"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Połączenia okien i/lub drzwi balkonowych w zestawach muszą zapewniać szczelność na przenikanie wody opadowej i powietrza oraz właściwą współpracę łączonych elementów.</w:t>
      </w:r>
    </w:p>
    <w:p w14:paraId="1E94C077" w14:textId="77777777" w:rsidR="000A3B2B" w:rsidRDefault="000A3B2B" w:rsidP="009E529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5.5.1.</w:t>
      </w:r>
      <w:r>
        <w:rPr>
          <w:rFonts w:ascii="Arial" w:hAnsi="Arial" w:cs="Arial"/>
          <w:b/>
          <w:bCs/>
          <w:color w:val="000000"/>
          <w:sz w:val="18"/>
          <w:szCs w:val="18"/>
          <w:lang w:val="x-none"/>
        </w:rPr>
        <w:tab/>
        <w:t>Zestawy poziome</w:t>
      </w:r>
    </w:p>
    <w:p w14:paraId="4BA860FC"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Połączenia w zestawy poziome okien lub okien i drzwi balkonowych drewnianych mogą być wykonywane na „obce pióro”, osadzone we wrębach stojaków ościeżnic na całej ich wysokości, uszczelnione kitem silikonowym i skręcone za pomocą wkrętów o rozstawie nie większym niż 80 cm. Ościeżnice okien i drzwi balkonowych drewnianych mogą być również łączone przy zastosowaniu poszerzającego elementu pośredniego lub słupka.</w:t>
      </w:r>
    </w:p>
    <w:p w14:paraId="159D6F87"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Połączenia w zestawy poziome okien lub okien i drzwi balkonowych z kształtowników aluminiowych bądź z tworzyw sztucznych należy wykonywać zgodnie z dokumentacją projektową i zaleceniami producenta systemu.</w:t>
      </w:r>
    </w:p>
    <w:p w14:paraId="53CC4890" w14:textId="77777777" w:rsidR="000A3B2B" w:rsidRDefault="000A3B2B" w:rsidP="009E529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5.5.2.</w:t>
      </w:r>
      <w:r>
        <w:rPr>
          <w:rFonts w:ascii="Arial" w:hAnsi="Arial" w:cs="Arial"/>
          <w:b/>
          <w:bCs/>
          <w:color w:val="000000"/>
          <w:sz w:val="18"/>
          <w:szCs w:val="18"/>
          <w:lang w:val="x-none"/>
        </w:rPr>
        <w:tab/>
        <w:t>Zestawy pionowe</w:t>
      </w:r>
    </w:p>
    <w:p w14:paraId="5F0890D4"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Łączenie okien w zestawy pionowe należy wykonywać zgodnie z dokumentacją projektową  i zaleceniami producenta systemu.</w:t>
      </w:r>
    </w:p>
    <w:p w14:paraId="66A91105"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Połączenia takie na ogół wymagają zamocowania dodatkowego poziomego elementu między ościeżnicami stykających się okien.</w:t>
      </w:r>
    </w:p>
    <w:tbl>
      <w:tblPr>
        <w:tblW w:w="0" w:type="auto"/>
        <w:tblCellSpacing w:w="0" w:type="dxa"/>
        <w:tblInd w:w="-8" w:type="dxa"/>
        <w:tblLayout w:type="fixed"/>
        <w:tblCellMar>
          <w:left w:w="0" w:type="dxa"/>
          <w:right w:w="0" w:type="dxa"/>
        </w:tblCellMar>
        <w:tblLook w:val="0000" w:firstRow="0" w:lastRow="0" w:firstColumn="0" w:lastColumn="0" w:noHBand="0" w:noVBand="0"/>
      </w:tblPr>
      <w:tblGrid>
        <w:gridCol w:w="9532"/>
      </w:tblGrid>
      <w:tr w:rsidR="000A3B2B" w14:paraId="12A163F8" w14:textId="77777777">
        <w:trPr>
          <w:trHeight w:val="60"/>
          <w:tblCellSpacing w:w="0" w:type="dxa"/>
        </w:trPr>
        <w:tc>
          <w:tcPr>
            <w:tcW w:w="9532" w:type="dxa"/>
            <w:tcBorders>
              <w:top w:val="single" w:sz="6" w:space="0" w:color="000000"/>
              <w:left w:val="single" w:sz="6" w:space="0" w:color="000000"/>
              <w:bottom w:val="single" w:sz="6" w:space="0" w:color="000000"/>
              <w:right w:val="single" w:sz="6" w:space="0" w:color="000000"/>
            </w:tcBorders>
          </w:tcPr>
          <w:p w14:paraId="7EFEDE41" w14:textId="77777777" w:rsidR="000A3B2B" w:rsidRDefault="000A3B2B">
            <w:pPr>
              <w:autoSpaceDE w:val="0"/>
              <w:autoSpaceDN w:val="0"/>
              <w:adjustRightInd w:val="0"/>
              <w:spacing w:after="30" w:line="240" w:lineRule="auto"/>
              <w:jc w:val="both"/>
              <w:rPr>
                <w:rFonts w:ascii="Arial" w:hAnsi="Arial" w:cs="Arial"/>
                <w:i/>
                <w:iCs/>
                <w:color w:val="000000"/>
                <w:sz w:val="18"/>
                <w:szCs w:val="18"/>
                <w:lang w:val="x-none"/>
              </w:rPr>
            </w:pPr>
            <w:r>
              <w:rPr>
                <w:rFonts w:ascii="Arial" w:hAnsi="Arial" w:cs="Arial"/>
                <w:i/>
                <w:iCs/>
                <w:color w:val="000000"/>
                <w:sz w:val="18"/>
                <w:szCs w:val="18"/>
                <w:lang w:val="x-none"/>
              </w:rPr>
              <w:t>UWAGA: Tworząc Szczegółową Specyfikację Techniczną dla konkretnego przedmiotu zamówienia (dokumentacji) należy wykreślić z niniejszej specyfikacji standardowej wymagania niemające odniesienia do projektowanego przedmiotu zamówienia, a dopisać nieujęte w niej wymagania dodatkowe wynikające z dokumentacji projektowej lub zaleceń (wytycznych) producenta systemu.</w:t>
            </w:r>
          </w:p>
        </w:tc>
      </w:tr>
    </w:tbl>
    <w:p w14:paraId="5484DA6A"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07BBECA1" w14:textId="77777777" w:rsidR="000A3B2B" w:rsidRDefault="000A3B2B" w:rsidP="009E5295">
      <w:pPr>
        <w:autoSpaceDE w:val="0"/>
        <w:autoSpaceDN w:val="0"/>
        <w:adjustRightInd w:val="0"/>
        <w:spacing w:before="225" w:after="12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6.</w:t>
      </w:r>
      <w:r>
        <w:rPr>
          <w:rFonts w:ascii="Arial" w:hAnsi="Arial" w:cs="Arial"/>
          <w:b/>
          <w:bCs/>
          <w:color w:val="000000"/>
          <w:sz w:val="18"/>
          <w:szCs w:val="18"/>
          <w:lang w:val="x-none"/>
        </w:rPr>
        <w:tab/>
        <w:t>KONTROLA JAKOŚCI ROBÓT</w:t>
      </w:r>
    </w:p>
    <w:p w14:paraId="4F7180FA"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6.1.</w:t>
      </w:r>
      <w:r>
        <w:rPr>
          <w:rFonts w:ascii="Arial" w:hAnsi="Arial" w:cs="Arial"/>
          <w:b/>
          <w:bCs/>
          <w:color w:val="000000"/>
          <w:sz w:val="18"/>
          <w:szCs w:val="18"/>
          <w:lang w:val="x-none"/>
        </w:rPr>
        <w:tab/>
        <w:t>Ogólne zasady kontroli jakości robót podano w ST „Wymagania ogólne” Kod CPV 45000000-7, pkt 6</w:t>
      </w:r>
    </w:p>
    <w:p w14:paraId="506DE244"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228E36AD"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6.2.</w:t>
      </w:r>
      <w:r>
        <w:rPr>
          <w:rFonts w:ascii="Arial" w:hAnsi="Arial" w:cs="Arial"/>
          <w:b/>
          <w:bCs/>
          <w:color w:val="000000"/>
          <w:sz w:val="18"/>
          <w:szCs w:val="18"/>
          <w:lang w:val="x-none"/>
        </w:rPr>
        <w:tab/>
        <w:t xml:space="preserve">Badania przed przystąpieniem do montażu okien i drzwi balkonowych </w:t>
      </w:r>
    </w:p>
    <w:p w14:paraId="44D45ADF"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Przed przystąpieniem do montażu okien i drzwi balkonowych należy ocenić stan ścian i przygotowania ościeży do robót montażowych oraz przeprowadzić kontrolę wyrobów i materiałów wykorzystywanych w tych robotach.</w:t>
      </w:r>
    </w:p>
    <w:p w14:paraId="21AEF68E" w14:textId="77777777" w:rsidR="000A3B2B" w:rsidRDefault="000A3B2B" w:rsidP="009E529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6.2.1.</w:t>
      </w:r>
      <w:r>
        <w:rPr>
          <w:rFonts w:ascii="Arial" w:hAnsi="Arial" w:cs="Arial"/>
          <w:b/>
          <w:bCs/>
          <w:color w:val="000000"/>
          <w:sz w:val="18"/>
          <w:szCs w:val="18"/>
          <w:lang w:val="x-none"/>
        </w:rPr>
        <w:tab/>
        <w:t>Odbiór robót poprzedzających wykonanie montażu okien i drzwi balkonowych</w:t>
      </w:r>
    </w:p>
    <w:p w14:paraId="50355B62"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Przed przystąpieniem do montażu okien należy sprawdzić:</w:t>
      </w:r>
    </w:p>
    <w:p w14:paraId="29FFA87A"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prawidłowość wykonania ścian, zgodnie z odpowiednią szczegółową specyfikacją techniczną,</w:t>
      </w:r>
    </w:p>
    <w:p w14:paraId="4FEF1D0C"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rodzaj ościeży (z węgarkiem czy bez węgarka) oraz ich prawidłowość wykonania i stan wykończenia (otynkowane czy nieotynkowane), zgodnie z odpowiednimi szczegółowymi specyfikacjami technicznymi),</w:t>
      </w:r>
    </w:p>
    <w:p w14:paraId="233A2F33"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zgodność wymiarów otworów z wymiarami projektowanymi,</w:t>
      </w:r>
    </w:p>
    <w:p w14:paraId="0A318934"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możliwość zabezpieczenia prawidłowego luzu na obwodzie pomiędzy ościeżem a ościeżnicą.</w:t>
      </w:r>
    </w:p>
    <w:p w14:paraId="296942EB" w14:textId="77777777" w:rsidR="000A3B2B" w:rsidRDefault="000A3B2B" w:rsidP="009E5295">
      <w:pPr>
        <w:autoSpaceDE w:val="0"/>
        <w:autoSpaceDN w:val="0"/>
        <w:adjustRightInd w:val="0"/>
        <w:spacing w:after="0" w:line="240" w:lineRule="auto"/>
        <w:ind w:firstLine="285"/>
        <w:rPr>
          <w:rFonts w:ascii="Arial" w:hAnsi="Arial" w:cs="Arial"/>
          <w:color w:val="000000"/>
          <w:sz w:val="18"/>
          <w:szCs w:val="18"/>
          <w:lang w:val="x-none"/>
        </w:rPr>
      </w:pPr>
      <w:r>
        <w:rPr>
          <w:rFonts w:ascii="Arial" w:hAnsi="Arial" w:cs="Arial"/>
          <w:color w:val="000000"/>
          <w:sz w:val="18"/>
          <w:szCs w:val="18"/>
          <w:lang w:val="x-none"/>
        </w:rPr>
        <w:t xml:space="preserve">Wyniki badań powinny być porównane z wymaganiami podanymi w odpowiednich szczegółowych specyfikacjach </w:t>
      </w:r>
    </w:p>
    <w:tbl>
      <w:tblPr>
        <w:tblW w:w="0" w:type="auto"/>
        <w:tblCellSpacing w:w="0" w:type="dxa"/>
        <w:tblLayout w:type="fixed"/>
        <w:tblCellMar>
          <w:left w:w="0" w:type="dxa"/>
          <w:right w:w="0" w:type="dxa"/>
        </w:tblCellMar>
        <w:tblLook w:val="0000" w:firstRow="0" w:lastRow="0" w:firstColumn="0" w:lastColumn="0" w:noHBand="0" w:noVBand="0"/>
      </w:tblPr>
      <w:tblGrid>
        <w:gridCol w:w="6832"/>
        <w:gridCol w:w="1996"/>
        <w:gridCol w:w="720"/>
      </w:tblGrid>
      <w:tr w:rsidR="000A3B2B" w14:paraId="0C5A143B" w14:textId="77777777">
        <w:trPr>
          <w:trHeight w:val="60"/>
          <w:tblCellSpacing w:w="0" w:type="dxa"/>
        </w:trPr>
        <w:tc>
          <w:tcPr>
            <w:tcW w:w="6832" w:type="dxa"/>
            <w:tcBorders>
              <w:top w:val="nil"/>
              <w:left w:val="nil"/>
              <w:bottom w:val="nil"/>
              <w:right w:val="single" w:sz="6" w:space="0" w:color="auto"/>
            </w:tcBorders>
          </w:tcPr>
          <w:p w14:paraId="4638FF99" w14:textId="77777777" w:rsidR="000A3B2B" w:rsidRDefault="000A3B2B">
            <w:pPr>
              <w:autoSpaceDE w:val="0"/>
              <w:autoSpaceDN w:val="0"/>
              <w:adjustRightInd w:val="0"/>
              <w:spacing w:after="0" w:line="240" w:lineRule="auto"/>
              <w:jc w:val="both"/>
              <w:rPr>
                <w:rFonts w:ascii="Arial" w:hAnsi="Arial" w:cs="Arial"/>
                <w:color w:val="000000"/>
                <w:sz w:val="18"/>
                <w:szCs w:val="18"/>
                <w:lang w:val="x-none"/>
              </w:rPr>
            </w:pPr>
            <w:r>
              <w:rPr>
                <w:rFonts w:ascii="Arial" w:hAnsi="Arial" w:cs="Arial"/>
                <w:color w:val="000000"/>
                <w:sz w:val="18"/>
                <w:szCs w:val="18"/>
                <w:lang w:val="x-none"/>
              </w:rPr>
              <w:t>technicznych oraz w pkt. 5 niniejszej specyfikacji i odnotowane w dzienniku budowy</w:t>
            </w:r>
          </w:p>
        </w:tc>
        <w:tc>
          <w:tcPr>
            <w:tcW w:w="1996" w:type="dxa"/>
            <w:tcBorders>
              <w:top w:val="single" w:sz="6" w:space="0" w:color="000000"/>
              <w:left w:val="single" w:sz="6" w:space="0" w:color="000000"/>
              <w:bottom w:val="single" w:sz="6" w:space="0" w:color="000000"/>
              <w:right w:val="single" w:sz="6" w:space="0" w:color="000000"/>
            </w:tcBorders>
          </w:tcPr>
          <w:p w14:paraId="13B25C56" w14:textId="77777777" w:rsidR="000A3B2B" w:rsidRDefault="000A3B2B">
            <w:pPr>
              <w:autoSpaceDE w:val="0"/>
              <w:autoSpaceDN w:val="0"/>
              <w:adjustRightInd w:val="0"/>
              <w:spacing w:after="0" w:line="240" w:lineRule="auto"/>
              <w:jc w:val="center"/>
              <w:rPr>
                <w:rFonts w:ascii="Arial" w:hAnsi="Arial" w:cs="Arial"/>
                <w:i/>
                <w:iCs/>
                <w:color w:val="000000"/>
                <w:sz w:val="18"/>
                <w:szCs w:val="18"/>
                <w:lang w:val="x-none"/>
              </w:rPr>
            </w:pPr>
            <w:r>
              <w:rPr>
                <w:rFonts w:ascii="Arial" w:hAnsi="Arial" w:cs="Arial"/>
                <w:i/>
                <w:iCs/>
                <w:color w:val="000000"/>
                <w:sz w:val="18"/>
                <w:szCs w:val="18"/>
                <w:lang w:val="x-none"/>
              </w:rPr>
              <w:t>o ile jest prowadzony</w:t>
            </w:r>
          </w:p>
        </w:tc>
        <w:tc>
          <w:tcPr>
            <w:tcW w:w="720" w:type="dxa"/>
            <w:tcBorders>
              <w:top w:val="nil"/>
              <w:left w:val="single" w:sz="6" w:space="0" w:color="000000"/>
              <w:bottom w:val="nil"/>
              <w:right w:val="nil"/>
            </w:tcBorders>
          </w:tcPr>
          <w:p w14:paraId="3C8D1B38" w14:textId="77777777" w:rsidR="000A3B2B" w:rsidRDefault="000A3B2B">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 xml:space="preserve">, </w:t>
            </w:r>
          </w:p>
        </w:tc>
      </w:tr>
    </w:tbl>
    <w:p w14:paraId="76C6C996" w14:textId="77777777" w:rsidR="000A3B2B" w:rsidRDefault="000A3B2B" w:rsidP="009E5295">
      <w:pPr>
        <w:autoSpaceDE w:val="0"/>
        <w:autoSpaceDN w:val="0"/>
        <w:adjustRightInd w:val="0"/>
        <w:spacing w:after="0" w:line="240" w:lineRule="auto"/>
        <w:jc w:val="both"/>
        <w:rPr>
          <w:rFonts w:ascii="Arial" w:hAnsi="Arial" w:cs="Arial"/>
          <w:color w:val="000000"/>
          <w:sz w:val="18"/>
          <w:szCs w:val="18"/>
          <w:lang w:val="x-none"/>
        </w:rPr>
      </w:pPr>
      <w:r>
        <w:rPr>
          <w:rFonts w:ascii="Arial" w:hAnsi="Arial" w:cs="Arial"/>
          <w:color w:val="000000"/>
          <w:sz w:val="18"/>
          <w:szCs w:val="18"/>
          <w:lang w:val="x-none"/>
        </w:rPr>
        <w:t>a także w formie protokołu kontroli podpisanego przez przedstawicieli inwestora (zamawiającego) oraz wykonawcy.</w:t>
      </w:r>
    </w:p>
    <w:p w14:paraId="43307B80" w14:textId="77777777" w:rsidR="000A3B2B" w:rsidRDefault="000A3B2B" w:rsidP="009E529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6.2.2.</w:t>
      </w:r>
      <w:r>
        <w:rPr>
          <w:rFonts w:ascii="Arial" w:hAnsi="Arial" w:cs="Arial"/>
          <w:b/>
          <w:bCs/>
          <w:color w:val="000000"/>
          <w:sz w:val="18"/>
          <w:szCs w:val="18"/>
          <w:lang w:val="x-none"/>
        </w:rPr>
        <w:tab/>
        <w:t>Kontrola jakości materiałów i wyrobów</w:t>
      </w:r>
    </w:p>
    <w:p w14:paraId="35FEA8A7"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Przed rozpoczęciem montażu okien i drzwi balkonowych należy sprawdzić:</w:t>
      </w:r>
    </w:p>
    <w:p w14:paraId="0598EFA1"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zgodność okien i drzwi balkonowych oraz obróbek z aprobatą techniczną – wydaną do 31 grudnia 2016 r., a po zakończeniu okresu jej ważności krajową oceną techniczną lub indywidualną dokumentacją techniczną w zakresie rozwiązań materiałowo-konstrukcyjnych i jakości wykonania,</w:t>
      </w:r>
    </w:p>
    <w:p w14:paraId="572DA89D"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zgodność okien i drzwi balkonowych oraz obróbek z dokumentacją projektową i niniejszą specyfikacją techniczną,</w:t>
      </w:r>
    </w:p>
    <w:p w14:paraId="0DAA608F"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 protokole przyjęcia materiałów na budowę: czy dostawca dostarczył dokumenty świadczące o dopuszczeniu do powszechnego  obrotu (kopie deklaracji właściwości użytkowych) lub jednostkowego zastosowania wyrobów używanych w robotach montażowych (oświadczenie producenta o zapewnieniu zgodności wyrobu budowlanego dopuszczonego do jednostkowego zastosowania z indywidualną dokumentacją techniczną),</w:t>
      </w:r>
    </w:p>
    <w:p w14:paraId="5C471967"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stan opakowań (oryginalność, szczelność) oraz sposób przechowywania wyrobów i terminy przydatności materiałów uszczelniających.</w:t>
      </w:r>
    </w:p>
    <w:p w14:paraId="2EA65AE3"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p>
    <w:p w14:paraId="3EF98178"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6.3.</w:t>
      </w:r>
      <w:r>
        <w:rPr>
          <w:rFonts w:ascii="Arial" w:hAnsi="Arial" w:cs="Arial"/>
          <w:b/>
          <w:bCs/>
          <w:color w:val="000000"/>
          <w:sz w:val="18"/>
          <w:szCs w:val="18"/>
          <w:lang w:val="x-none"/>
        </w:rPr>
        <w:tab/>
        <w:t>Badania w czasie robót</w:t>
      </w:r>
    </w:p>
    <w:p w14:paraId="04E8AB9E"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Badania w czasie robót polegają na sprawdzeniu zgodności wykonywania robót montażowych z dokumentacją projektową, wymaganiami niniejszej specyfikacji i kartami technicznymi lub instrukcjami producentów. Badania te w szczególności powinny polegać na sprawdzeniu prawidłowości wykonania:</w:t>
      </w:r>
    </w:p>
    <w:p w14:paraId="6D0C89C3"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podparcia progu ościeżnicy,</w:t>
      </w:r>
    </w:p>
    <w:p w14:paraId="150DF4FB"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zamocowania mechanicznego okna lub drzwi balkonowych na całym obwodzie ościeżnicy (zachowania odstępów między łącznikami mechanicznymi),</w:t>
      </w:r>
    </w:p>
    <w:p w14:paraId="537BED77"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izolacji termicznej szczeliny między oknem a ościeżem, ze szczególnym zwróceniem uwagi na wykonanie izolacji pod progiem ościeżnicy,</w:t>
      </w:r>
    </w:p>
    <w:p w14:paraId="5451D57B"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uszczelnienia zewnętrznego i wewnętrznego szczeliny między oknem a ościeżem, ze szczególnym uwzględnieniem rodzaju zastosowanych materiałów uszczelniających i przestrzegania zaleceń technologicznych,</w:t>
      </w:r>
    </w:p>
    <w:p w14:paraId="6277B50F"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obróbek progu drzwi balkonowych,</w:t>
      </w:r>
    </w:p>
    <w:p w14:paraId="2569F770"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osadzenia parapetu zewnętrznego i wewnętrznego.</w:t>
      </w:r>
    </w:p>
    <w:p w14:paraId="6D46483F" w14:textId="77777777" w:rsidR="000A3B2B" w:rsidRDefault="000A3B2B" w:rsidP="009E5295">
      <w:pPr>
        <w:autoSpaceDE w:val="0"/>
        <w:autoSpaceDN w:val="0"/>
        <w:adjustRightInd w:val="0"/>
        <w:spacing w:after="0" w:line="240" w:lineRule="auto"/>
        <w:ind w:firstLine="285"/>
        <w:rPr>
          <w:rFonts w:ascii="Arial" w:hAnsi="Arial" w:cs="Arial"/>
          <w:color w:val="000000"/>
          <w:sz w:val="18"/>
          <w:szCs w:val="18"/>
          <w:lang w:val="x-none"/>
        </w:rPr>
      </w:pPr>
      <w:r>
        <w:rPr>
          <w:rFonts w:ascii="Arial" w:hAnsi="Arial" w:cs="Arial"/>
          <w:color w:val="000000"/>
          <w:sz w:val="18"/>
          <w:szCs w:val="18"/>
          <w:lang w:val="x-none"/>
        </w:rPr>
        <w:t xml:space="preserve">Wyniki badań powinny być porównane z wymaganiami podanymi w pkt. 5 niniejszej specyfikacji, odnotowane </w:t>
      </w:r>
    </w:p>
    <w:tbl>
      <w:tblPr>
        <w:tblW w:w="9180" w:type="dxa"/>
        <w:tblCellSpacing w:w="0" w:type="dxa"/>
        <w:tblLayout w:type="fixed"/>
        <w:tblCellMar>
          <w:left w:w="0" w:type="dxa"/>
          <w:right w:w="0" w:type="dxa"/>
        </w:tblCellMar>
        <w:tblLook w:val="0000" w:firstRow="0" w:lastRow="0" w:firstColumn="0" w:lastColumn="0" w:noHBand="0" w:noVBand="0"/>
      </w:tblPr>
      <w:tblGrid>
        <w:gridCol w:w="4662"/>
        <w:gridCol w:w="1832"/>
        <w:gridCol w:w="2686"/>
      </w:tblGrid>
      <w:tr w:rsidR="000A3B2B" w14:paraId="44E5E1E6" w14:textId="77777777">
        <w:trPr>
          <w:trHeight w:val="60"/>
          <w:tblCellSpacing w:w="0" w:type="dxa"/>
        </w:trPr>
        <w:tc>
          <w:tcPr>
            <w:tcW w:w="4658" w:type="dxa"/>
            <w:tcBorders>
              <w:top w:val="nil"/>
              <w:left w:val="nil"/>
              <w:bottom w:val="nil"/>
              <w:right w:val="single" w:sz="6" w:space="0" w:color="auto"/>
            </w:tcBorders>
          </w:tcPr>
          <w:p w14:paraId="3C4E7A72" w14:textId="77777777" w:rsidR="000A3B2B" w:rsidRDefault="000A3B2B">
            <w:pPr>
              <w:autoSpaceDE w:val="0"/>
              <w:autoSpaceDN w:val="0"/>
              <w:adjustRightInd w:val="0"/>
              <w:spacing w:after="0" w:line="240" w:lineRule="auto"/>
              <w:jc w:val="both"/>
              <w:rPr>
                <w:rFonts w:ascii="Arial" w:hAnsi="Arial" w:cs="Arial"/>
                <w:color w:val="000000"/>
                <w:sz w:val="18"/>
                <w:szCs w:val="18"/>
                <w:lang w:val="x-none"/>
              </w:rPr>
            </w:pPr>
            <w:r>
              <w:rPr>
                <w:rFonts w:ascii="Arial" w:hAnsi="Arial" w:cs="Arial"/>
                <w:color w:val="000000"/>
                <w:sz w:val="18"/>
                <w:szCs w:val="18"/>
                <w:lang w:val="x-none"/>
              </w:rPr>
              <w:t>w formie protokołu kontroli, wpisane do dziennika budowy</w:t>
            </w:r>
          </w:p>
        </w:tc>
        <w:tc>
          <w:tcPr>
            <w:tcW w:w="1830" w:type="dxa"/>
            <w:tcBorders>
              <w:top w:val="single" w:sz="6" w:space="0" w:color="000000"/>
              <w:left w:val="single" w:sz="6" w:space="0" w:color="000000"/>
              <w:bottom w:val="single" w:sz="6" w:space="0" w:color="000000"/>
              <w:right w:val="single" w:sz="6" w:space="0" w:color="000000"/>
            </w:tcBorders>
          </w:tcPr>
          <w:p w14:paraId="29BC2E13" w14:textId="77777777" w:rsidR="000A3B2B" w:rsidRDefault="000A3B2B">
            <w:pPr>
              <w:autoSpaceDE w:val="0"/>
              <w:autoSpaceDN w:val="0"/>
              <w:adjustRightInd w:val="0"/>
              <w:spacing w:after="0" w:line="240" w:lineRule="auto"/>
              <w:jc w:val="both"/>
              <w:rPr>
                <w:rFonts w:ascii="Arial" w:hAnsi="Arial" w:cs="Arial"/>
                <w:i/>
                <w:iCs/>
                <w:color w:val="000000"/>
                <w:sz w:val="18"/>
                <w:szCs w:val="18"/>
                <w:lang w:val="x-none"/>
              </w:rPr>
            </w:pPr>
            <w:r>
              <w:rPr>
                <w:rFonts w:ascii="Arial" w:hAnsi="Arial" w:cs="Arial"/>
                <w:i/>
                <w:iCs/>
                <w:color w:val="000000"/>
                <w:sz w:val="18"/>
                <w:szCs w:val="18"/>
                <w:lang w:val="x-none"/>
              </w:rPr>
              <w:t>o ile jest prowadzony</w:t>
            </w:r>
          </w:p>
        </w:tc>
        <w:tc>
          <w:tcPr>
            <w:tcW w:w="2684" w:type="dxa"/>
            <w:tcBorders>
              <w:top w:val="nil"/>
              <w:left w:val="single" w:sz="6" w:space="0" w:color="000000"/>
              <w:bottom w:val="nil"/>
              <w:right w:val="nil"/>
            </w:tcBorders>
          </w:tcPr>
          <w:p w14:paraId="33404D65" w14:textId="77777777" w:rsidR="000A3B2B" w:rsidRDefault="000A3B2B">
            <w:pPr>
              <w:autoSpaceDE w:val="0"/>
              <w:autoSpaceDN w:val="0"/>
              <w:adjustRightInd w:val="0"/>
              <w:spacing w:after="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i akceptowane przez inspektora </w:t>
            </w:r>
          </w:p>
        </w:tc>
      </w:tr>
    </w:tbl>
    <w:p w14:paraId="421815F6" w14:textId="77777777" w:rsidR="000A3B2B" w:rsidRDefault="000A3B2B" w:rsidP="009E5295">
      <w:pPr>
        <w:autoSpaceDE w:val="0"/>
        <w:autoSpaceDN w:val="0"/>
        <w:adjustRightInd w:val="0"/>
        <w:spacing w:after="0" w:line="240" w:lineRule="auto"/>
        <w:jc w:val="both"/>
        <w:rPr>
          <w:rFonts w:ascii="Arial" w:hAnsi="Arial" w:cs="Arial"/>
          <w:color w:val="000000"/>
          <w:sz w:val="18"/>
          <w:szCs w:val="18"/>
          <w:lang w:val="x-none"/>
        </w:rPr>
      </w:pPr>
      <w:r>
        <w:rPr>
          <w:rFonts w:ascii="Arial" w:hAnsi="Arial" w:cs="Arial"/>
          <w:color w:val="000000"/>
          <w:sz w:val="18"/>
          <w:szCs w:val="18"/>
          <w:lang w:val="x-none"/>
        </w:rPr>
        <w:t>nadzoru.</w:t>
      </w:r>
    </w:p>
    <w:p w14:paraId="310F5D4D"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357B3222"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6.4.</w:t>
      </w:r>
      <w:r>
        <w:rPr>
          <w:rFonts w:ascii="Arial" w:hAnsi="Arial" w:cs="Arial"/>
          <w:b/>
          <w:bCs/>
          <w:color w:val="000000"/>
          <w:sz w:val="18"/>
          <w:szCs w:val="18"/>
          <w:lang w:val="x-none"/>
        </w:rPr>
        <w:tab/>
        <w:t>Badania w czasie odbioru robót</w:t>
      </w:r>
    </w:p>
    <w:p w14:paraId="523F100D"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Badania w czasie odbioru robót przeprowadza się celem oceny czy spełnione zostały wszystkie wymagania dotyczące montażu okien i/lub drzwi balkonowych, w szczególności w zakresie:</w:t>
      </w:r>
    </w:p>
    <w:p w14:paraId="5857AA6C"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zgodności z dokumentacją projektową  oraz niniejszą specyfikacją techniczną,</w:t>
      </w:r>
    </w:p>
    <w:p w14:paraId="3631DA0F"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jakości zastosowanych materiałów i wyrobów,</w:t>
      </w:r>
    </w:p>
    <w:p w14:paraId="31874FB6"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prawidłowości oceny robót poprzedzających wykonanie montażu,</w:t>
      </w:r>
    </w:p>
    <w:p w14:paraId="2F09BFED"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jakości robót montażowych.</w:t>
      </w:r>
    </w:p>
    <w:p w14:paraId="2414B387" w14:textId="77777777" w:rsidR="000A3B2B" w:rsidRDefault="000A3B2B" w:rsidP="009E5295">
      <w:pPr>
        <w:autoSpaceDE w:val="0"/>
        <w:autoSpaceDN w:val="0"/>
        <w:adjustRightInd w:val="0"/>
        <w:spacing w:after="0" w:line="240" w:lineRule="auto"/>
        <w:ind w:firstLine="285"/>
        <w:rPr>
          <w:rFonts w:ascii="Arial" w:hAnsi="Arial" w:cs="Arial"/>
          <w:color w:val="000000"/>
          <w:sz w:val="18"/>
          <w:szCs w:val="18"/>
          <w:lang w:val="x-none"/>
        </w:rPr>
      </w:pPr>
      <w:r>
        <w:rPr>
          <w:rFonts w:ascii="Arial" w:hAnsi="Arial" w:cs="Arial"/>
          <w:color w:val="000000"/>
          <w:sz w:val="18"/>
          <w:szCs w:val="18"/>
          <w:lang w:val="x-none"/>
        </w:rPr>
        <w:t xml:space="preserve">Przy badaniach w czasie odbioru robót należy wykorzystywać wyniki badań dokonanych przed przystąpieniem </w:t>
      </w:r>
    </w:p>
    <w:tbl>
      <w:tblPr>
        <w:tblW w:w="8208" w:type="dxa"/>
        <w:tblCellSpacing w:w="0" w:type="dxa"/>
        <w:tblLayout w:type="fixed"/>
        <w:tblCellMar>
          <w:left w:w="0" w:type="dxa"/>
          <w:right w:w="0" w:type="dxa"/>
        </w:tblCellMar>
        <w:tblLook w:val="0000" w:firstRow="0" w:lastRow="0" w:firstColumn="0" w:lastColumn="0" w:noHBand="0" w:noVBand="0"/>
      </w:tblPr>
      <w:tblGrid>
        <w:gridCol w:w="5745"/>
        <w:gridCol w:w="2463"/>
      </w:tblGrid>
      <w:tr w:rsidR="000A3B2B" w14:paraId="38C46BFE" w14:textId="77777777" w:rsidTr="00AB49C5">
        <w:trPr>
          <w:trHeight w:val="60"/>
          <w:tblCellSpacing w:w="0" w:type="dxa"/>
        </w:trPr>
        <w:tc>
          <w:tcPr>
            <w:tcW w:w="5779" w:type="dxa"/>
            <w:tcBorders>
              <w:top w:val="nil"/>
              <w:left w:val="nil"/>
              <w:bottom w:val="nil"/>
              <w:right w:val="single" w:sz="6" w:space="0" w:color="auto"/>
            </w:tcBorders>
          </w:tcPr>
          <w:p w14:paraId="49380002" w14:textId="77777777" w:rsidR="000A3B2B" w:rsidRDefault="000A3B2B">
            <w:pPr>
              <w:autoSpaceDE w:val="0"/>
              <w:autoSpaceDN w:val="0"/>
              <w:adjustRightInd w:val="0"/>
              <w:spacing w:after="0" w:line="240" w:lineRule="auto"/>
              <w:jc w:val="both"/>
              <w:rPr>
                <w:rFonts w:ascii="Arial" w:hAnsi="Arial" w:cs="Arial"/>
                <w:color w:val="000000"/>
                <w:sz w:val="18"/>
                <w:szCs w:val="18"/>
                <w:lang w:val="x-none"/>
              </w:rPr>
            </w:pPr>
            <w:r>
              <w:rPr>
                <w:rFonts w:ascii="Arial" w:hAnsi="Arial" w:cs="Arial"/>
                <w:color w:val="000000"/>
                <w:sz w:val="18"/>
                <w:szCs w:val="18"/>
                <w:lang w:val="x-none"/>
              </w:rPr>
              <w:t>do robót i w trakcie ich wykonywania oraz zapisy w dzienniku budowy</w:t>
            </w:r>
          </w:p>
        </w:tc>
        <w:tc>
          <w:tcPr>
            <w:tcW w:w="2477" w:type="dxa"/>
            <w:tcBorders>
              <w:top w:val="nil"/>
              <w:left w:val="single" w:sz="6" w:space="0" w:color="000000"/>
              <w:bottom w:val="nil"/>
              <w:right w:val="nil"/>
            </w:tcBorders>
          </w:tcPr>
          <w:p w14:paraId="04652EE3" w14:textId="77777777" w:rsidR="000A3B2B" w:rsidRDefault="000A3B2B">
            <w:pPr>
              <w:autoSpaceDE w:val="0"/>
              <w:autoSpaceDN w:val="0"/>
              <w:adjustRightInd w:val="0"/>
              <w:spacing w:after="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dotyczące wykonanych </w:t>
            </w:r>
          </w:p>
        </w:tc>
      </w:tr>
    </w:tbl>
    <w:p w14:paraId="626FCB95" w14:textId="77777777" w:rsidR="000A3B2B" w:rsidRDefault="000A3B2B" w:rsidP="009E5295">
      <w:pPr>
        <w:autoSpaceDE w:val="0"/>
        <w:autoSpaceDN w:val="0"/>
        <w:adjustRightInd w:val="0"/>
        <w:spacing w:after="0" w:line="240" w:lineRule="auto"/>
        <w:jc w:val="both"/>
        <w:rPr>
          <w:rFonts w:ascii="Arial" w:hAnsi="Arial" w:cs="Arial"/>
          <w:color w:val="000000"/>
          <w:sz w:val="18"/>
          <w:szCs w:val="18"/>
          <w:lang w:val="x-none"/>
        </w:rPr>
      </w:pPr>
      <w:r>
        <w:rPr>
          <w:rFonts w:ascii="Arial" w:hAnsi="Arial" w:cs="Arial"/>
          <w:color w:val="000000"/>
          <w:sz w:val="18"/>
          <w:szCs w:val="18"/>
          <w:lang w:val="x-none"/>
        </w:rPr>
        <w:t>robót.</w:t>
      </w:r>
    </w:p>
    <w:p w14:paraId="75E20AF0"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Badania sprawdzające jakość wbudowania okien i/lub drzwi balkonowych, według pkt. 10.2. Warunków technicznych wykonania i odbioru robót budowlanych. Część B – Roboty wykończeniowe, zeszyt 6 „Montaż okien i drzwi balkonowych”, wydanie ITB – 2016 rok:</w:t>
      </w:r>
    </w:p>
    <w:p w14:paraId="7BCA8408"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a)</w:t>
      </w:r>
      <w:r>
        <w:rPr>
          <w:rFonts w:ascii="Arial" w:hAnsi="Arial" w:cs="Arial"/>
          <w:color w:val="000000"/>
          <w:sz w:val="18"/>
          <w:szCs w:val="18"/>
          <w:lang w:val="x-none"/>
        </w:rPr>
        <w:tab/>
      </w:r>
      <w:r>
        <w:rPr>
          <w:rFonts w:ascii="Arial" w:hAnsi="Arial" w:cs="Arial"/>
          <w:b/>
          <w:bCs/>
          <w:color w:val="000000"/>
          <w:sz w:val="18"/>
          <w:szCs w:val="18"/>
          <w:lang w:val="x-none"/>
        </w:rPr>
        <w:t xml:space="preserve">sprawdzenie zgodności z dokumentacją </w:t>
      </w:r>
      <w:r>
        <w:rPr>
          <w:rFonts w:ascii="Arial" w:hAnsi="Arial" w:cs="Arial"/>
          <w:color w:val="000000"/>
          <w:sz w:val="18"/>
          <w:szCs w:val="18"/>
          <w:lang w:val="x-none"/>
        </w:rPr>
        <w:t>– powinno być przeprowadzone przez porównanie wykonanych robót z dokumentacją projektową i niniejszą specyfikacją techniczną wraz ze zmianami naniesionymi w dokumentacji powykonawczej; sprawdzenia zgodności dokonuje się na podstawie oględzin zewnętrznych oraz pomiarów długości i wysokości,</w:t>
      </w:r>
    </w:p>
    <w:p w14:paraId="23382803"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b)</w:t>
      </w:r>
      <w:r>
        <w:rPr>
          <w:rFonts w:ascii="Arial" w:hAnsi="Arial" w:cs="Arial"/>
          <w:color w:val="000000"/>
          <w:sz w:val="18"/>
          <w:szCs w:val="18"/>
          <w:lang w:val="x-none"/>
        </w:rPr>
        <w:tab/>
      </w:r>
      <w:r>
        <w:rPr>
          <w:rFonts w:ascii="Arial" w:hAnsi="Arial" w:cs="Arial"/>
          <w:b/>
          <w:bCs/>
          <w:color w:val="000000"/>
          <w:sz w:val="18"/>
          <w:szCs w:val="18"/>
          <w:lang w:val="x-none"/>
        </w:rPr>
        <w:t>sprawdzenie odchylania od pionu i poziomu</w:t>
      </w:r>
      <w:r>
        <w:rPr>
          <w:rFonts w:ascii="Arial" w:hAnsi="Arial" w:cs="Arial"/>
          <w:color w:val="000000"/>
          <w:sz w:val="18"/>
          <w:szCs w:val="18"/>
          <w:lang w:val="x-none"/>
        </w:rPr>
        <w:t xml:space="preserve"> – odchylenie od pionu i poziomu przy długości elementu do 3 m nie powinno przekraczać 1,5 mm/m i nie więcej niż 3 mm łącznie,</w:t>
      </w:r>
    </w:p>
    <w:p w14:paraId="3C63AD5E"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c)</w:t>
      </w:r>
      <w:r>
        <w:rPr>
          <w:rFonts w:ascii="Arial" w:hAnsi="Arial" w:cs="Arial"/>
          <w:color w:val="000000"/>
          <w:sz w:val="18"/>
          <w:szCs w:val="18"/>
          <w:lang w:val="x-none"/>
        </w:rPr>
        <w:tab/>
      </w:r>
      <w:r>
        <w:rPr>
          <w:rFonts w:ascii="Arial" w:hAnsi="Arial" w:cs="Arial"/>
          <w:b/>
          <w:bCs/>
          <w:color w:val="000000"/>
          <w:sz w:val="18"/>
          <w:szCs w:val="18"/>
          <w:lang w:val="x-none"/>
        </w:rPr>
        <w:t xml:space="preserve">sprawdzenie różnicy długości przekątnych ościeżnicy i skrzydeł </w:t>
      </w:r>
      <w:r>
        <w:rPr>
          <w:rFonts w:ascii="Arial" w:hAnsi="Arial" w:cs="Arial"/>
          <w:color w:val="000000"/>
          <w:sz w:val="18"/>
          <w:szCs w:val="18"/>
          <w:lang w:val="x-none"/>
        </w:rPr>
        <w:t>– różnica długości przekątnych nie powinna być większa od 2 mm przy długości elementów do 2 m i 3 mm przy długości powyżej 2 m,</w:t>
      </w:r>
    </w:p>
    <w:p w14:paraId="56FEC46A"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d)</w:t>
      </w:r>
      <w:r>
        <w:rPr>
          <w:rFonts w:ascii="Arial" w:hAnsi="Arial" w:cs="Arial"/>
          <w:b/>
          <w:bCs/>
          <w:color w:val="000000"/>
          <w:sz w:val="18"/>
          <w:szCs w:val="18"/>
          <w:lang w:val="x-none"/>
        </w:rPr>
        <w:tab/>
        <w:t>sprawdzenie prawidłowości otwierania oraz zamykania</w:t>
      </w:r>
      <w:r>
        <w:rPr>
          <w:rFonts w:ascii="Arial" w:hAnsi="Arial" w:cs="Arial"/>
          <w:color w:val="000000"/>
          <w:sz w:val="18"/>
          <w:szCs w:val="18"/>
          <w:lang w:val="x-none"/>
        </w:rPr>
        <w:t xml:space="preserve"> – otwieranie oraz zamykanie skrzydeł powinno odbywać się płynnie i bez </w:t>
      </w:r>
      <w:proofErr w:type="spellStart"/>
      <w:r>
        <w:rPr>
          <w:rFonts w:ascii="Arial" w:hAnsi="Arial" w:cs="Arial"/>
          <w:color w:val="000000"/>
          <w:sz w:val="18"/>
          <w:szCs w:val="18"/>
          <w:lang w:val="x-none"/>
        </w:rPr>
        <w:t>zahamowań</w:t>
      </w:r>
      <w:proofErr w:type="spellEnd"/>
      <w:r>
        <w:rPr>
          <w:rFonts w:ascii="Arial" w:hAnsi="Arial" w:cs="Arial"/>
          <w:color w:val="000000"/>
          <w:sz w:val="18"/>
          <w:szCs w:val="18"/>
          <w:lang w:val="x-none"/>
        </w:rPr>
        <w:t>, otwarte skrzydło nie powinno pod własnym ciężarem samoczynnie zamykać się lub otwierać,</w:t>
      </w:r>
    </w:p>
    <w:p w14:paraId="06C20B7A"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e)</w:t>
      </w:r>
      <w:r>
        <w:rPr>
          <w:rFonts w:ascii="Arial" w:hAnsi="Arial" w:cs="Arial"/>
          <w:color w:val="000000"/>
          <w:sz w:val="18"/>
          <w:szCs w:val="18"/>
          <w:lang w:val="x-none"/>
        </w:rPr>
        <w:tab/>
      </w:r>
      <w:r>
        <w:rPr>
          <w:rFonts w:ascii="Arial" w:hAnsi="Arial" w:cs="Arial"/>
          <w:b/>
          <w:bCs/>
          <w:color w:val="000000"/>
          <w:sz w:val="18"/>
          <w:szCs w:val="18"/>
          <w:lang w:val="x-none"/>
        </w:rPr>
        <w:t>sprawdzenie szczelności zamontowanego okna/drzwi balkonowych i prawidłowości regulacji okuć</w:t>
      </w:r>
      <w:r>
        <w:rPr>
          <w:rFonts w:ascii="Arial" w:hAnsi="Arial" w:cs="Arial"/>
          <w:color w:val="000000"/>
          <w:sz w:val="18"/>
          <w:szCs w:val="18"/>
          <w:lang w:val="x-none"/>
        </w:rPr>
        <w:t xml:space="preserve"> – zamknięte skrzydło powinno przylegać równomiernie do ościeżnicy zapewniając szczelność między tymi elementami.</w:t>
      </w:r>
    </w:p>
    <w:p w14:paraId="5D3EE930"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f)</w:t>
      </w:r>
      <w:r>
        <w:rPr>
          <w:rFonts w:ascii="Arial" w:hAnsi="Arial" w:cs="Arial"/>
          <w:color w:val="000000"/>
          <w:sz w:val="18"/>
          <w:szCs w:val="18"/>
          <w:lang w:val="x-none"/>
        </w:rPr>
        <w:tab/>
      </w:r>
      <w:r>
        <w:rPr>
          <w:rFonts w:ascii="Arial" w:hAnsi="Arial" w:cs="Arial"/>
          <w:b/>
          <w:bCs/>
          <w:color w:val="000000"/>
          <w:sz w:val="18"/>
          <w:szCs w:val="18"/>
          <w:lang w:val="x-none"/>
        </w:rPr>
        <w:t xml:space="preserve">sprawdzenie ewentualnego odkształcenia ram </w:t>
      </w:r>
      <w:r>
        <w:rPr>
          <w:rFonts w:ascii="Arial" w:hAnsi="Arial" w:cs="Arial"/>
          <w:color w:val="000000"/>
          <w:sz w:val="18"/>
          <w:szCs w:val="18"/>
          <w:lang w:val="x-none"/>
        </w:rPr>
        <w:t>– odkształcenia, w tym zmiany kształtu i wymiarów, nie powinny w istotny sposób pogorszyć sprawności działania (funkcjonalności) okien/drzwi balkonowych oraz powodować uszkodzeń ich elementów (np. wyrwania lub uszkodzenia okuć, uszczelek i ram, korozji bądź wypinania okuć). Wielkość odkształceń ram nie powinna przekraczać:</w:t>
      </w:r>
    </w:p>
    <w:p w14:paraId="5184B42C" w14:textId="77777777" w:rsidR="000A3B2B" w:rsidRDefault="000A3B2B" w:rsidP="009E5295">
      <w:pPr>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t>– okna z PVC           1,5 mm/1 m,</w:t>
      </w:r>
    </w:p>
    <w:p w14:paraId="6B00DEBD" w14:textId="77777777" w:rsidR="000A3B2B" w:rsidRDefault="000A3B2B" w:rsidP="009E5295">
      <w:pPr>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t>– okna drewniane     1,0 mm/1 m,</w:t>
      </w:r>
    </w:p>
    <w:p w14:paraId="1B6DE1F0" w14:textId="77777777" w:rsidR="000A3B2B" w:rsidRDefault="000A3B2B" w:rsidP="009E5295">
      <w:pPr>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t>– okna aluminiowe    1,0 mm/1 m.</w:t>
      </w:r>
    </w:p>
    <w:p w14:paraId="61816F9B"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Odkształcenia należy mierzyć na zamkniętych skrzydłach.</w:t>
      </w:r>
    </w:p>
    <w:p w14:paraId="3DA368B9" w14:textId="77777777" w:rsidR="000A3B2B" w:rsidRDefault="000A3B2B" w:rsidP="009E5295">
      <w:pPr>
        <w:autoSpaceDE w:val="0"/>
        <w:autoSpaceDN w:val="0"/>
        <w:adjustRightInd w:val="0"/>
        <w:spacing w:after="0" w:line="240" w:lineRule="auto"/>
        <w:ind w:firstLine="285"/>
        <w:rPr>
          <w:rFonts w:ascii="Arial" w:hAnsi="Arial" w:cs="Arial"/>
          <w:color w:val="000000"/>
          <w:sz w:val="18"/>
          <w:szCs w:val="18"/>
          <w:lang w:val="x-none"/>
        </w:rPr>
      </w:pPr>
      <w:r>
        <w:rPr>
          <w:rFonts w:ascii="Arial" w:hAnsi="Arial" w:cs="Arial"/>
          <w:color w:val="000000"/>
          <w:sz w:val="18"/>
          <w:szCs w:val="18"/>
          <w:lang w:val="x-none"/>
        </w:rPr>
        <w:t xml:space="preserve">Wyniki badań powinny być porównane z wymaganiami dokumentacji projektowej oraz niniejszej specyfikacji </w:t>
      </w:r>
    </w:p>
    <w:tbl>
      <w:tblPr>
        <w:tblW w:w="9015" w:type="dxa"/>
        <w:tblCellSpacing w:w="0" w:type="dxa"/>
        <w:tblLayout w:type="fixed"/>
        <w:tblCellMar>
          <w:left w:w="0" w:type="dxa"/>
          <w:right w:w="0" w:type="dxa"/>
        </w:tblCellMar>
        <w:tblLook w:val="0000" w:firstRow="0" w:lastRow="0" w:firstColumn="0" w:lastColumn="0" w:noHBand="0" w:noVBand="0"/>
      </w:tblPr>
      <w:tblGrid>
        <w:gridCol w:w="7184"/>
        <w:gridCol w:w="1831"/>
      </w:tblGrid>
      <w:tr w:rsidR="000A3B2B" w14:paraId="4488839A" w14:textId="77777777">
        <w:trPr>
          <w:trHeight w:val="60"/>
          <w:tblCellSpacing w:w="0" w:type="dxa"/>
        </w:trPr>
        <w:tc>
          <w:tcPr>
            <w:tcW w:w="7178" w:type="dxa"/>
            <w:tcBorders>
              <w:top w:val="nil"/>
              <w:left w:val="nil"/>
              <w:bottom w:val="nil"/>
              <w:right w:val="single" w:sz="6" w:space="0" w:color="auto"/>
            </w:tcBorders>
          </w:tcPr>
          <w:p w14:paraId="40F54BC3" w14:textId="77777777" w:rsidR="000A3B2B" w:rsidRDefault="000A3B2B">
            <w:pPr>
              <w:autoSpaceDE w:val="0"/>
              <w:autoSpaceDN w:val="0"/>
              <w:adjustRightInd w:val="0"/>
              <w:spacing w:after="0" w:line="240" w:lineRule="auto"/>
              <w:jc w:val="both"/>
              <w:rPr>
                <w:rFonts w:ascii="Arial" w:hAnsi="Arial" w:cs="Arial"/>
                <w:color w:val="000000"/>
                <w:sz w:val="18"/>
                <w:szCs w:val="18"/>
                <w:lang w:val="x-none"/>
              </w:rPr>
            </w:pPr>
            <w:r>
              <w:rPr>
                <w:rFonts w:ascii="Arial" w:hAnsi="Arial" w:cs="Arial"/>
                <w:color w:val="000000"/>
                <w:sz w:val="18"/>
                <w:szCs w:val="18"/>
                <w:lang w:val="x-none"/>
              </w:rPr>
              <w:t>technicznej,  w tym wymaganiami podanymi w pkt. 5., oraz opisane w dzienniku budowy</w:t>
            </w:r>
          </w:p>
        </w:tc>
        <w:tc>
          <w:tcPr>
            <w:tcW w:w="1830" w:type="dxa"/>
            <w:tcBorders>
              <w:top w:val="single" w:sz="6" w:space="0" w:color="000000"/>
              <w:left w:val="single" w:sz="6" w:space="0" w:color="000000"/>
              <w:bottom w:val="single" w:sz="6" w:space="0" w:color="000000"/>
              <w:right w:val="single" w:sz="6" w:space="0" w:color="000000"/>
            </w:tcBorders>
          </w:tcPr>
          <w:p w14:paraId="1D68476B" w14:textId="77777777" w:rsidR="000A3B2B" w:rsidRDefault="000A3B2B">
            <w:pPr>
              <w:autoSpaceDE w:val="0"/>
              <w:autoSpaceDN w:val="0"/>
              <w:adjustRightInd w:val="0"/>
              <w:spacing w:after="0" w:line="240" w:lineRule="auto"/>
              <w:jc w:val="both"/>
              <w:rPr>
                <w:rFonts w:ascii="Arial" w:hAnsi="Arial" w:cs="Arial"/>
                <w:i/>
                <w:iCs/>
                <w:color w:val="000000"/>
                <w:sz w:val="18"/>
                <w:szCs w:val="18"/>
                <w:lang w:val="x-none"/>
              </w:rPr>
            </w:pPr>
            <w:r>
              <w:rPr>
                <w:rFonts w:ascii="Arial" w:hAnsi="Arial" w:cs="Arial"/>
                <w:i/>
                <w:iCs/>
                <w:color w:val="000000"/>
                <w:sz w:val="18"/>
                <w:szCs w:val="18"/>
                <w:lang w:val="x-none"/>
              </w:rPr>
              <w:t>o ile jest prowadzony</w:t>
            </w:r>
          </w:p>
        </w:tc>
      </w:tr>
    </w:tbl>
    <w:p w14:paraId="442D7978" w14:textId="77777777" w:rsidR="000A3B2B" w:rsidRDefault="000A3B2B" w:rsidP="009E5295">
      <w:pPr>
        <w:autoSpaceDE w:val="0"/>
        <w:autoSpaceDN w:val="0"/>
        <w:adjustRightInd w:val="0"/>
        <w:spacing w:after="0" w:line="240" w:lineRule="auto"/>
        <w:jc w:val="both"/>
        <w:rPr>
          <w:rFonts w:ascii="Arial" w:hAnsi="Arial" w:cs="Arial"/>
          <w:color w:val="000000"/>
          <w:sz w:val="18"/>
          <w:szCs w:val="18"/>
          <w:lang w:val="x-none"/>
        </w:rPr>
      </w:pPr>
      <w:r>
        <w:rPr>
          <w:rFonts w:ascii="Arial" w:hAnsi="Arial" w:cs="Arial"/>
          <w:color w:val="000000"/>
          <w:sz w:val="18"/>
          <w:szCs w:val="18"/>
          <w:lang w:val="x-none"/>
        </w:rPr>
        <w:t>i protokole podpisanym przez przedstawicieli inwestora (zamawiającego) oraz wykonawcy.</w:t>
      </w:r>
    </w:p>
    <w:p w14:paraId="1F99D839" w14:textId="77777777" w:rsidR="000A3B2B" w:rsidRDefault="000A3B2B" w:rsidP="009E5295">
      <w:pPr>
        <w:autoSpaceDE w:val="0"/>
        <w:autoSpaceDN w:val="0"/>
        <w:adjustRightInd w:val="0"/>
        <w:spacing w:after="0" w:line="240" w:lineRule="auto"/>
        <w:jc w:val="both"/>
        <w:rPr>
          <w:rFonts w:ascii="Arial" w:hAnsi="Arial" w:cs="Arial"/>
          <w:color w:val="000000"/>
          <w:sz w:val="18"/>
          <w:szCs w:val="18"/>
          <w:lang w:val="x-none"/>
        </w:rPr>
      </w:pPr>
    </w:p>
    <w:p w14:paraId="6C08BE33" w14:textId="77777777" w:rsidR="000A3B2B" w:rsidRDefault="000A3B2B" w:rsidP="009E5295">
      <w:pPr>
        <w:autoSpaceDE w:val="0"/>
        <w:autoSpaceDN w:val="0"/>
        <w:adjustRightInd w:val="0"/>
        <w:spacing w:before="225" w:after="12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7.</w:t>
      </w:r>
      <w:r>
        <w:rPr>
          <w:rFonts w:ascii="Arial" w:hAnsi="Arial" w:cs="Arial"/>
          <w:b/>
          <w:bCs/>
          <w:color w:val="000000"/>
          <w:sz w:val="18"/>
          <w:szCs w:val="18"/>
          <w:lang w:val="x-none"/>
        </w:rPr>
        <w:tab/>
        <w:t>WYMAGANIA DOTYCZĄCE PRZEDMIARU I OBMIARU ROBÓT</w:t>
      </w:r>
    </w:p>
    <w:p w14:paraId="26758CE9"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7.1.</w:t>
      </w:r>
      <w:r>
        <w:rPr>
          <w:rFonts w:ascii="Arial" w:hAnsi="Arial" w:cs="Arial"/>
          <w:b/>
          <w:bCs/>
          <w:color w:val="000000"/>
          <w:sz w:val="18"/>
          <w:szCs w:val="18"/>
          <w:lang w:val="x-none"/>
        </w:rPr>
        <w:tab/>
        <w:t>Ogólne zasady przedmiaru i obmiaru podano w ST „Wymagania ogólne” Kod CPV 45000000-7, pkt 7</w:t>
      </w:r>
    </w:p>
    <w:p w14:paraId="06AB8D28"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7E52E815"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7.2.</w:t>
      </w:r>
      <w:r>
        <w:rPr>
          <w:rFonts w:ascii="Arial" w:hAnsi="Arial" w:cs="Arial"/>
          <w:b/>
          <w:bCs/>
          <w:color w:val="000000"/>
          <w:sz w:val="18"/>
          <w:szCs w:val="18"/>
          <w:lang w:val="x-none"/>
        </w:rPr>
        <w:tab/>
        <w:t>Szczegółowe zasady obmiaru robót montażowych okien i drzwi balkonowych</w:t>
      </w:r>
    </w:p>
    <w:p w14:paraId="4D9E6271"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Powierzchnię okien i drzwi balkonowych oblicza się w metrach kwadratowych:</w:t>
      </w:r>
    </w:p>
    <w:p w14:paraId="503369C8"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 świetle ościeżnic, a w przypadku braku ościeżnic w świetle zakrywanych otworów.</w:t>
      </w:r>
    </w:p>
    <w:p w14:paraId="5F6E0A9A"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1B9993D5" w14:textId="77777777" w:rsidR="000A3B2B" w:rsidRDefault="000A3B2B" w:rsidP="009E5295">
      <w:pPr>
        <w:autoSpaceDE w:val="0"/>
        <w:autoSpaceDN w:val="0"/>
        <w:adjustRightInd w:val="0"/>
        <w:spacing w:before="225" w:after="12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8.</w:t>
      </w:r>
      <w:r>
        <w:rPr>
          <w:rFonts w:ascii="Arial" w:hAnsi="Arial" w:cs="Arial"/>
          <w:b/>
          <w:bCs/>
          <w:color w:val="000000"/>
          <w:sz w:val="18"/>
          <w:szCs w:val="18"/>
          <w:lang w:val="x-none"/>
        </w:rPr>
        <w:tab/>
        <w:t>SPOSÓB ODBIORU ROBÓT</w:t>
      </w:r>
    </w:p>
    <w:p w14:paraId="6DC91CB5"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8.1.</w:t>
      </w:r>
      <w:r>
        <w:rPr>
          <w:rFonts w:ascii="Arial" w:hAnsi="Arial" w:cs="Arial"/>
          <w:b/>
          <w:bCs/>
          <w:color w:val="000000"/>
          <w:sz w:val="18"/>
          <w:szCs w:val="18"/>
          <w:lang w:val="x-none"/>
        </w:rPr>
        <w:tab/>
        <w:t>Ogólne zasady odbioru robót podano w ST „Wymagania ogólne” Kod CPV 45000000-7, pkt 8</w:t>
      </w:r>
    </w:p>
    <w:p w14:paraId="575F2CC9"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7945FD8C"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8.2.</w:t>
      </w:r>
      <w:r>
        <w:rPr>
          <w:rFonts w:ascii="Arial" w:hAnsi="Arial" w:cs="Arial"/>
          <w:b/>
          <w:bCs/>
          <w:color w:val="000000"/>
          <w:sz w:val="18"/>
          <w:szCs w:val="18"/>
          <w:lang w:val="x-none"/>
        </w:rPr>
        <w:tab/>
        <w:t>Odbiór robót zanikających i ulegających zakryciu</w:t>
      </w:r>
    </w:p>
    <w:p w14:paraId="0D1CDE98"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Przy wbudowywaniu okien i/lub drzwi balkonowych elementami ulegającymi zakryciu są mocowanie ościeżnicy na całym obwodzie oraz izolacja termiczna i uszczelnienie (zewnętrzne, wewnętrzne) szczeliny między oknem a ościeżem. Odbiór tych prac musi być dokonany w trakcie montażu okien i drzwi balkonowych.</w:t>
      </w:r>
    </w:p>
    <w:p w14:paraId="27943514"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 trakcie odbioru należy przeprowadzić badania wymienione w pkt. 6.3. niniejszej specyfikacji, a wyniki tych badań porównać z wymaganiami określonymi w pkt. 5.3. i 5.5. niniejszej specyfikacji.</w:t>
      </w:r>
    </w:p>
    <w:p w14:paraId="7BC4FB28"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Jeżeli wszystkie pomiary i badania dały wynik pozytywny można uznać zamocowanie, uszczelnienie i izolację okna lub drzwi balkonowych za wykonane prawidłowo, tj. zgodnie z dokumentacją projektową oraz niniejszą specyfikacją techniczną  i zezwolić na przystąpienie do dalszych prac (obsadzenie parapetów zewnętrznych i wewnętrznych, otynkowanie ościeży, montaż listew maskujących).</w:t>
      </w:r>
    </w:p>
    <w:p w14:paraId="4EE424E4"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Jeżeli chociaż jeden wynik badania jest negatywny prace ulegające zakryciu nie powinny być odebrane. W takim przypadku należy ustalić zakres prac i rodzaje materiałów koniecznych do usunięcia nieprawidłowości. Po wykonaniu ustalonego zakresu prac należy ponownie przeprowadzić badania.</w:t>
      </w:r>
    </w:p>
    <w:p w14:paraId="2168264E" w14:textId="77777777" w:rsidR="000A3B2B" w:rsidRDefault="000A3B2B" w:rsidP="009E5295">
      <w:pPr>
        <w:autoSpaceDE w:val="0"/>
        <w:autoSpaceDN w:val="0"/>
        <w:adjustRightInd w:val="0"/>
        <w:spacing w:after="0" w:line="240" w:lineRule="auto"/>
        <w:ind w:firstLine="285"/>
        <w:rPr>
          <w:rFonts w:ascii="Arial" w:hAnsi="Arial" w:cs="Arial"/>
          <w:color w:val="000000"/>
          <w:sz w:val="18"/>
          <w:szCs w:val="18"/>
          <w:lang w:val="x-none"/>
        </w:rPr>
      </w:pPr>
      <w:r>
        <w:rPr>
          <w:rFonts w:ascii="Arial" w:hAnsi="Arial" w:cs="Arial"/>
          <w:color w:val="000000"/>
          <w:sz w:val="18"/>
          <w:szCs w:val="18"/>
          <w:lang w:val="x-none"/>
        </w:rPr>
        <w:t>Wszystkie ustalenia związane z dokonanym odbiorem robót ulegających zakryciu należy zapisać w dzienniku</w:t>
      </w:r>
    </w:p>
    <w:tbl>
      <w:tblPr>
        <w:tblW w:w="0" w:type="auto"/>
        <w:tblCellSpacing w:w="0" w:type="dxa"/>
        <w:tblLayout w:type="fixed"/>
        <w:tblCellMar>
          <w:left w:w="0" w:type="dxa"/>
          <w:right w:w="0" w:type="dxa"/>
        </w:tblCellMar>
        <w:tblLook w:val="0000" w:firstRow="0" w:lastRow="0" w:firstColumn="0" w:lastColumn="0" w:noHBand="0" w:noVBand="0"/>
      </w:tblPr>
      <w:tblGrid>
        <w:gridCol w:w="712"/>
        <w:gridCol w:w="6660"/>
      </w:tblGrid>
      <w:tr w:rsidR="000A3B2B" w14:paraId="01AD53D9" w14:textId="77777777">
        <w:trPr>
          <w:trHeight w:val="60"/>
          <w:tblCellSpacing w:w="0" w:type="dxa"/>
        </w:trPr>
        <w:tc>
          <w:tcPr>
            <w:tcW w:w="712" w:type="dxa"/>
            <w:tcBorders>
              <w:top w:val="nil"/>
              <w:left w:val="nil"/>
              <w:bottom w:val="nil"/>
              <w:right w:val="single" w:sz="6" w:space="0" w:color="auto"/>
            </w:tcBorders>
          </w:tcPr>
          <w:p w14:paraId="33925242" w14:textId="77777777" w:rsidR="000A3B2B" w:rsidRDefault="000A3B2B">
            <w:pPr>
              <w:autoSpaceDE w:val="0"/>
              <w:autoSpaceDN w:val="0"/>
              <w:adjustRightInd w:val="0"/>
              <w:spacing w:after="0" w:line="240" w:lineRule="auto"/>
              <w:jc w:val="both"/>
              <w:rPr>
                <w:rFonts w:ascii="Arial" w:hAnsi="Arial" w:cs="Arial"/>
                <w:color w:val="000000"/>
                <w:sz w:val="18"/>
                <w:szCs w:val="18"/>
                <w:lang w:val="x-none"/>
              </w:rPr>
            </w:pPr>
            <w:r>
              <w:rPr>
                <w:rFonts w:ascii="Arial" w:hAnsi="Arial" w:cs="Arial"/>
                <w:color w:val="000000"/>
                <w:sz w:val="18"/>
                <w:szCs w:val="18"/>
                <w:lang w:val="x-none"/>
              </w:rPr>
              <w:t>budowy</w:t>
            </w:r>
          </w:p>
        </w:tc>
        <w:tc>
          <w:tcPr>
            <w:tcW w:w="6660" w:type="dxa"/>
            <w:tcBorders>
              <w:top w:val="nil"/>
              <w:left w:val="single" w:sz="6" w:space="0" w:color="000000"/>
              <w:bottom w:val="nil"/>
              <w:right w:val="nil"/>
            </w:tcBorders>
          </w:tcPr>
          <w:p w14:paraId="0F6A723D" w14:textId="77777777" w:rsidR="000A3B2B" w:rsidRDefault="000A3B2B">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lub protokole podpisanym przez przedstawicieli inwestora (inspektor nadzoru)</w:t>
            </w:r>
          </w:p>
        </w:tc>
      </w:tr>
    </w:tbl>
    <w:p w14:paraId="71765C75" w14:textId="77777777" w:rsidR="000A3B2B" w:rsidRDefault="000A3B2B" w:rsidP="009E5295">
      <w:pPr>
        <w:autoSpaceDE w:val="0"/>
        <w:autoSpaceDN w:val="0"/>
        <w:adjustRightInd w:val="0"/>
        <w:spacing w:after="0" w:line="240" w:lineRule="auto"/>
        <w:jc w:val="both"/>
        <w:rPr>
          <w:rFonts w:ascii="Arial" w:hAnsi="Arial" w:cs="Arial"/>
          <w:color w:val="000000"/>
          <w:sz w:val="18"/>
          <w:szCs w:val="18"/>
          <w:lang w:val="x-none"/>
        </w:rPr>
      </w:pPr>
      <w:r>
        <w:rPr>
          <w:rFonts w:ascii="Arial" w:hAnsi="Arial" w:cs="Arial"/>
          <w:color w:val="000000"/>
          <w:sz w:val="18"/>
          <w:szCs w:val="18"/>
          <w:lang w:val="x-none"/>
        </w:rPr>
        <w:t>i wykonawcy (kierownik budowy).</w:t>
      </w:r>
    </w:p>
    <w:p w14:paraId="64C5F049"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18A01423"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8.3.</w:t>
      </w:r>
      <w:r>
        <w:rPr>
          <w:rFonts w:ascii="Arial" w:hAnsi="Arial" w:cs="Arial"/>
          <w:b/>
          <w:bCs/>
          <w:color w:val="000000"/>
          <w:sz w:val="18"/>
          <w:szCs w:val="18"/>
          <w:lang w:val="x-none"/>
        </w:rPr>
        <w:tab/>
        <w:t>Odbiór częściowy</w:t>
      </w:r>
    </w:p>
    <w:p w14:paraId="5031409B"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Odbiór częściowy polega na ocenie ilości i jakości wykonanej części robót. Odbioru częściowego robót dokonuje się dla zakresu określonego w dokumentach umownych, według zasad jak przy odbiorze ostatecznym robót (pkt 8.4. niniejszej specyfikacji).</w:t>
      </w:r>
    </w:p>
    <w:p w14:paraId="0C885580"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Celem odbioru częściowego jest wczesne wykrycie ewentualnych usterek w realizowanych robotach i ich usunięcie przed odbiorem końcowym.</w:t>
      </w:r>
    </w:p>
    <w:p w14:paraId="6544C526"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Odbiór częściowy robót jest dokonywany przez inspektora nadzoru w obecności kierownika budowy.</w:t>
      </w:r>
    </w:p>
    <w:tbl>
      <w:tblPr>
        <w:tblW w:w="9345" w:type="dxa"/>
        <w:tblCellSpacing w:w="0" w:type="dxa"/>
        <w:tblLayout w:type="fixed"/>
        <w:tblCellMar>
          <w:left w:w="0" w:type="dxa"/>
          <w:right w:w="0" w:type="dxa"/>
        </w:tblCellMar>
        <w:tblLook w:val="0000" w:firstRow="0" w:lastRow="0" w:firstColumn="0" w:lastColumn="0" w:noHBand="0" w:noVBand="0"/>
      </w:tblPr>
      <w:tblGrid>
        <w:gridCol w:w="1599"/>
        <w:gridCol w:w="6125"/>
        <w:gridCol w:w="1621"/>
      </w:tblGrid>
      <w:tr w:rsidR="000A3B2B" w14:paraId="548B705D" w14:textId="77777777">
        <w:trPr>
          <w:trHeight w:val="60"/>
          <w:tblCellSpacing w:w="0" w:type="dxa"/>
        </w:trPr>
        <w:tc>
          <w:tcPr>
            <w:tcW w:w="7718" w:type="dxa"/>
            <w:gridSpan w:val="2"/>
            <w:tcBorders>
              <w:top w:val="nil"/>
              <w:left w:val="nil"/>
              <w:bottom w:val="nil"/>
              <w:right w:val="single" w:sz="6" w:space="0" w:color="auto"/>
            </w:tcBorders>
          </w:tcPr>
          <w:p w14:paraId="1A4C1EBF" w14:textId="77777777" w:rsidR="000A3B2B" w:rsidRDefault="000A3B2B">
            <w:pPr>
              <w:autoSpaceDE w:val="0"/>
              <w:autoSpaceDN w:val="0"/>
              <w:adjustRightInd w:val="0"/>
              <w:spacing w:after="0" w:line="240" w:lineRule="auto"/>
              <w:ind w:firstLine="285"/>
              <w:rPr>
                <w:rFonts w:ascii="Arial" w:hAnsi="Arial" w:cs="Arial"/>
                <w:color w:val="000000"/>
                <w:sz w:val="18"/>
                <w:szCs w:val="18"/>
                <w:lang w:val="x-none"/>
              </w:rPr>
            </w:pPr>
            <w:r>
              <w:rPr>
                <w:rFonts w:ascii="Arial" w:hAnsi="Arial" w:cs="Arial"/>
                <w:color w:val="000000"/>
                <w:sz w:val="18"/>
                <w:szCs w:val="18"/>
                <w:lang w:val="x-none"/>
              </w:rPr>
              <w:t>Protokół odbioru częściowego jest podstawą do dokonania częściowego rozliczenia robót</w:t>
            </w:r>
          </w:p>
        </w:tc>
        <w:tc>
          <w:tcPr>
            <w:tcW w:w="1620" w:type="dxa"/>
            <w:tcBorders>
              <w:top w:val="single" w:sz="6" w:space="0" w:color="000000"/>
              <w:left w:val="single" w:sz="6" w:space="0" w:color="000000"/>
              <w:bottom w:val="single" w:sz="6" w:space="0" w:color="000000"/>
              <w:right w:val="single" w:sz="6" w:space="0" w:color="000000"/>
            </w:tcBorders>
          </w:tcPr>
          <w:p w14:paraId="754433FD" w14:textId="77777777" w:rsidR="000A3B2B" w:rsidRDefault="000A3B2B">
            <w:pPr>
              <w:autoSpaceDE w:val="0"/>
              <w:autoSpaceDN w:val="0"/>
              <w:adjustRightInd w:val="0"/>
              <w:spacing w:after="0" w:line="240" w:lineRule="auto"/>
              <w:jc w:val="both"/>
              <w:rPr>
                <w:rFonts w:ascii="Arial" w:hAnsi="Arial" w:cs="Arial"/>
                <w:i/>
                <w:iCs/>
                <w:color w:val="000000"/>
                <w:sz w:val="18"/>
                <w:szCs w:val="18"/>
                <w:lang w:val="x-none"/>
              </w:rPr>
            </w:pPr>
            <w:r>
              <w:rPr>
                <w:rFonts w:ascii="Arial" w:hAnsi="Arial" w:cs="Arial"/>
                <w:i/>
                <w:iCs/>
                <w:color w:val="000000"/>
                <w:sz w:val="18"/>
                <w:szCs w:val="18"/>
                <w:lang w:val="x-none"/>
              </w:rPr>
              <w:t xml:space="preserve">jeżeli umowa taką </w:t>
            </w:r>
          </w:p>
        </w:tc>
      </w:tr>
      <w:tr w:rsidR="000A3B2B" w14:paraId="51776107" w14:textId="77777777">
        <w:trPr>
          <w:trHeight w:val="60"/>
          <w:tblCellSpacing w:w="0" w:type="dxa"/>
        </w:trPr>
        <w:tc>
          <w:tcPr>
            <w:tcW w:w="1598" w:type="dxa"/>
            <w:tcBorders>
              <w:top w:val="single" w:sz="6" w:space="0" w:color="000000"/>
              <w:left w:val="single" w:sz="6" w:space="0" w:color="000000"/>
              <w:bottom w:val="single" w:sz="6" w:space="0" w:color="000000"/>
              <w:right w:val="single" w:sz="6" w:space="0" w:color="000000"/>
            </w:tcBorders>
          </w:tcPr>
          <w:p w14:paraId="04627894" w14:textId="77777777" w:rsidR="000A3B2B" w:rsidRDefault="000A3B2B">
            <w:pPr>
              <w:autoSpaceDE w:val="0"/>
              <w:autoSpaceDN w:val="0"/>
              <w:adjustRightInd w:val="0"/>
              <w:spacing w:after="0" w:line="240" w:lineRule="auto"/>
              <w:ind w:left="105"/>
              <w:rPr>
                <w:rFonts w:ascii="Arial" w:hAnsi="Arial" w:cs="Arial"/>
                <w:i/>
                <w:iCs/>
                <w:color w:val="000000"/>
                <w:sz w:val="18"/>
                <w:szCs w:val="18"/>
                <w:lang w:val="x-none"/>
              </w:rPr>
            </w:pPr>
            <w:r>
              <w:rPr>
                <w:rFonts w:ascii="Arial" w:hAnsi="Arial" w:cs="Arial"/>
                <w:i/>
                <w:iCs/>
                <w:color w:val="000000"/>
                <w:sz w:val="18"/>
                <w:szCs w:val="18"/>
                <w:lang w:val="x-none"/>
              </w:rPr>
              <w:t>formę przewiduje</w:t>
            </w:r>
          </w:p>
        </w:tc>
        <w:tc>
          <w:tcPr>
            <w:tcW w:w="7740" w:type="dxa"/>
            <w:gridSpan w:val="2"/>
            <w:tcBorders>
              <w:top w:val="nil"/>
              <w:left w:val="single" w:sz="6" w:space="0" w:color="000000"/>
              <w:bottom w:val="nil"/>
              <w:right w:val="nil"/>
            </w:tcBorders>
          </w:tcPr>
          <w:p w14:paraId="50B8829B" w14:textId="77777777" w:rsidR="000A3B2B" w:rsidRDefault="000A3B2B">
            <w:pPr>
              <w:autoSpaceDE w:val="0"/>
              <w:autoSpaceDN w:val="0"/>
              <w:adjustRightInd w:val="0"/>
              <w:spacing w:after="0" w:line="240" w:lineRule="auto"/>
              <w:jc w:val="both"/>
              <w:rPr>
                <w:rFonts w:ascii="Arial" w:hAnsi="Arial" w:cs="Arial"/>
                <w:i/>
                <w:iCs/>
                <w:color w:val="000000"/>
                <w:sz w:val="18"/>
                <w:szCs w:val="18"/>
                <w:lang w:val="x-none"/>
              </w:rPr>
            </w:pPr>
            <w:r>
              <w:rPr>
                <w:rFonts w:ascii="Arial" w:hAnsi="Arial" w:cs="Arial"/>
                <w:i/>
                <w:iCs/>
                <w:color w:val="000000"/>
                <w:sz w:val="18"/>
                <w:szCs w:val="18"/>
                <w:lang w:val="x-none"/>
              </w:rPr>
              <w:t>.</w:t>
            </w:r>
          </w:p>
        </w:tc>
      </w:tr>
    </w:tbl>
    <w:p w14:paraId="6BD238E2"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7ADD3327"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8.4.</w:t>
      </w:r>
      <w:r>
        <w:rPr>
          <w:rFonts w:ascii="Arial" w:hAnsi="Arial" w:cs="Arial"/>
          <w:b/>
          <w:bCs/>
          <w:color w:val="000000"/>
          <w:sz w:val="18"/>
          <w:szCs w:val="18"/>
          <w:lang w:val="x-none"/>
        </w:rPr>
        <w:tab/>
        <w:t>Odbiór ostateczny (końcowy)</w:t>
      </w:r>
    </w:p>
    <w:p w14:paraId="13006584" w14:textId="77777777" w:rsidR="000A3B2B" w:rsidRDefault="000A3B2B" w:rsidP="009E529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8.4.1. Zasady przeprowadzania odbioru końcowego</w:t>
      </w:r>
    </w:p>
    <w:p w14:paraId="114346A8"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Odbiór końcowy stanowi ostateczną ocenę rzeczywistego wykonania robót w odniesieniu do ich zakresu (ilości), jakości i zgodności z dokumentacją projektową oraz niniejszą specyfikacją techniczną.</w:t>
      </w:r>
    </w:p>
    <w:p w14:paraId="5CFA5C5E"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Odbiór ostateczny przeprowadza komisja powołana przez zamawiającego, na podstawie przedłożonych dokumentów, wyników badań oraz dokonanej oceny wizualnej.</w:t>
      </w:r>
    </w:p>
    <w:p w14:paraId="0BB66AFA"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Zasady i terminy powoływania komisji oraz czas jej działania powinna określać umowa.</w:t>
      </w:r>
    </w:p>
    <w:p w14:paraId="7032B0B7" w14:textId="77777777" w:rsidR="000A3B2B" w:rsidRDefault="000A3B2B" w:rsidP="009E529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8.4.2. Dokumenty do odbioru końcowego</w:t>
      </w:r>
    </w:p>
    <w:p w14:paraId="63B249A6"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Wykonawca robót obowiązany jest przedłożyć komisji następujące dokumenty:</w:t>
      </w:r>
    </w:p>
    <w:p w14:paraId="49C0582B"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dokumentację projektową z naniesionymi zmianami dokonanymi w toku wykonywania robót,</w:t>
      </w:r>
    </w:p>
    <w:p w14:paraId="730354EA"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Szczegółowe Specyfikacje Techniczne ze zmianami wprowadzonymi w trakcie wykonywania robót,</w:t>
      </w:r>
    </w:p>
    <w:tbl>
      <w:tblPr>
        <w:tblW w:w="0" w:type="auto"/>
        <w:tblCellSpacing w:w="0" w:type="dxa"/>
        <w:tblLayout w:type="fixed"/>
        <w:tblCellMar>
          <w:left w:w="0" w:type="dxa"/>
          <w:right w:w="0" w:type="dxa"/>
        </w:tblCellMar>
        <w:tblLook w:val="0000" w:firstRow="0" w:lastRow="0" w:firstColumn="0" w:lastColumn="0" w:noHBand="0" w:noVBand="0"/>
      </w:tblPr>
      <w:tblGrid>
        <w:gridCol w:w="7612"/>
        <w:gridCol w:w="314"/>
      </w:tblGrid>
      <w:tr w:rsidR="000A3B2B" w14:paraId="44AB9C05" w14:textId="77777777">
        <w:trPr>
          <w:trHeight w:val="60"/>
          <w:tblCellSpacing w:w="0" w:type="dxa"/>
        </w:trPr>
        <w:tc>
          <w:tcPr>
            <w:tcW w:w="7612" w:type="dxa"/>
            <w:tcBorders>
              <w:top w:val="nil"/>
              <w:left w:val="nil"/>
              <w:bottom w:val="nil"/>
              <w:right w:val="single" w:sz="6" w:space="0" w:color="auto"/>
            </w:tcBorders>
          </w:tcPr>
          <w:p w14:paraId="61DD9968" w14:textId="77777777" w:rsidR="000A3B2B" w:rsidRDefault="000A3B2B">
            <w:pPr>
              <w:autoSpaceDE w:val="0"/>
              <w:autoSpaceDN w:val="0"/>
              <w:adjustRightInd w:val="0"/>
              <w:spacing w:after="0" w:line="240" w:lineRule="auto"/>
              <w:ind w:left="240" w:hanging="240"/>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dziennik budowy i książki obmiarów z zapisami dokonywanymi w toku prowadzonych robót</w:t>
            </w:r>
          </w:p>
        </w:tc>
        <w:tc>
          <w:tcPr>
            <w:tcW w:w="314" w:type="dxa"/>
            <w:tcBorders>
              <w:top w:val="nil"/>
              <w:left w:val="single" w:sz="6" w:space="0" w:color="000000"/>
              <w:bottom w:val="nil"/>
              <w:right w:val="nil"/>
            </w:tcBorders>
          </w:tcPr>
          <w:p w14:paraId="0D530320" w14:textId="77777777" w:rsidR="000A3B2B" w:rsidRDefault="000A3B2B">
            <w:pPr>
              <w:autoSpaceDE w:val="0"/>
              <w:autoSpaceDN w:val="0"/>
              <w:adjustRightInd w:val="0"/>
              <w:spacing w:after="0" w:line="240" w:lineRule="auto"/>
              <w:jc w:val="both"/>
              <w:rPr>
                <w:rFonts w:ascii="Arial" w:hAnsi="Arial" w:cs="Arial"/>
                <w:color w:val="000000"/>
                <w:sz w:val="18"/>
                <w:szCs w:val="18"/>
                <w:lang w:val="x-none"/>
              </w:rPr>
            </w:pPr>
            <w:r>
              <w:rPr>
                <w:rFonts w:ascii="Arial" w:hAnsi="Arial" w:cs="Arial"/>
                <w:color w:val="000000"/>
                <w:sz w:val="18"/>
                <w:szCs w:val="18"/>
                <w:lang w:val="x-none"/>
              </w:rPr>
              <w:t>,</w:t>
            </w:r>
          </w:p>
        </w:tc>
      </w:tr>
    </w:tbl>
    <w:p w14:paraId="068D4AE7"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dokumenty świadczące o dopuszczeniu użytych materiałów i wyrobów budowlanych do obrotu lub udostępnieniu na rynku krajowym bądź do jednostkowego zastosowania, zgodnie z właściwymi przepisami,</w:t>
      </w:r>
    </w:p>
    <w:p w14:paraId="757F46A6"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protokoły odbioru robót ulegających zakryciu,</w:t>
      </w:r>
    </w:p>
    <w:p w14:paraId="2EC63A21"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protokoły odbiorów częściowych,</w:t>
      </w:r>
    </w:p>
    <w:p w14:paraId="05B0C627"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karty techniczne lub instrukcje producentów odnoszące się do zastosowanych materiałów,</w:t>
      </w:r>
    </w:p>
    <w:p w14:paraId="69AE888D"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wyniki ewentualnych badań laboratoryjnych i ekspertyz dokonanych na wniosek jednej ze stron umowy.</w:t>
      </w:r>
    </w:p>
    <w:p w14:paraId="67B986E0"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 toku odbioru komisja obowiązana jest zapoznać się przedłożonymi dokumentami, przeprowadzić badania zgodnie z wytycznymi podanymi w pkt. 6.4. niniejszej ST, porównać je z wymaganiami podanymi w dokumentacji projektowej i w pkt. 5. niniejszej specyfikacji technicznej oraz dokonać oceny wizualnej.</w:t>
      </w:r>
    </w:p>
    <w:p w14:paraId="537830AA"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Montaż okien i/lub drzwi balkonowych powinien być odebrany, jeżeli wszystkie wyniki badań są pozytywne, a dostarczone przez wykonawcę dokumenty są kompletne i prawidłowe pod względem merytorycznym.</w:t>
      </w:r>
    </w:p>
    <w:p w14:paraId="44EFDC2C"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Jeżeli chociażby jeden wynik badań był negatywny okna i/lub drzwi balkonowe nie powinny być przyjęte. W takim przypadku należy przyjąć jedno z następujących rozwiązań:</w:t>
      </w:r>
    </w:p>
    <w:p w14:paraId="40DE6BD6"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jeżeli to możliwe należy ustalić zakres prac korygujących (np. wskazać na konieczność regulacji okuć), usunąć niezgodności robót montażowych z wymaganiami określonymi w dokumentacji projektowej i w pkt. 5. niniejszej specyfikacji technicznej oraz przedstawić okna i/lub drzwi balkonowe ponownie do odbioru,</w:t>
      </w:r>
    </w:p>
    <w:p w14:paraId="2FDBC124"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jeżeli odchylenia od wymagań nie zagrażają bezpieczeństwu użytkownika oraz nie ograniczają funkcjonalności i trwałości okien i drzwi balkonowych zamawiający może wyrazić zgodę na dokonanie odbioru końcowego z jednoczesnym obniżeniem wartości wynagrodzenia w stosunku do ustaleń umownych,</w:t>
      </w:r>
    </w:p>
    <w:p w14:paraId="1C8D5819"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 przypadku, gdy nie są możliwe podane wyżej rozwiązania wykonawca zobowiązany jest do demontażu wadliwie wbudowanych okien i/lub drzwi balkonowych, zamontowania ich ponownie i powtórnego zgłoszenia do odbioru.</w:t>
      </w:r>
    </w:p>
    <w:p w14:paraId="75797EA3"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 przypadku niekompletności dokumentów odbiór może być dokonany po ich uzupełnieniu.</w:t>
      </w:r>
    </w:p>
    <w:p w14:paraId="50FC1EF6"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Z czynności odbioru sporządza się protokół podpisany przez przedstawicieli zamawiającego i wykonawcy. Protokół powinien zawierać m.in.:</w:t>
      </w:r>
    </w:p>
    <w:p w14:paraId="733CA4FF"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ustalenia podjęte w trakcie prac komisji,</w:t>
      </w:r>
    </w:p>
    <w:p w14:paraId="7892BE79"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ocenę wyników badań,</w:t>
      </w:r>
    </w:p>
    <w:p w14:paraId="30A22144"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wykaz wad i usterek ze wskazaniem sposobu ich usunięcia,</w:t>
      </w:r>
    </w:p>
    <w:p w14:paraId="56E30A8A"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stwierdzenie zgodności lub niezgodności wykonania montażu okien i/lub drzwi balkonowych z zamówieniem.</w:t>
      </w:r>
    </w:p>
    <w:p w14:paraId="5F182BFE"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Protokół odbioru końcowego jest podstawą do dokonania rozliczenia końcowego pomiędzy zamawiającym a wykonawcą.</w:t>
      </w:r>
    </w:p>
    <w:p w14:paraId="3D5CA3A3"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p>
    <w:p w14:paraId="25FE816D"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8.5.</w:t>
      </w:r>
      <w:r>
        <w:rPr>
          <w:rFonts w:ascii="Arial" w:hAnsi="Arial" w:cs="Arial"/>
          <w:b/>
          <w:bCs/>
          <w:color w:val="000000"/>
          <w:sz w:val="18"/>
          <w:szCs w:val="18"/>
          <w:lang w:val="x-none"/>
        </w:rPr>
        <w:tab/>
        <w:t>Odbiór po upływie okresu rękojmi i gwarancji</w:t>
      </w:r>
    </w:p>
    <w:p w14:paraId="2FB80AF0"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Celem odbioru po okresie rękojmi i gwarancji jest ocena stanu okien i/lub drzwi balkonowych po użytkowaniu w tym okresie oraz ocena wykonywanych w tym czasie ewentualnych robót poprawkowych, związanych z usuwaniem zgłoszonych wad.</w:t>
      </w:r>
    </w:p>
    <w:p w14:paraId="428878F2"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Odbiór po upływie okresu rękojmi i gwarancji jest dokonywany na podstawie oceny wizualnej oraz sprawdzenia prawidłowości otwierania i zamykania okien i/lub drzwi balkonowych, z uwzględnieniem zasad opisanych w pkt. 8.4. „Odbiór ostateczny (końcowy)” niniejszej specyfikacji.</w:t>
      </w:r>
    </w:p>
    <w:p w14:paraId="0894BB00"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Pozytywny wynik odbioru pogwarancyjnego jest podstawą do zwrotu kaucji gwarancyjnej a negatywny do dokonania potrąceń wynikających z obniżonej jakości robót.</w:t>
      </w:r>
    </w:p>
    <w:p w14:paraId="4CD6B5BB"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Przed upływem okresu gwarancyjnego zamawiający powinien zgłosić wykonawcy wszystkie zauważone wady w zamontowanych oknach i/lub drzwiach balkonowych.</w:t>
      </w:r>
    </w:p>
    <w:p w14:paraId="6406B2C1"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p>
    <w:p w14:paraId="70047E90" w14:textId="77777777" w:rsidR="000A3B2B" w:rsidRDefault="000A3B2B" w:rsidP="009E5295">
      <w:pPr>
        <w:autoSpaceDE w:val="0"/>
        <w:autoSpaceDN w:val="0"/>
        <w:adjustRightInd w:val="0"/>
        <w:spacing w:before="225" w:after="12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9.</w:t>
      </w:r>
      <w:r>
        <w:rPr>
          <w:rFonts w:ascii="Arial" w:hAnsi="Arial" w:cs="Arial"/>
          <w:b/>
          <w:bCs/>
          <w:color w:val="000000"/>
          <w:sz w:val="18"/>
          <w:szCs w:val="18"/>
          <w:lang w:val="x-none"/>
        </w:rPr>
        <w:tab/>
        <w:t xml:space="preserve">PODSTAWA ROZLICZENIA ROBÓT </w:t>
      </w:r>
    </w:p>
    <w:p w14:paraId="77783C17" w14:textId="77777777" w:rsidR="000A3B2B" w:rsidRDefault="000A3B2B" w:rsidP="009E529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9.1.</w:t>
      </w:r>
      <w:r>
        <w:rPr>
          <w:rFonts w:ascii="Arial" w:hAnsi="Arial" w:cs="Arial"/>
          <w:b/>
          <w:bCs/>
          <w:color w:val="000000"/>
          <w:sz w:val="18"/>
          <w:szCs w:val="18"/>
          <w:lang w:val="x-none"/>
        </w:rPr>
        <w:tab/>
        <w:t>Ogólne ustalenia dotyczące podstawy rozliczenia robót podano w ST „Wymagania ogólne” Kod CPV 45000000-7,  pkt 9</w:t>
      </w:r>
    </w:p>
    <w:p w14:paraId="5AA64034"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36FA02DA"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9.2.</w:t>
      </w:r>
      <w:r>
        <w:rPr>
          <w:rFonts w:ascii="Arial" w:hAnsi="Arial" w:cs="Arial"/>
          <w:b/>
          <w:bCs/>
          <w:color w:val="000000"/>
          <w:sz w:val="18"/>
          <w:szCs w:val="18"/>
          <w:lang w:val="x-none"/>
        </w:rPr>
        <w:tab/>
        <w:t>Zasady rozliczenia i płatności</w:t>
      </w:r>
    </w:p>
    <w:p w14:paraId="304C379E"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Rozliczenie montażu okien i/lub drzwi balkonowych może być dokonane jednorazowo po wykonaniu pełnego zakresu robót i ich końcowym odbiorze lub etapami określonymi w umowie, po dokonaniu odbiorów częściowych robót.</w:t>
      </w:r>
    </w:p>
    <w:p w14:paraId="76FE7ABE"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 xml:space="preserve">Ostateczne rozliczenie umowy pomiędzy zamawiającym a wykonawcą następuje po dokonaniu odbioru pogwarancyjnego. </w:t>
      </w:r>
    </w:p>
    <w:p w14:paraId="1BB7BCC4"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72D17AD9"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9.3.</w:t>
      </w:r>
      <w:r>
        <w:rPr>
          <w:rFonts w:ascii="Arial" w:hAnsi="Arial" w:cs="Arial"/>
          <w:b/>
          <w:bCs/>
          <w:color w:val="000000"/>
          <w:sz w:val="18"/>
          <w:szCs w:val="18"/>
          <w:lang w:val="x-none"/>
        </w:rPr>
        <w:tab/>
        <w:t>Podstawy rozliczenia oraz płatności wykonanego i odebranego zakresu montażu okien i/lub drzwi balkonowych</w:t>
      </w:r>
    </w:p>
    <w:tbl>
      <w:tblPr>
        <w:tblW w:w="0" w:type="auto"/>
        <w:tblCellSpacing w:w="0" w:type="dxa"/>
        <w:tblInd w:w="-8" w:type="dxa"/>
        <w:tblLayout w:type="fixed"/>
        <w:tblCellMar>
          <w:left w:w="0" w:type="dxa"/>
          <w:right w:w="0" w:type="dxa"/>
        </w:tblCellMar>
        <w:tblLook w:val="0000" w:firstRow="0" w:lastRow="0" w:firstColumn="0" w:lastColumn="0" w:noHBand="0" w:noVBand="0"/>
      </w:tblPr>
      <w:tblGrid>
        <w:gridCol w:w="938"/>
      </w:tblGrid>
      <w:tr w:rsidR="000A3B2B" w14:paraId="105BE089" w14:textId="77777777">
        <w:trPr>
          <w:trHeight w:val="60"/>
          <w:tblCellSpacing w:w="0" w:type="dxa"/>
        </w:trPr>
        <w:tc>
          <w:tcPr>
            <w:tcW w:w="938" w:type="dxa"/>
            <w:tcBorders>
              <w:top w:val="single" w:sz="6" w:space="0" w:color="000000"/>
              <w:left w:val="single" w:sz="6" w:space="0" w:color="000000"/>
              <w:bottom w:val="single" w:sz="6" w:space="0" w:color="000000"/>
              <w:right w:val="single" w:sz="6" w:space="0" w:color="000000"/>
            </w:tcBorders>
          </w:tcPr>
          <w:p w14:paraId="6962DA41" w14:textId="77777777" w:rsidR="000A3B2B" w:rsidRDefault="000A3B2B">
            <w:pPr>
              <w:autoSpaceDE w:val="0"/>
              <w:autoSpaceDN w:val="0"/>
              <w:adjustRightInd w:val="0"/>
              <w:spacing w:after="30" w:line="240" w:lineRule="auto"/>
              <w:jc w:val="both"/>
              <w:rPr>
                <w:rFonts w:ascii="Arial" w:hAnsi="Arial" w:cs="Arial"/>
                <w:i/>
                <w:iCs/>
                <w:color w:val="000000"/>
                <w:sz w:val="18"/>
                <w:szCs w:val="18"/>
                <w:lang w:val="x-none"/>
              </w:rPr>
            </w:pPr>
            <w:r>
              <w:rPr>
                <w:rFonts w:ascii="Arial" w:hAnsi="Arial" w:cs="Arial"/>
                <w:i/>
                <w:iCs/>
                <w:color w:val="000000"/>
                <w:sz w:val="18"/>
                <w:szCs w:val="18"/>
                <w:lang w:val="x-none"/>
              </w:rPr>
              <w:t>Wariant 1</w:t>
            </w:r>
          </w:p>
        </w:tc>
      </w:tr>
    </w:tbl>
    <w:p w14:paraId="2FC190FB" w14:textId="77777777" w:rsidR="000A3B2B" w:rsidRDefault="000A3B2B" w:rsidP="009E5295">
      <w:pPr>
        <w:autoSpaceDE w:val="0"/>
        <w:autoSpaceDN w:val="0"/>
        <w:adjustRightInd w:val="0"/>
        <w:spacing w:after="30" w:line="240" w:lineRule="auto"/>
        <w:jc w:val="both"/>
        <w:rPr>
          <w:rFonts w:ascii="Arial" w:hAnsi="Arial" w:cs="Arial"/>
          <w:b/>
          <w:bCs/>
          <w:color w:val="000000"/>
          <w:sz w:val="18"/>
          <w:szCs w:val="18"/>
          <w:lang w:val="x-none"/>
        </w:rPr>
      </w:pPr>
      <w:r>
        <w:rPr>
          <w:rFonts w:ascii="Arial" w:hAnsi="Arial" w:cs="Arial"/>
          <w:b/>
          <w:bCs/>
          <w:color w:val="000000"/>
          <w:sz w:val="18"/>
          <w:szCs w:val="18"/>
          <w:lang w:val="x-none"/>
        </w:rPr>
        <w:t>Podstawy rozliczenia montażu okien i/lub drzwi balkonowych stanowią określone w dokumentach umownych (ofercie) ceny jednostkowe i ilości wykonanych robót zaakceptowane przez zamawiającego.</w:t>
      </w:r>
    </w:p>
    <w:p w14:paraId="2FE3C347"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Ceny jednostkowe montażu okien i/lub drzwi balkonowych uwzględniają:</w:t>
      </w:r>
    </w:p>
    <w:p w14:paraId="4FC74951"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przygotowanie stanowiska roboczego,</w:t>
      </w:r>
    </w:p>
    <w:p w14:paraId="2B54900E"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dostarczenie do stanowiska roboczego materiałów, narzędzi i sprzętu,</w:t>
      </w:r>
    </w:p>
    <w:p w14:paraId="66272494"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obsługę sprzętu,</w:t>
      </w:r>
    </w:p>
    <w:p w14:paraId="06B32426"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ustawienie i przestawienie drabin lub lekkich rusztowań przestawnych umożliwiających wykonanie robót na wysokości do 4 m, od poziomu podłogi lub terenu,</w:t>
      </w:r>
    </w:p>
    <w:p w14:paraId="217E8C3D"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zabezpieczenie elementów wymagających zabezpieczenia przed zanieczyszczeniem i uszkodzeniem,</w:t>
      </w:r>
    </w:p>
    <w:p w14:paraId="0ED6D01D"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ocenę i przygotowanie ościeży, zgodnie z wymaganiami dokumentacji projektowej i szczegółowej specyfikacji technicznej,</w:t>
      </w:r>
    </w:p>
    <w:p w14:paraId="61FA94BE"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obsadzenie ościeżnic wraz z ich uszczelnieniem wewnętrznym, zewnętrznym oraz wykonaniem izolacji termicznej i akustycznej połączenia z ościeżem,</w:t>
      </w:r>
    </w:p>
    <w:p w14:paraId="65291D4E"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obsadzenie parapetów zewnętrznych i wewnętrznych,</w:t>
      </w:r>
    </w:p>
    <w:p w14:paraId="755622D5"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obrobienie progów drzwi balkonowych,</w:t>
      </w:r>
    </w:p>
    <w:p w14:paraId="04833BFF"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regulację skrzydeł i okuć,</w:t>
      </w:r>
    </w:p>
    <w:p w14:paraId="39A1476E"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obicie ćwierćwałkami lub listwami maskującymi bądź innymi materiałami wykończeniowymi,</w:t>
      </w:r>
    </w:p>
    <w:p w14:paraId="7B3E1DBA"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usunięcie wad i usterek oraz naprawienie uszkodzeń powstałych w czasie wykonywania robót,</w:t>
      </w:r>
    </w:p>
    <w:p w14:paraId="19074F73"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oczyszczenie miejsca pracy z materiałów zabezpieczających,</w:t>
      </w:r>
    </w:p>
    <w:p w14:paraId="487FB163"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usunięcie pozostałości, resztek i odpadów materiałów w sposób podany w niniejszej specyfikacji technicznej (opisać sposób usunięcia pozostałości i odpadów) lub w specyfikacji „Wymagania ogólne” Kod CPV 45000000-7,</w:t>
      </w:r>
    </w:p>
    <w:p w14:paraId="65C50F29"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likwidację stanowiska roboczego,</w:t>
      </w:r>
    </w:p>
    <w:p w14:paraId="53E37CD2"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utylizację opakowań i resztek materiałów zgodnie ze wskazaniami producentów i wymaganiami podanymi w niniejszej specyfikacji (opisać sposób utylizacji),</w:t>
      </w:r>
    </w:p>
    <w:p w14:paraId="593877D4"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koszty pośrednie, zysk kalkulacyjny i ryzyko.</w:t>
      </w:r>
    </w:p>
    <w:tbl>
      <w:tblPr>
        <w:tblW w:w="0" w:type="auto"/>
        <w:tblCellSpacing w:w="0" w:type="dxa"/>
        <w:tblInd w:w="-8" w:type="dxa"/>
        <w:tblLayout w:type="fixed"/>
        <w:tblCellMar>
          <w:left w:w="0" w:type="dxa"/>
          <w:right w:w="0" w:type="dxa"/>
        </w:tblCellMar>
        <w:tblLook w:val="0000" w:firstRow="0" w:lastRow="0" w:firstColumn="0" w:lastColumn="0" w:noHBand="0" w:noVBand="0"/>
      </w:tblPr>
      <w:tblGrid>
        <w:gridCol w:w="9532"/>
      </w:tblGrid>
      <w:tr w:rsidR="000A3B2B" w14:paraId="208BB249" w14:textId="77777777">
        <w:trPr>
          <w:trHeight w:val="60"/>
          <w:tblCellSpacing w:w="0" w:type="dxa"/>
        </w:trPr>
        <w:tc>
          <w:tcPr>
            <w:tcW w:w="9532" w:type="dxa"/>
            <w:tcBorders>
              <w:top w:val="single" w:sz="6" w:space="0" w:color="000000"/>
              <w:left w:val="single" w:sz="6" w:space="0" w:color="000000"/>
              <w:bottom w:val="single" w:sz="6" w:space="0" w:color="000000"/>
              <w:right w:val="single" w:sz="6" w:space="0" w:color="000000"/>
            </w:tcBorders>
          </w:tcPr>
          <w:p w14:paraId="6659DD4D" w14:textId="77777777" w:rsidR="000A3B2B" w:rsidRDefault="000A3B2B">
            <w:pPr>
              <w:autoSpaceDE w:val="0"/>
              <w:autoSpaceDN w:val="0"/>
              <w:adjustRightInd w:val="0"/>
              <w:spacing w:after="30" w:line="240" w:lineRule="auto"/>
              <w:jc w:val="both"/>
              <w:rPr>
                <w:rFonts w:ascii="Arial" w:hAnsi="Arial" w:cs="Arial"/>
                <w:i/>
                <w:iCs/>
                <w:color w:val="000000"/>
                <w:sz w:val="18"/>
                <w:szCs w:val="18"/>
                <w:lang w:val="x-none"/>
              </w:rPr>
            </w:pPr>
            <w:r>
              <w:rPr>
                <w:rFonts w:ascii="Arial" w:hAnsi="Arial" w:cs="Arial"/>
                <w:i/>
                <w:iCs/>
                <w:color w:val="000000"/>
                <w:sz w:val="18"/>
                <w:szCs w:val="18"/>
                <w:lang w:val="x-none"/>
              </w:rPr>
              <w:t>UWAGA: Koszty montażu, demontażu i pracy rusztowań niezbędnych do wbudowania okien i/lub drzwi balkonowych na wysokości powyżej 4 m od poziomu ustawienia rusztowań należy rozliczyć wg jednego z niżej przedstawionych sposobów:</w:t>
            </w:r>
          </w:p>
        </w:tc>
      </w:tr>
    </w:tbl>
    <w:p w14:paraId="2A434FCC"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7358FE34"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Ceny jednostkowe robót </w:t>
      </w:r>
      <w:r>
        <w:rPr>
          <w:rFonts w:ascii="Arial" w:hAnsi="Arial" w:cs="Arial"/>
          <w:b/>
          <w:bCs/>
          <w:color w:val="000000"/>
          <w:sz w:val="18"/>
          <w:szCs w:val="18"/>
          <w:lang w:val="x-none"/>
        </w:rPr>
        <w:t xml:space="preserve">obejmują również </w:t>
      </w:r>
      <w:r>
        <w:rPr>
          <w:rFonts w:ascii="Arial" w:hAnsi="Arial" w:cs="Arial"/>
          <w:color w:val="000000"/>
          <w:sz w:val="18"/>
          <w:szCs w:val="18"/>
          <w:lang w:val="x-none"/>
        </w:rPr>
        <w:t>koszty montażu, demontażu i pracy rusztowań niezbędnych do wykonania robót na wysokości powyżej 4 m od poziomu ustawienia rusztowań oraz koszty pomostów i barier zabezpieczających.</w:t>
      </w:r>
    </w:p>
    <w:p w14:paraId="381CFA77"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4AC17E86"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Ceny jednostkowe nie obejmują podatku VAT.</w:t>
      </w:r>
    </w:p>
    <w:tbl>
      <w:tblPr>
        <w:tblW w:w="0" w:type="auto"/>
        <w:tblCellSpacing w:w="0" w:type="dxa"/>
        <w:tblInd w:w="-8" w:type="dxa"/>
        <w:tblLayout w:type="fixed"/>
        <w:tblCellMar>
          <w:left w:w="0" w:type="dxa"/>
          <w:right w:w="0" w:type="dxa"/>
        </w:tblCellMar>
        <w:tblLook w:val="0000" w:firstRow="0" w:lastRow="0" w:firstColumn="0" w:lastColumn="0" w:noHBand="0" w:noVBand="0"/>
      </w:tblPr>
      <w:tblGrid>
        <w:gridCol w:w="938"/>
      </w:tblGrid>
      <w:tr w:rsidR="000A3B2B" w14:paraId="65211DB9" w14:textId="77777777">
        <w:trPr>
          <w:trHeight w:val="60"/>
          <w:tblCellSpacing w:w="0" w:type="dxa"/>
        </w:trPr>
        <w:tc>
          <w:tcPr>
            <w:tcW w:w="938" w:type="dxa"/>
            <w:tcBorders>
              <w:top w:val="single" w:sz="6" w:space="0" w:color="000000"/>
              <w:left w:val="single" w:sz="6" w:space="0" w:color="000000"/>
              <w:bottom w:val="single" w:sz="6" w:space="0" w:color="000000"/>
              <w:right w:val="single" w:sz="6" w:space="0" w:color="000000"/>
            </w:tcBorders>
          </w:tcPr>
          <w:p w14:paraId="7C1FA59B" w14:textId="77777777" w:rsidR="000A3B2B" w:rsidRDefault="000A3B2B">
            <w:pPr>
              <w:autoSpaceDE w:val="0"/>
              <w:autoSpaceDN w:val="0"/>
              <w:adjustRightInd w:val="0"/>
              <w:spacing w:after="30" w:line="240" w:lineRule="auto"/>
              <w:jc w:val="both"/>
              <w:rPr>
                <w:rFonts w:ascii="Arial" w:hAnsi="Arial" w:cs="Arial"/>
                <w:i/>
                <w:iCs/>
                <w:color w:val="000000"/>
                <w:sz w:val="18"/>
                <w:szCs w:val="18"/>
                <w:lang w:val="x-none"/>
              </w:rPr>
            </w:pPr>
            <w:r>
              <w:rPr>
                <w:rFonts w:ascii="Arial" w:hAnsi="Arial" w:cs="Arial"/>
                <w:i/>
                <w:iCs/>
                <w:color w:val="000000"/>
                <w:sz w:val="18"/>
                <w:szCs w:val="18"/>
                <w:lang w:val="x-none"/>
              </w:rPr>
              <w:t>Wariant 2</w:t>
            </w:r>
          </w:p>
        </w:tc>
      </w:tr>
    </w:tbl>
    <w:p w14:paraId="427E2A22" w14:textId="77777777" w:rsidR="000A3B2B" w:rsidRDefault="000A3B2B" w:rsidP="009E5295">
      <w:pPr>
        <w:autoSpaceDE w:val="0"/>
        <w:autoSpaceDN w:val="0"/>
        <w:adjustRightInd w:val="0"/>
        <w:spacing w:after="30" w:line="240" w:lineRule="auto"/>
        <w:jc w:val="both"/>
        <w:rPr>
          <w:rFonts w:ascii="Arial" w:hAnsi="Arial" w:cs="Arial"/>
          <w:b/>
          <w:bCs/>
          <w:color w:val="000000"/>
          <w:sz w:val="18"/>
          <w:szCs w:val="18"/>
          <w:lang w:val="x-none"/>
        </w:rPr>
      </w:pPr>
      <w:r>
        <w:rPr>
          <w:rFonts w:ascii="Arial" w:hAnsi="Arial" w:cs="Arial"/>
          <w:b/>
          <w:bCs/>
          <w:color w:val="000000"/>
          <w:sz w:val="18"/>
          <w:szCs w:val="18"/>
          <w:lang w:val="x-none"/>
        </w:rPr>
        <w:t>Podstawę rozliczania montażu okien i/lub drzwi balkonowych stanowi ustalona w umowie kwota ryczałtowa za określony zakres robót obejmujący montaż okien i/lub drzwi balkonowych.</w:t>
      </w:r>
    </w:p>
    <w:p w14:paraId="7D2331B7"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Kwota ryczałtowa obejmująca montaż okien i/lub drzwi balkonowych uwzględnia koszty wykonania następujących robót montażowych oraz prac z nimi związanych, takich jak:</w:t>
      </w:r>
    </w:p>
    <w:p w14:paraId="4A3731BD"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przygotowanie stanowiska roboczego,</w:t>
      </w:r>
    </w:p>
    <w:p w14:paraId="427C0E08"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dostarczenie do stanowiska roboczego materiałów, narzędzi i sprzętu,</w:t>
      </w:r>
    </w:p>
    <w:p w14:paraId="2C3311BD"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obsługę sprzętu,</w:t>
      </w:r>
    </w:p>
    <w:p w14:paraId="3E3C486A"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ustawienie i przestawienie drabin lub montaż, demontaż i pracę rusztowań niezbędnych do wykonania robót, niezależnie od wysokości prowadzenia prac,</w:t>
      </w:r>
    </w:p>
    <w:p w14:paraId="29B2F2A9"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zabezpieczenie elementów wymagających zabezpieczenia przez zanieczyszczeniem i uszkodzeniem,</w:t>
      </w:r>
    </w:p>
    <w:p w14:paraId="5114034D"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ocenę i przygotowanie ościeży, zgodnie z wymaganiami dokumentacji projektowej i szczegółowej specyfikacji technicznej,</w:t>
      </w:r>
    </w:p>
    <w:p w14:paraId="07CF8CE0"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obsadzenie ościeżnic wraz z ich uszczelnieniem wewnętrznym, zewnętrznym oraz wykonaniem izolacji termicznej i akustycznej połączenia z ościeżem,</w:t>
      </w:r>
    </w:p>
    <w:p w14:paraId="405C1011"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obsadzenie parapetów zewnętrznych i wewnętrznych,</w:t>
      </w:r>
    </w:p>
    <w:p w14:paraId="26E139D7"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obrobienie progów drzwi balkonowych,</w:t>
      </w:r>
    </w:p>
    <w:p w14:paraId="2974A288"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regulację skrzydeł i okuć,</w:t>
      </w:r>
    </w:p>
    <w:p w14:paraId="7A8C026F"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obicie ćwierćwałkami lub listwami maskującymi bądź innymi materiałami wykończeniowymi,</w:t>
      </w:r>
    </w:p>
    <w:p w14:paraId="68466404"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usunięcie wad i usterek oraz naprawienie uszkodzeń powstałych w czasie wykonywania robót,</w:t>
      </w:r>
    </w:p>
    <w:p w14:paraId="6F77EBDB"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oczyszczenie miejsca pracy z materiałów zabezpieczających,</w:t>
      </w:r>
    </w:p>
    <w:p w14:paraId="66A01ACE"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usunięcie pozostałości, resztek i odpadów materiałów w sposób podany w niniejszej specyfikacji technicznej (opisać sposób usunięcia pozostałości i odpadów) lub w specyfikacji „Wymagania ogólne” Kod CPV 45000000-7,</w:t>
      </w:r>
    </w:p>
    <w:p w14:paraId="2731408E"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likwidację stanowiska roboczego,</w:t>
      </w:r>
    </w:p>
    <w:p w14:paraId="27865AC2"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utylizację opakowań i resztek materiałów zgodnie ze wskazaniami producentów i wymaganiami podanymi w niniejszej specyfikacji (opisać sposób utylizacji),</w:t>
      </w:r>
    </w:p>
    <w:p w14:paraId="68548FC7"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koszty pośrednie, zysk kalkulacyjny i ryzyko.</w:t>
      </w:r>
    </w:p>
    <w:p w14:paraId="0F1CB431"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5B3968AE"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4471D3D8" w14:textId="77777777" w:rsidR="000A3B2B" w:rsidRDefault="000A3B2B" w:rsidP="009E5295">
      <w:pPr>
        <w:autoSpaceDE w:val="0"/>
        <w:autoSpaceDN w:val="0"/>
        <w:adjustRightInd w:val="0"/>
        <w:spacing w:before="225" w:after="12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10.</w:t>
      </w:r>
      <w:r>
        <w:rPr>
          <w:rFonts w:ascii="Arial" w:hAnsi="Arial" w:cs="Arial"/>
          <w:b/>
          <w:bCs/>
          <w:color w:val="000000"/>
          <w:sz w:val="18"/>
          <w:szCs w:val="18"/>
          <w:lang w:val="x-none"/>
        </w:rPr>
        <w:tab/>
        <w:t>DOKUMENTY ODNIESIENIA</w:t>
      </w:r>
    </w:p>
    <w:p w14:paraId="5DD8F03D"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10.1.</w:t>
      </w:r>
      <w:r>
        <w:rPr>
          <w:rFonts w:ascii="Arial" w:hAnsi="Arial" w:cs="Arial"/>
          <w:b/>
          <w:bCs/>
          <w:color w:val="000000"/>
          <w:sz w:val="18"/>
          <w:szCs w:val="18"/>
          <w:lang w:val="x-none"/>
        </w:rPr>
        <w:tab/>
        <w:t>Normy</w:t>
      </w:r>
    </w:p>
    <w:tbl>
      <w:tblPr>
        <w:tblW w:w="0" w:type="auto"/>
        <w:tblCellSpacing w:w="0" w:type="dxa"/>
        <w:tblLayout w:type="fixed"/>
        <w:tblCellMar>
          <w:left w:w="0" w:type="dxa"/>
          <w:right w:w="0" w:type="dxa"/>
        </w:tblCellMar>
        <w:tblLook w:val="0000" w:firstRow="0" w:lastRow="0" w:firstColumn="0" w:lastColumn="0" w:noHBand="0" w:noVBand="0"/>
      </w:tblPr>
      <w:tblGrid>
        <w:gridCol w:w="338"/>
        <w:gridCol w:w="3420"/>
        <w:gridCol w:w="5564"/>
      </w:tblGrid>
      <w:tr w:rsidR="000A3B2B" w14:paraId="53998896" w14:textId="77777777">
        <w:trPr>
          <w:trHeight w:val="60"/>
          <w:tblCellSpacing w:w="0" w:type="dxa"/>
        </w:trPr>
        <w:tc>
          <w:tcPr>
            <w:tcW w:w="338" w:type="dxa"/>
            <w:tcBorders>
              <w:top w:val="nil"/>
              <w:left w:val="nil"/>
              <w:bottom w:val="nil"/>
              <w:right w:val="nil"/>
            </w:tcBorders>
          </w:tcPr>
          <w:p w14:paraId="66854E24"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1.</w:t>
            </w:r>
          </w:p>
        </w:tc>
        <w:tc>
          <w:tcPr>
            <w:tcW w:w="3420" w:type="dxa"/>
            <w:tcBorders>
              <w:top w:val="nil"/>
              <w:left w:val="nil"/>
              <w:bottom w:val="nil"/>
              <w:right w:val="nil"/>
            </w:tcBorders>
          </w:tcPr>
          <w:p w14:paraId="2313B031"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107:2002</w:t>
            </w:r>
          </w:p>
        </w:tc>
        <w:tc>
          <w:tcPr>
            <w:tcW w:w="5564" w:type="dxa"/>
            <w:tcBorders>
              <w:top w:val="nil"/>
              <w:left w:val="nil"/>
              <w:bottom w:val="nil"/>
              <w:right w:val="nil"/>
            </w:tcBorders>
          </w:tcPr>
          <w:p w14:paraId="455B1DF8"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Metody badań okien – Badania mechaniczne (</w:t>
            </w:r>
            <w:r>
              <w:rPr>
                <w:rFonts w:ascii="Arial" w:hAnsi="Arial" w:cs="Arial"/>
                <w:i/>
                <w:iCs/>
                <w:color w:val="000000"/>
                <w:sz w:val="18"/>
                <w:szCs w:val="18"/>
                <w:lang w:val="x-none"/>
              </w:rPr>
              <w:t>oryg.</w:t>
            </w:r>
            <w:r>
              <w:rPr>
                <w:rFonts w:ascii="Arial" w:hAnsi="Arial" w:cs="Arial"/>
                <w:color w:val="000000"/>
                <w:sz w:val="18"/>
                <w:szCs w:val="18"/>
                <w:lang w:val="x-none"/>
              </w:rPr>
              <w:t xml:space="preserve">) </w:t>
            </w:r>
            <w:r>
              <w:rPr>
                <w:rFonts w:ascii="Arial" w:hAnsi="Arial" w:cs="Arial"/>
                <w:i/>
                <w:iCs/>
                <w:color w:val="000000"/>
                <w:sz w:val="18"/>
                <w:szCs w:val="18"/>
                <w:lang w:val="x-none"/>
              </w:rPr>
              <w:t>(wersja angielska)</w:t>
            </w:r>
            <w:r>
              <w:rPr>
                <w:rFonts w:ascii="Arial" w:hAnsi="Arial" w:cs="Arial"/>
                <w:color w:val="000000"/>
                <w:sz w:val="18"/>
                <w:szCs w:val="18"/>
                <w:lang w:val="x-none"/>
              </w:rPr>
              <w:t>.</w:t>
            </w:r>
          </w:p>
        </w:tc>
      </w:tr>
      <w:tr w:rsidR="000A3B2B" w14:paraId="2553BB6B" w14:textId="77777777">
        <w:trPr>
          <w:trHeight w:val="60"/>
          <w:tblCellSpacing w:w="0" w:type="dxa"/>
        </w:trPr>
        <w:tc>
          <w:tcPr>
            <w:tcW w:w="338" w:type="dxa"/>
            <w:tcBorders>
              <w:top w:val="nil"/>
              <w:left w:val="nil"/>
              <w:bottom w:val="nil"/>
              <w:right w:val="nil"/>
            </w:tcBorders>
          </w:tcPr>
          <w:p w14:paraId="4419C5FF"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2.</w:t>
            </w:r>
          </w:p>
        </w:tc>
        <w:tc>
          <w:tcPr>
            <w:tcW w:w="3420" w:type="dxa"/>
            <w:tcBorders>
              <w:top w:val="nil"/>
              <w:left w:val="nil"/>
              <w:bottom w:val="nil"/>
              <w:right w:val="nil"/>
            </w:tcBorders>
          </w:tcPr>
          <w:p w14:paraId="2BCDA9DF"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410:2011</w:t>
            </w:r>
          </w:p>
        </w:tc>
        <w:tc>
          <w:tcPr>
            <w:tcW w:w="5564" w:type="dxa"/>
            <w:tcBorders>
              <w:top w:val="nil"/>
              <w:left w:val="nil"/>
              <w:bottom w:val="nil"/>
              <w:right w:val="nil"/>
            </w:tcBorders>
          </w:tcPr>
          <w:p w14:paraId="0BFA8883"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Szkło w budownictwie – Określenie świetlnych i słonecznych właściwości oszklenia.</w:t>
            </w:r>
          </w:p>
        </w:tc>
      </w:tr>
      <w:tr w:rsidR="000A3B2B" w14:paraId="7B90FE75" w14:textId="77777777">
        <w:trPr>
          <w:trHeight w:val="60"/>
          <w:tblCellSpacing w:w="0" w:type="dxa"/>
        </w:trPr>
        <w:tc>
          <w:tcPr>
            <w:tcW w:w="338" w:type="dxa"/>
            <w:tcBorders>
              <w:top w:val="nil"/>
              <w:left w:val="nil"/>
              <w:bottom w:val="nil"/>
              <w:right w:val="nil"/>
            </w:tcBorders>
          </w:tcPr>
          <w:p w14:paraId="1849C9B2"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3.</w:t>
            </w:r>
          </w:p>
        </w:tc>
        <w:tc>
          <w:tcPr>
            <w:tcW w:w="3420" w:type="dxa"/>
            <w:tcBorders>
              <w:top w:val="nil"/>
              <w:left w:val="nil"/>
              <w:bottom w:val="nil"/>
              <w:right w:val="nil"/>
            </w:tcBorders>
          </w:tcPr>
          <w:p w14:paraId="61CB72A0"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ISO 717-1: 2013-08</w:t>
            </w:r>
          </w:p>
        </w:tc>
        <w:tc>
          <w:tcPr>
            <w:tcW w:w="5564" w:type="dxa"/>
            <w:tcBorders>
              <w:top w:val="nil"/>
              <w:left w:val="nil"/>
              <w:bottom w:val="nil"/>
              <w:right w:val="nil"/>
            </w:tcBorders>
          </w:tcPr>
          <w:p w14:paraId="54F95078"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Akustyka – Ocena izolacyjności akustycznej w budynkach i izolacyjności akustycznej elementów budowlanych – Izolacyjność od dźwięków powietrznych (</w:t>
            </w:r>
            <w:r>
              <w:rPr>
                <w:rFonts w:ascii="Arial" w:hAnsi="Arial" w:cs="Arial"/>
                <w:i/>
                <w:iCs/>
                <w:color w:val="000000"/>
                <w:sz w:val="18"/>
                <w:szCs w:val="18"/>
                <w:lang w:val="x-none"/>
              </w:rPr>
              <w:t>oryg.</w:t>
            </w:r>
            <w:r>
              <w:rPr>
                <w:rFonts w:ascii="Arial" w:hAnsi="Arial" w:cs="Arial"/>
                <w:color w:val="000000"/>
                <w:sz w:val="18"/>
                <w:szCs w:val="18"/>
                <w:lang w:val="x-none"/>
              </w:rPr>
              <w:t xml:space="preserve">) </w:t>
            </w:r>
            <w:r>
              <w:rPr>
                <w:rFonts w:ascii="Arial" w:hAnsi="Arial" w:cs="Arial"/>
                <w:i/>
                <w:iCs/>
                <w:color w:val="000000"/>
                <w:sz w:val="18"/>
                <w:szCs w:val="18"/>
                <w:lang w:val="x-none"/>
              </w:rPr>
              <w:t>(wersja angielska)</w:t>
            </w:r>
            <w:r>
              <w:rPr>
                <w:rFonts w:ascii="Arial" w:hAnsi="Arial" w:cs="Arial"/>
                <w:color w:val="000000"/>
                <w:sz w:val="18"/>
                <w:szCs w:val="18"/>
                <w:lang w:val="x-none"/>
              </w:rPr>
              <w:t>.</w:t>
            </w:r>
          </w:p>
        </w:tc>
      </w:tr>
      <w:tr w:rsidR="000A3B2B" w14:paraId="41284490" w14:textId="77777777">
        <w:trPr>
          <w:trHeight w:val="60"/>
          <w:tblCellSpacing w:w="0" w:type="dxa"/>
        </w:trPr>
        <w:tc>
          <w:tcPr>
            <w:tcW w:w="338" w:type="dxa"/>
            <w:tcBorders>
              <w:top w:val="nil"/>
              <w:left w:val="nil"/>
              <w:bottom w:val="nil"/>
              <w:right w:val="nil"/>
            </w:tcBorders>
          </w:tcPr>
          <w:p w14:paraId="047EB9CE"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4.</w:t>
            </w:r>
          </w:p>
        </w:tc>
        <w:tc>
          <w:tcPr>
            <w:tcW w:w="3420" w:type="dxa"/>
            <w:tcBorders>
              <w:top w:val="nil"/>
              <w:left w:val="nil"/>
              <w:bottom w:val="nil"/>
              <w:right w:val="nil"/>
            </w:tcBorders>
          </w:tcPr>
          <w:p w14:paraId="0CAACB83"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1026:2016-04</w:t>
            </w:r>
          </w:p>
        </w:tc>
        <w:tc>
          <w:tcPr>
            <w:tcW w:w="5564" w:type="dxa"/>
            <w:tcBorders>
              <w:top w:val="nil"/>
              <w:left w:val="nil"/>
              <w:bottom w:val="nil"/>
              <w:right w:val="nil"/>
            </w:tcBorders>
          </w:tcPr>
          <w:p w14:paraId="0F4E127F"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Okna i drzwi – Przepuszczalność powietrza – Metoda badania (</w:t>
            </w:r>
            <w:r>
              <w:rPr>
                <w:rFonts w:ascii="Arial" w:hAnsi="Arial" w:cs="Arial"/>
                <w:i/>
                <w:iCs/>
                <w:color w:val="000000"/>
                <w:sz w:val="18"/>
                <w:szCs w:val="18"/>
                <w:lang w:val="x-none"/>
              </w:rPr>
              <w:t>oryg</w:t>
            </w:r>
            <w:r>
              <w:rPr>
                <w:rFonts w:ascii="Arial" w:hAnsi="Arial" w:cs="Arial"/>
                <w:color w:val="000000"/>
                <w:sz w:val="18"/>
                <w:szCs w:val="18"/>
                <w:lang w:val="x-none"/>
              </w:rPr>
              <w:t xml:space="preserve">.) </w:t>
            </w:r>
            <w:r>
              <w:rPr>
                <w:rFonts w:ascii="Arial" w:hAnsi="Arial" w:cs="Arial"/>
                <w:i/>
                <w:iCs/>
                <w:color w:val="000000"/>
                <w:sz w:val="18"/>
                <w:szCs w:val="18"/>
                <w:lang w:val="x-none"/>
              </w:rPr>
              <w:t>(wersja angielska)</w:t>
            </w:r>
            <w:r>
              <w:rPr>
                <w:rFonts w:ascii="Arial" w:hAnsi="Arial" w:cs="Arial"/>
                <w:color w:val="000000"/>
                <w:sz w:val="18"/>
                <w:szCs w:val="18"/>
                <w:lang w:val="x-none"/>
              </w:rPr>
              <w:t>.</w:t>
            </w:r>
          </w:p>
        </w:tc>
      </w:tr>
      <w:tr w:rsidR="000A3B2B" w14:paraId="638B87B5" w14:textId="77777777">
        <w:trPr>
          <w:trHeight w:val="60"/>
          <w:tblCellSpacing w:w="0" w:type="dxa"/>
        </w:trPr>
        <w:tc>
          <w:tcPr>
            <w:tcW w:w="338" w:type="dxa"/>
            <w:tcBorders>
              <w:top w:val="nil"/>
              <w:left w:val="nil"/>
              <w:bottom w:val="nil"/>
              <w:right w:val="nil"/>
            </w:tcBorders>
          </w:tcPr>
          <w:p w14:paraId="40DB2B85"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5.</w:t>
            </w:r>
          </w:p>
        </w:tc>
        <w:tc>
          <w:tcPr>
            <w:tcW w:w="3420" w:type="dxa"/>
            <w:tcBorders>
              <w:top w:val="nil"/>
              <w:left w:val="nil"/>
              <w:bottom w:val="nil"/>
              <w:right w:val="nil"/>
            </w:tcBorders>
          </w:tcPr>
          <w:p w14:paraId="332153AD"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1027:2016-04</w:t>
            </w:r>
          </w:p>
        </w:tc>
        <w:tc>
          <w:tcPr>
            <w:tcW w:w="5564" w:type="dxa"/>
            <w:tcBorders>
              <w:top w:val="nil"/>
              <w:left w:val="nil"/>
              <w:bottom w:val="nil"/>
              <w:right w:val="nil"/>
            </w:tcBorders>
          </w:tcPr>
          <w:p w14:paraId="2093DCD4"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Okna i drzwi – Wodoszczelność – Metoda badania (</w:t>
            </w:r>
            <w:r>
              <w:rPr>
                <w:rFonts w:ascii="Arial" w:hAnsi="Arial" w:cs="Arial"/>
                <w:i/>
                <w:iCs/>
                <w:color w:val="000000"/>
                <w:sz w:val="18"/>
                <w:szCs w:val="18"/>
                <w:lang w:val="x-none"/>
              </w:rPr>
              <w:t>oryg</w:t>
            </w:r>
            <w:r>
              <w:rPr>
                <w:rFonts w:ascii="Arial" w:hAnsi="Arial" w:cs="Arial"/>
                <w:color w:val="000000"/>
                <w:sz w:val="18"/>
                <w:szCs w:val="18"/>
                <w:lang w:val="x-none"/>
              </w:rPr>
              <w:t xml:space="preserve">.) </w:t>
            </w:r>
            <w:r>
              <w:rPr>
                <w:rFonts w:ascii="Arial" w:hAnsi="Arial" w:cs="Arial"/>
                <w:i/>
                <w:iCs/>
                <w:color w:val="000000"/>
                <w:sz w:val="18"/>
                <w:szCs w:val="18"/>
                <w:lang w:val="x-none"/>
              </w:rPr>
              <w:t>(wersja angielska)</w:t>
            </w:r>
            <w:r>
              <w:rPr>
                <w:rFonts w:ascii="Arial" w:hAnsi="Arial" w:cs="Arial"/>
                <w:color w:val="000000"/>
                <w:sz w:val="18"/>
                <w:szCs w:val="18"/>
                <w:lang w:val="x-none"/>
              </w:rPr>
              <w:t>.</w:t>
            </w:r>
          </w:p>
        </w:tc>
      </w:tr>
      <w:tr w:rsidR="000A3B2B" w14:paraId="449E52DD" w14:textId="77777777">
        <w:trPr>
          <w:trHeight w:val="60"/>
          <w:tblCellSpacing w:w="0" w:type="dxa"/>
        </w:trPr>
        <w:tc>
          <w:tcPr>
            <w:tcW w:w="338" w:type="dxa"/>
            <w:tcBorders>
              <w:top w:val="nil"/>
              <w:left w:val="nil"/>
              <w:bottom w:val="nil"/>
              <w:right w:val="nil"/>
            </w:tcBorders>
          </w:tcPr>
          <w:p w14:paraId="7AE20AA9"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6.</w:t>
            </w:r>
          </w:p>
        </w:tc>
        <w:tc>
          <w:tcPr>
            <w:tcW w:w="3420" w:type="dxa"/>
            <w:tcBorders>
              <w:top w:val="nil"/>
              <w:left w:val="nil"/>
              <w:bottom w:val="nil"/>
              <w:right w:val="nil"/>
            </w:tcBorders>
          </w:tcPr>
          <w:p w14:paraId="4CBFE26A"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1191:2013-06</w:t>
            </w:r>
          </w:p>
        </w:tc>
        <w:tc>
          <w:tcPr>
            <w:tcW w:w="5564" w:type="dxa"/>
            <w:tcBorders>
              <w:top w:val="nil"/>
              <w:left w:val="nil"/>
              <w:bottom w:val="nil"/>
              <w:right w:val="nil"/>
            </w:tcBorders>
          </w:tcPr>
          <w:p w14:paraId="785DE16F"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Okna i drzwi – Odporność na wielokrotne otwieranie i zamykanie – Metoda badania (</w:t>
            </w:r>
            <w:r>
              <w:rPr>
                <w:rFonts w:ascii="Arial" w:hAnsi="Arial" w:cs="Arial"/>
                <w:i/>
                <w:iCs/>
                <w:color w:val="000000"/>
                <w:sz w:val="18"/>
                <w:szCs w:val="18"/>
                <w:lang w:val="x-none"/>
              </w:rPr>
              <w:t>oryg</w:t>
            </w:r>
            <w:r>
              <w:rPr>
                <w:rFonts w:ascii="Arial" w:hAnsi="Arial" w:cs="Arial"/>
                <w:color w:val="000000"/>
                <w:sz w:val="18"/>
                <w:szCs w:val="18"/>
                <w:lang w:val="x-none"/>
              </w:rPr>
              <w:t xml:space="preserve">.) </w:t>
            </w:r>
            <w:r>
              <w:rPr>
                <w:rFonts w:ascii="Arial" w:hAnsi="Arial" w:cs="Arial"/>
                <w:i/>
                <w:iCs/>
                <w:color w:val="000000"/>
                <w:sz w:val="18"/>
                <w:szCs w:val="18"/>
                <w:lang w:val="x-none"/>
              </w:rPr>
              <w:t>(wersja angielska)</w:t>
            </w:r>
            <w:r>
              <w:rPr>
                <w:rFonts w:ascii="Arial" w:hAnsi="Arial" w:cs="Arial"/>
                <w:color w:val="000000"/>
                <w:sz w:val="18"/>
                <w:szCs w:val="18"/>
                <w:lang w:val="x-none"/>
              </w:rPr>
              <w:t>.</w:t>
            </w:r>
          </w:p>
        </w:tc>
      </w:tr>
      <w:tr w:rsidR="000A3B2B" w14:paraId="60DA0FF5" w14:textId="77777777">
        <w:trPr>
          <w:trHeight w:val="60"/>
          <w:tblCellSpacing w:w="0" w:type="dxa"/>
        </w:trPr>
        <w:tc>
          <w:tcPr>
            <w:tcW w:w="338" w:type="dxa"/>
            <w:tcBorders>
              <w:top w:val="nil"/>
              <w:left w:val="nil"/>
              <w:bottom w:val="nil"/>
              <w:right w:val="nil"/>
            </w:tcBorders>
          </w:tcPr>
          <w:p w14:paraId="08DDC5B9"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7.</w:t>
            </w:r>
          </w:p>
        </w:tc>
        <w:tc>
          <w:tcPr>
            <w:tcW w:w="3420" w:type="dxa"/>
            <w:tcBorders>
              <w:top w:val="nil"/>
              <w:left w:val="nil"/>
              <w:bottom w:val="nil"/>
              <w:right w:val="nil"/>
            </w:tcBorders>
          </w:tcPr>
          <w:p w14:paraId="3EF71117"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1522:2000</w:t>
            </w:r>
          </w:p>
        </w:tc>
        <w:tc>
          <w:tcPr>
            <w:tcW w:w="5564" w:type="dxa"/>
            <w:tcBorders>
              <w:top w:val="nil"/>
              <w:left w:val="nil"/>
              <w:bottom w:val="nil"/>
              <w:right w:val="nil"/>
            </w:tcBorders>
          </w:tcPr>
          <w:p w14:paraId="275772C1"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Okna, drzwi, żaluzje i zasłony – Kuloodporność – Wymagania i klasyfikacja.</w:t>
            </w:r>
          </w:p>
        </w:tc>
      </w:tr>
      <w:tr w:rsidR="000A3B2B" w14:paraId="45F96657" w14:textId="77777777">
        <w:trPr>
          <w:trHeight w:val="60"/>
          <w:tblCellSpacing w:w="0" w:type="dxa"/>
        </w:trPr>
        <w:tc>
          <w:tcPr>
            <w:tcW w:w="338" w:type="dxa"/>
            <w:tcBorders>
              <w:top w:val="nil"/>
              <w:left w:val="nil"/>
              <w:bottom w:val="nil"/>
              <w:right w:val="nil"/>
            </w:tcBorders>
          </w:tcPr>
          <w:p w14:paraId="28A30C89"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8.</w:t>
            </w:r>
          </w:p>
        </w:tc>
        <w:tc>
          <w:tcPr>
            <w:tcW w:w="3420" w:type="dxa"/>
            <w:tcBorders>
              <w:top w:val="nil"/>
              <w:left w:val="nil"/>
              <w:bottom w:val="nil"/>
              <w:right w:val="nil"/>
            </w:tcBorders>
          </w:tcPr>
          <w:p w14:paraId="1224B824"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1523:2000</w:t>
            </w:r>
          </w:p>
        </w:tc>
        <w:tc>
          <w:tcPr>
            <w:tcW w:w="5564" w:type="dxa"/>
            <w:tcBorders>
              <w:top w:val="nil"/>
              <w:left w:val="nil"/>
              <w:bottom w:val="nil"/>
              <w:right w:val="nil"/>
            </w:tcBorders>
          </w:tcPr>
          <w:p w14:paraId="25B904C9"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Okna, drzwi, żaluzje i zasłony – Kuloodporność – Metody badań.</w:t>
            </w:r>
          </w:p>
        </w:tc>
      </w:tr>
      <w:tr w:rsidR="000A3B2B" w14:paraId="04998149" w14:textId="77777777">
        <w:trPr>
          <w:trHeight w:val="60"/>
          <w:tblCellSpacing w:w="0" w:type="dxa"/>
        </w:trPr>
        <w:tc>
          <w:tcPr>
            <w:tcW w:w="338" w:type="dxa"/>
            <w:tcBorders>
              <w:top w:val="nil"/>
              <w:left w:val="nil"/>
              <w:bottom w:val="nil"/>
              <w:right w:val="nil"/>
            </w:tcBorders>
          </w:tcPr>
          <w:p w14:paraId="0BD7F0D9"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9.</w:t>
            </w:r>
          </w:p>
        </w:tc>
        <w:tc>
          <w:tcPr>
            <w:tcW w:w="3420" w:type="dxa"/>
            <w:tcBorders>
              <w:top w:val="nil"/>
              <w:left w:val="nil"/>
              <w:bottom w:val="nil"/>
              <w:right w:val="nil"/>
            </w:tcBorders>
          </w:tcPr>
          <w:p w14:paraId="763F751E"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1627:2012</w:t>
            </w:r>
          </w:p>
        </w:tc>
        <w:tc>
          <w:tcPr>
            <w:tcW w:w="5564" w:type="dxa"/>
            <w:tcBorders>
              <w:top w:val="nil"/>
              <w:left w:val="nil"/>
              <w:bottom w:val="nil"/>
              <w:right w:val="nil"/>
            </w:tcBorders>
          </w:tcPr>
          <w:p w14:paraId="7B7CFA41"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Drzwi, okna,  ściany osłonowe, kraty i żaluzje – Odporność na włamanie – Wymagania i klasyfikacja.</w:t>
            </w:r>
          </w:p>
        </w:tc>
      </w:tr>
      <w:tr w:rsidR="000A3B2B" w14:paraId="2298E9F2" w14:textId="77777777">
        <w:trPr>
          <w:trHeight w:val="60"/>
          <w:tblCellSpacing w:w="0" w:type="dxa"/>
        </w:trPr>
        <w:tc>
          <w:tcPr>
            <w:tcW w:w="338" w:type="dxa"/>
            <w:tcBorders>
              <w:top w:val="nil"/>
              <w:left w:val="nil"/>
              <w:bottom w:val="nil"/>
              <w:right w:val="nil"/>
            </w:tcBorders>
          </w:tcPr>
          <w:p w14:paraId="10016FC4"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10.</w:t>
            </w:r>
          </w:p>
        </w:tc>
        <w:tc>
          <w:tcPr>
            <w:tcW w:w="3420" w:type="dxa"/>
            <w:tcBorders>
              <w:top w:val="nil"/>
              <w:left w:val="nil"/>
              <w:bottom w:val="nil"/>
              <w:right w:val="nil"/>
            </w:tcBorders>
          </w:tcPr>
          <w:p w14:paraId="2229660E"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1628+A1:2016-02</w:t>
            </w:r>
          </w:p>
        </w:tc>
        <w:tc>
          <w:tcPr>
            <w:tcW w:w="5564" w:type="dxa"/>
            <w:tcBorders>
              <w:top w:val="nil"/>
              <w:left w:val="nil"/>
              <w:bottom w:val="nil"/>
              <w:right w:val="nil"/>
            </w:tcBorders>
          </w:tcPr>
          <w:p w14:paraId="293CF53D"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Drzwi, okna, ściany osłonowe, kraty  i żaluzje – Odporność na włamanie – Metoda badania dla określenia odporności na obciążenie statyczne (</w:t>
            </w:r>
            <w:r>
              <w:rPr>
                <w:rFonts w:ascii="Arial" w:hAnsi="Arial" w:cs="Arial"/>
                <w:i/>
                <w:iCs/>
                <w:color w:val="000000"/>
                <w:sz w:val="18"/>
                <w:szCs w:val="18"/>
                <w:lang w:val="x-none"/>
              </w:rPr>
              <w:t>oryg</w:t>
            </w:r>
            <w:r>
              <w:rPr>
                <w:rFonts w:ascii="Arial" w:hAnsi="Arial" w:cs="Arial"/>
                <w:color w:val="000000"/>
                <w:sz w:val="18"/>
                <w:szCs w:val="18"/>
                <w:lang w:val="x-none"/>
              </w:rPr>
              <w:t xml:space="preserve">.) </w:t>
            </w:r>
            <w:r>
              <w:rPr>
                <w:rFonts w:ascii="Arial" w:hAnsi="Arial" w:cs="Arial"/>
                <w:i/>
                <w:iCs/>
                <w:color w:val="000000"/>
                <w:sz w:val="18"/>
                <w:szCs w:val="18"/>
                <w:lang w:val="x-none"/>
              </w:rPr>
              <w:t>(wersja angielska)</w:t>
            </w:r>
            <w:r>
              <w:rPr>
                <w:rFonts w:ascii="Arial" w:hAnsi="Arial" w:cs="Arial"/>
                <w:color w:val="000000"/>
                <w:sz w:val="18"/>
                <w:szCs w:val="18"/>
                <w:lang w:val="x-none"/>
              </w:rPr>
              <w:t>.</w:t>
            </w:r>
          </w:p>
        </w:tc>
      </w:tr>
      <w:tr w:rsidR="000A3B2B" w14:paraId="07491704" w14:textId="77777777">
        <w:trPr>
          <w:trHeight w:val="60"/>
          <w:tblCellSpacing w:w="0" w:type="dxa"/>
        </w:trPr>
        <w:tc>
          <w:tcPr>
            <w:tcW w:w="338" w:type="dxa"/>
            <w:tcBorders>
              <w:top w:val="nil"/>
              <w:left w:val="nil"/>
              <w:bottom w:val="nil"/>
              <w:right w:val="nil"/>
            </w:tcBorders>
          </w:tcPr>
          <w:p w14:paraId="5F53B903"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11.</w:t>
            </w:r>
          </w:p>
        </w:tc>
        <w:tc>
          <w:tcPr>
            <w:tcW w:w="3420" w:type="dxa"/>
            <w:tcBorders>
              <w:top w:val="nil"/>
              <w:left w:val="nil"/>
              <w:bottom w:val="nil"/>
              <w:right w:val="nil"/>
            </w:tcBorders>
          </w:tcPr>
          <w:p w14:paraId="29ED8899"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1629+A1:2016-02</w:t>
            </w:r>
          </w:p>
        </w:tc>
        <w:tc>
          <w:tcPr>
            <w:tcW w:w="5564" w:type="dxa"/>
            <w:tcBorders>
              <w:top w:val="nil"/>
              <w:left w:val="nil"/>
              <w:bottom w:val="nil"/>
              <w:right w:val="nil"/>
            </w:tcBorders>
          </w:tcPr>
          <w:p w14:paraId="189E2DA0"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Drzwi, okna, ściany osłonowe, kraty i żaluzje – Odporność na włamanie – Metoda badania dla określenia odporności na obciążenie dynamiczne (</w:t>
            </w:r>
            <w:r>
              <w:rPr>
                <w:rFonts w:ascii="Arial" w:hAnsi="Arial" w:cs="Arial"/>
                <w:i/>
                <w:iCs/>
                <w:color w:val="000000"/>
                <w:sz w:val="18"/>
                <w:szCs w:val="18"/>
                <w:lang w:val="x-none"/>
              </w:rPr>
              <w:t>oryg</w:t>
            </w:r>
            <w:r>
              <w:rPr>
                <w:rFonts w:ascii="Arial" w:hAnsi="Arial" w:cs="Arial"/>
                <w:color w:val="000000"/>
                <w:sz w:val="18"/>
                <w:szCs w:val="18"/>
                <w:lang w:val="x-none"/>
              </w:rPr>
              <w:t xml:space="preserve">.) </w:t>
            </w:r>
            <w:r>
              <w:rPr>
                <w:rFonts w:ascii="Arial" w:hAnsi="Arial" w:cs="Arial"/>
                <w:i/>
                <w:iCs/>
                <w:color w:val="000000"/>
                <w:sz w:val="18"/>
                <w:szCs w:val="18"/>
                <w:lang w:val="x-none"/>
              </w:rPr>
              <w:t>(wersja angielska)</w:t>
            </w:r>
            <w:r>
              <w:rPr>
                <w:rFonts w:ascii="Arial" w:hAnsi="Arial" w:cs="Arial"/>
                <w:color w:val="000000"/>
                <w:sz w:val="18"/>
                <w:szCs w:val="18"/>
                <w:lang w:val="x-none"/>
              </w:rPr>
              <w:t>.</w:t>
            </w:r>
          </w:p>
        </w:tc>
      </w:tr>
      <w:tr w:rsidR="000A3B2B" w14:paraId="3072E63C" w14:textId="77777777">
        <w:trPr>
          <w:trHeight w:val="60"/>
          <w:tblCellSpacing w:w="0" w:type="dxa"/>
        </w:trPr>
        <w:tc>
          <w:tcPr>
            <w:tcW w:w="338" w:type="dxa"/>
            <w:tcBorders>
              <w:top w:val="nil"/>
              <w:left w:val="nil"/>
              <w:bottom w:val="nil"/>
              <w:right w:val="nil"/>
            </w:tcBorders>
          </w:tcPr>
          <w:p w14:paraId="1A04974C"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12.</w:t>
            </w:r>
          </w:p>
        </w:tc>
        <w:tc>
          <w:tcPr>
            <w:tcW w:w="3420" w:type="dxa"/>
            <w:tcBorders>
              <w:top w:val="nil"/>
              <w:left w:val="nil"/>
              <w:bottom w:val="nil"/>
              <w:right w:val="nil"/>
            </w:tcBorders>
          </w:tcPr>
          <w:p w14:paraId="3D2D03D8"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1630+A1:2016-02</w:t>
            </w:r>
          </w:p>
        </w:tc>
        <w:tc>
          <w:tcPr>
            <w:tcW w:w="5564" w:type="dxa"/>
            <w:tcBorders>
              <w:top w:val="nil"/>
              <w:left w:val="nil"/>
              <w:bottom w:val="nil"/>
              <w:right w:val="nil"/>
            </w:tcBorders>
          </w:tcPr>
          <w:p w14:paraId="02F94905"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Drzwi, okna, ściany osłonowe, kraty i żaluzje – Odporność na włamanie – Metoda badania dla określenia odporności na próby włamania ręcznego (</w:t>
            </w:r>
            <w:r>
              <w:rPr>
                <w:rFonts w:ascii="Arial" w:hAnsi="Arial" w:cs="Arial"/>
                <w:i/>
                <w:iCs/>
                <w:color w:val="000000"/>
                <w:sz w:val="18"/>
                <w:szCs w:val="18"/>
                <w:lang w:val="x-none"/>
              </w:rPr>
              <w:t>oryg</w:t>
            </w:r>
            <w:r>
              <w:rPr>
                <w:rFonts w:ascii="Arial" w:hAnsi="Arial" w:cs="Arial"/>
                <w:color w:val="000000"/>
                <w:sz w:val="18"/>
                <w:szCs w:val="18"/>
                <w:lang w:val="x-none"/>
              </w:rPr>
              <w:t xml:space="preserve">.) </w:t>
            </w:r>
            <w:r>
              <w:rPr>
                <w:rFonts w:ascii="Arial" w:hAnsi="Arial" w:cs="Arial"/>
                <w:i/>
                <w:iCs/>
                <w:color w:val="000000"/>
                <w:sz w:val="18"/>
                <w:szCs w:val="18"/>
                <w:lang w:val="x-none"/>
              </w:rPr>
              <w:t>(wersja angielska)</w:t>
            </w:r>
            <w:r>
              <w:rPr>
                <w:rFonts w:ascii="Arial" w:hAnsi="Arial" w:cs="Arial"/>
                <w:color w:val="000000"/>
                <w:sz w:val="18"/>
                <w:szCs w:val="18"/>
                <w:lang w:val="x-none"/>
              </w:rPr>
              <w:t>.</w:t>
            </w:r>
          </w:p>
        </w:tc>
      </w:tr>
      <w:tr w:rsidR="000A3B2B" w14:paraId="27FD6D70" w14:textId="77777777">
        <w:trPr>
          <w:trHeight w:val="60"/>
          <w:tblCellSpacing w:w="0" w:type="dxa"/>
        </w:trPr>
        <w:tc>
          <w:tcPr>
            <w:tcW w:w="338" w:type="dxa"/>
            <w:tcBorders>
              <w:top w:val="nil"/>
              <w:left w:val="nil"/>
              <w:bottom w:val="nil"/>
              <w:right w:val="nil"/>
            </w:tcBorders>
          </w:tcPr>
          <w:p w14:paraId="42F76617"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13.</w:t>
            </w:r>
          </w:p>
        </w:tc>
        <w:tc>
          <w:tcPr>
            <w:tcW w:w="3420" w:type="dxa"/>
            <w:tcBorders>
              <w:top w:val="nil"/>
              <w:left w:val="nil"/>
              <w:bottom w:val="nil"/>
              <w:right w:val="nil"/>
            </w:tcBorders>
          </w:tcPr>
          <w:p w14:paraId="2814461E"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ISO 10077-1:2007</w:t>
            </w:r>
          </w:p>
        </w:tc>
        <w:tc>
          <w:tcPr>
            <w:tcW w:w="5564" w:type="dxa"/>
            <w:tcBorders>
              <w:top w:val="nil"/>
              <w:left w:val="nil"/>
              <w:bottom w:val="nil"/>
              <w:right w:val="nil"/>
            </w:tcBorders>
          </w:tcPr>
          <w:p w14:paraId="2CD2A47F"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Cieplne właściwości użytkowe okien, drzwi i żaluzji – Obliczanie współczynnika przenikania ciepła – Część 1: Postanowienia ogólne.</w:t>
            </w:r>
          </w:p>
        </w:tc>
      </w:tr>
      <w:tr w:rsidR="000A3B2B" w14:paraId="79594DBB" w14:textId="77777777">
        <w:trPr>
          <w:trHeight w:val="60"/>
          <w:tblCellSpacing w:w="0" w:type="dxa"/>
        </w:trPr>
        <w:tc>
          <w:tcPr>
            <w:tcW w:w="338" w:type="dxa"/>
            <w:tcBorders>
              <w:top w:val="nil"/>
              <w:left w:val="nil"/>
              <w:bottom w:val="nil"/>
              <w:right w:val="nil"/>
            </w:tcBorders>
          </w:tcPr>
          <w:p w14:paraId="405C183C"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14.</w:t>
            </w:r>
          </w:p>
        </w:tc>
        <w:tc>
          <w:tcPr>
            <w:tcW w:w="3420" w:type="dxa"/>
            <w:tcBorders>
              <w:top w:val="nil"/>
              <w:left w:val="nil"/>
              <w:bottom w:val="nil"/>
              <w:right w:val="nil"/>
            </w:tcBorders>
          </w:tcPr>
          <w:p w14:paraId="281A98A1"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ISO 10077-2:2012</w:t>
            </w:r>
          </w:p>
        </w:tc>
        <w:tc>
          <w:tcPr>
            <w:tcW w:w="5564" w:type="dxa"/>
            <w:tcBorders>
              <w:top w:val="nil"/>
              <w:left w:val="nil"/>
              <w:bottom w:val="nil"/>
              <w:right w:val="nil"/>
            </w:tcBorders>
          </w:tcPr>
          <w:p w14:paraId="1F5E225F"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Cieplne właściwości użytkowe okien, drzwi i żaluzji – Obliczanie współczynnika przenikania ciepła – Część 2: Metoda komputerowa dla ram.</w:t>
            </w:r>
          </w:p>
        </w:tc>
      </w:tr>
      <w:tr w:rsidR="000A3B2B" w14:paraId="608B7191" w14:textId="77777777">
        <w:trPr>
          <w:trHeight w:val="60"/>
          <w:tblCellSpacing w:w="0" w:type="dxa"/>
        </w:trPr>
        <w:tc>
          <w:tcPr>
            <w:tcW w:w="338" w:type="dxa"/>
            <w:tcBorders>
              <w:top w:val="nil"/>
              <w:left w:val="nil"/>
              <w:bottom w:val="nil"/>
              <w:right w:val="nil"/>
            </w:tcBorders>
          </w:tcPr>
          <w:p w14:paraId="7207FA1D"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15.</w:t>
            </w:r>
          </w:p>
        </w:tc>
        <w:tc>
          <w:tcPr>
            <w:tcW w:w="3420" w:type="dxa"/>
            <w:tcBorders>
              <w:top w:val="nil"/>
              <w:left w:val="nil"/>
              <w:bottom w:val="nil"/>
              <w:right w:val="nil"/>
            </w:tcBorders>
          </w:tcPr>
          <w:p w14:paraId="37131C0D"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12207:2017-01</w:t>
            </w:r>
          </w:p>
        </w:tc>
        <w:tc>
          <w:tcPr>
            <w:tcW w:w="5564" w:type="dxa"/>
            <w:tcBorders>
              <w:top w:val="nil"/>
              <w:left w:val="nil"/>
              <w:bottom w:val="nil"/>
              <w:right w:val="nil"/>
            </w:tcBorders>
          </w:tcPr>
          <w:p w14:paraId="7327FFC1" w14:textId="77777777" w:rsidR="000A3B2B" w:rsidRDefault="000A3B2B">
            <w:pPr>
              <w:autoSpaceDE w:val="0"/>
              <w:autoSpaceDN w:val="0"/>
              <w:adjustRightInd w:val="0"/>
              <w:spacing w:after="30" w:line="240" w:lineRule="auto"/>
              <w:jc w:val="both"/>
              <w:rPr>
                <w:rFonts w:ascii="Arial" w:hAnsi="Arial" w:cs="Arial"/>
                <w:i/>
                <w:iCs/>
                <w:color w:val="000000"/>
                <w:sz w:val="18"/>
                <w:szCs w:val="18"/>
                <w:lang w:val="x-none"/>
              </w:rPr>
            </w:pPr>
            <w:r>
              <w:rPr>
                <w:rFonts w:ascii="Arial" w:hAnsi="Arial" w:cs="Arial"/>
                <w:color w:val="000000"/>
                <w:sz w:val="18"/>
                <w:szCs w:val="18"/>
                <w:lang w:val="x-none"/>
              </w:rPr>
              <w:t xml:space="preserve">Okna i drzwi – Przepuszczalność powietrza – Klasyfikacja </w:t>
            </w:r>
            <w:r>
              <w:rPr>
                <w:rFonts w:ascii="Arial" w:hAnsi="Arial" w:cs="Arial"/>
                <w:i/>
                <w:iCs/>
                <w:color w:val="000000"/>
                <w:sz w:val="18"/>
                <w:szCs w:val="18"/>
                <w:lang w:val="x-none"/>
              </w:rPr>
              <w:t>(wersja angielska).</w:t>
            </w:r>
          </w:p>
        </w:tc>
      </w:tr>
      <w:tr w:rsidR="000A3B2B" w14:paraId="02B889BF" w14:textId="77777777">
        <w:trPr>
          <w:trHeight w:val="60"/>
          <w:tblCellSpacing w:w="0" w:type="dxa"/>
        </w:trPr>
        <w:tc>
          <w:tcPr>
            <w:tcW w:w="338" w:type="dxa"/>
            <w:tcBorders>
              <w:top w:val="nil"/>
              <w:left w:val="nil"/>
              <w:bottom w:val="nil"/>
              <w:right w:val="nil"/>
            </w:tcBorders>
          </w:tcPr>
          <w:p w14:paraId="6090BB97"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16.</w:t>
            </w:r>
          </w:p>
        </w:tc>
        <w:tc>
          <w:tcPr>
            <w:tcW w:w="3420" w:type="dxa"/>
            <w:tcBorders>
              <w:top w:val="nil"/>
              <w:left w:val="nil"/>
              <w:bottom w:val="nil"/>
              <w:right w:val="nil"/>
            </w:tcBorders>
          </w:tcPr>
          <w:p w14:paraId="2B79699F"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12208:2001</w:t>
            </w:r>
          </w:p>
        </w:tc>
        <w:tc>
          <w:tcPr>
            <w:tcW w:w="5564" w:type="dxa"/>
            <w:tcBorders>
              <w:top w:val="nil"/>
              <w:left w:val="nil"/>
              <w:bottom w:val="nil"/>
              <w:right w:val="nil"/>
            </w:tcBorders>
          </w:tcPr>
          <w:p w14:paraId="6BD5C376"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Okna i drzwi – Wodoszczelność – Klasyfikacja.</w:t>
            </w:r>
          </w:p>
        </w:tc>
      </w:tr>
      <w:tr w:rsidR="000A3B2B" w14:paraId="5A6992A4" w14:textId="77777777">
        <w:trPr>
          <w:trHeight w:val="60"/>
          <w:tblCellSpacing w:w="0" w:type="dxa"/>
        </w:trPr>
        <w:tc>
          <w:tcPr>
            <w:tcW w:w="338" w:type="dxa"/>
            <w:tcBorders>
              <w:top w:val="nil"/>
              <w:left w:val="nil"/>
              <w:bottom w:val="nil"/>
              <w:right w:val="nil"/>
            </w:tcBorders>
          </w:tcPr>
          <w:p w14:paraId="7C890BDF"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17.</w:t>
            </w:r>
          </w:p>
        </w:tc>
        <w:tc>
          <w:tcPr>
            <w:tcW w:w="3420" w:type="dxa"/>
            <w:tcBorders>
              <w:top w:val="nil"/>
              <w:left w:val="nil"/>
              <w:bottom w:val="nil"/>
              <w:right w:val="nil"/>
            </w:tcBorders>
          </w:tcPr>
          <w:p w14:paraId="30995FA7"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12210:2016-05</w:t>
            </w:r>
          </w:p>
        </w:tc>
        <w:tc>
          <w:tcPr>
            <w:tcW w:w="5564" w:type="dxa"/>
            <w:tcBorders>
              <w:top w:val="nil"/>
              <w:left w:val="nil"/>
              <w:bottom w:val="nil"/>
              <w:right w:val="nil"/>
            </w:tcBorders>
          </w:tcPr>
          <w:p w14:paraId="06F75AF8"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Okna i drzwi – Odporność na obciążenie wiatrem – Klasyfikacja (</w:t>
            </w:r>
            <w:r>
              <w:rPr>
                <w:rFonts w:ascii="Arial" w:hAnsi="Arial" w:cs="Arial"/>
                <w:i/>
                <w:iCs/>
                <w:color w:val="000000"/>
                <w:sz w:val="18"/>
                <w:szCs w:val="18"/>
                <w:lang w:val="x-none"/>
              </w:rPr>
              <w:t>oryg</w:t>
            </w:r>
            <w:r>
              <w:rPr>
                <w:rFonts w:ascii="Arial" w:hAnsi="Arial" w:cs="Arial"/>
                <w:color w:val="000000"/>
                <w:sz w:val="18"/>
                <w:szCs w:val="18"/>
                <w:lang w:val="x-none"/>
              </w:rPr>
              <w:t xml:space="preserve">.) </w:t>
            </w:r>
            <w:r>
              <w:rPr>
                <w:rFonts w:ascii="Arial" w:hAnsi="Arial" w:cs="Arial"/>
                <w:i/>
                <w:iCs/>
                <w:color w:val="000000"/>
                <w:sz w:val="18"/>
                <w:szCs w:val="18"/>
                <w:lang w:val="x-none"/>
              </w:rPr>
              <w:t>(wersja angielska)</w:t>
            </w:r>
            <w:r>
              <w:rPr>
                <w:rFonts w:ascii="Arial" w:hAnsi="Arial" w:cs="Arial"/>
                <w:color w:val="000000"/>
                <w:sz w:val="18"/>
                <w:szCs w:val="18"/>
                <w:lang w:val="x-none"/>
              </w:rPr>
              <w:t>.</w:t>
            </w:r>
          </w:p>
        </w:tc>
      </w:tr>
      <w:tr w:rsidR="000A3B2B" w14:paraId="6448C105" w14:textId="77777777">
        <w:trPr>
          <w:trHeight w:val="60"/>
          <w:tblCellSpacing w:w="0" w:type="dxa"/>
        </w:trPr>
        <w:tc>
          <w:tcPr>
            <w:tcW w:w="338" w:type="dxa"/>
            <w:tcBorders>
              <w:top w:val="nil"/>
              <w:left w:val="nil"/>
              <w:bottom w:val="nil"/>
              <w:right w:val="nil"/>
            </w:tcBorders>
          </w:tcPr>
          <w:p w14:paraId="1F2B8069"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18.</w:t>
            </w:r>
          </w:p>
        </w:tc>
        <w:tc>
          <w:tcPr>
            <w:tcW w:w="3420" w:type="dxa"/>
            <w:tcBorders>
              <w:top w:val="nil"/>
              <w:left w:val="nil"/>
              <w:bottom w:val="nil"/>
              <w:right w:val="nil"/>
            </w:tcBorders>
          </w:tcPr>
          <w:p w14:paraId="62EA0606"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12211:2016-04</w:t>
            </w:r>
          </w:p>
        </w:tc>
        <w:tc>
          <w:tcPr>
            <w:tcW w:w="5564" w:type="dxa"/>
            <w:tcBorders>
              <w:top w:val="nil"/>
              <w:left w:val="nil"/>
              <w:bottom w:val="nil"/>
              <w:right w:val="nil"/>
            </w:tcBorders>
          </w:tcPr>
          <w:p w14:paraId="46F5F1C4"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Okna i drzwi – Odporność na obciążenie wiatrem – Metoda badania (</w:t>
            </w:r>
            <w:r>
              <w:rPr>
                <w:rFonts w:ascii="Arial" w:hAnsi="Arial" w:cs="Arial"/>
                <w:i/>
                <w:iCs/>
                <w:color w:val="000000"/>
                <w:sz w:val="18"/>
                <w:szCs w:val="18"/>
                <w:lang w:val="x-none"/>
              </w:rPr>
              <w:t>oryg</w:t>
            </w:r>
            <w:r>
              <w:rPr>
                <w:rFonts w:ascii="Arial" w:hAnsi="Arial" w:cs="Arial"/>
                <w:color w:val="000000"/>
                <w:sz w:val="18"/>
                <w:szCs w:val="18"/>
                <w:lang w:val="x-none"/>
              </w:rPr>
              <w:t xml:space="preserve">.) </w:t>
            </w:r>
            <w:r>
              <w:rPr>
                <w:rFonts w:ascii="Arial" w:hAnsi="Arial" w:cs="Arial"/>
                <w:i/>
                <w:iCs/>
                <w:color w:val="000000"/>
                <w:sz w:val="18"/>
                <w:szCs w:val="18"/>
                <w:lang w:val="x-none"/>
              </w:rPr>
              <w:t>(wersja angielska)</w:t>
            </w:r>
            <w:r>
              <w:rPr>
                <w:rFonts w:ascii="Arial" w:hAnsi="Arial" w:cs="Arial"/>
                <w:color w:val="000000"/>
                <w:sz w:val="18"/>
                <w:szCs w:val="18"/>
                <w:lang w:val="x-none"/>
              </w:rPr>
              <w:t>.</w:t>
            </w:r>
          </w:p>
        </w:tc>
      </w:tr>
      <w:tr w:rsidR="000A3B2B" w14:paraId="5A340CF4" w14:textId="77777777">
        <w:trPr>
          <w:trHeight w:val="60"/>
          <w:tblCellSpacing w:w="0" w:type="dxa"/>
        </w:trPr>
        <w:tc>
          <w:tcPr>
            <w:tcW w:w="338" w:type="dxa"/>
            <w:tcBorders>
              <w:top w:val="nil"/>
              <w:left w:val="nil"/>
              <w:bottom w:val="nil"/>
              <w:right w:val="nil"/>
            </w:tcBorders>
          </w:tcPr>
          <w:p w14:paraId="5621CE55"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19.</w:t>
            </w:r>
          </w:p>
        </w:tc>
        <w:tc>
          <w:tcPr>
            <w:tcW w:w="3420" w:type="dxa"/>
            <w:tcBorders>
              <w:top w:val="nil"/>
              <w:left w:val="nil"/>
              <w:bottom w:val="nil"/>
              <w:right w:val="nil"/>
            </w:tcBorders>
          </w:tcPr>
          <w:p w14:paraId="69F573D5"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12400:2004</w:t>
            </w:r>
          </w:p>
        </w:tc>
        <w:tc>
          <w:tcPr>
            <w:tcW w:w="5564" w:type="dxa"/>
            <w:tcBorders>
              <w:top w:val="nil"/>
              <w:left w:val="nil"/>
              <w:bottom w:val="nil"/>
              <w:right w:val="nil"/>
            </w:tcBorders>
          </w:tcPr>
          <w:p w14:paraId="0869B43C"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Okna i drzwi – Trwałość mechaniczna – Wymagania i klasyfikacja.</w:t>
            </w:r>
          </w:p>
        </w:tc>
      </w:tr>
      <w:tr w:rsidR="000A3B2B" w14:paraId="356B74E4" w14:textId="77777777">
        <w:trPr>
          <w:trHeight w:val="60"/>
          <w:tblCellSpacing w:w="0" w:type="dxa"/>
        </w:trPr>
        <w:tc>
          <w:tcPr>
            <w:tcW w:w="338" w:type="dxa"/>
            <w:tcBorders>
              <w:top w:val="nil"/>
              <w:left w:val="nil"/>
              <w:bottom w:val="nil"/>
              <w:right w:val="nil"/>
            </w:tcBorders>
          </w:tcPr>
          <w:p w14:paraId="19E1DE76"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20.</w:t>
            </w:r>
          </w:p>
        </w:tc>
        <w:tc>
          <w:tcPr>
            <w:tcW w:w="3420" w:type="dxa"/>
            <w:tcBorders>
              <w:top w:val="nil"/>
              <w:left w:val="nil"/>
              <w:bottom w:val="nil"/>
              <w:right w:val="nil"/>
            </w:tcBorders>
          </w:tcPr>
          <w:p w14:paraId="092004FA"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12365-1:2006</w:t>
            </w:r>
          </w:p>
        </w:tc>
        <w:tc>
          <w:tcPr>
            <w:tcW w:w="5564" w:type="dxa"/>
            <w:tcBorders>
              <w:top w:val="nil"/>
              <w:left w:val="nil"/>
              <w:bottom w:val="nil"/>
              <w:right w:val="nil"/>
            </w:tcBorders>
          </w:tcPr>
          <w:p w14:paraId="2C6B8F76"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Okucia budowlane – Uszczelki i taśmy uszczelniające do drzwi, okien, żaluzji i ścian osłonowych – Część 1: Wymagania eksploatacyjne i klasyfikacja.</w:t>
            </w:r>
          </w:p>
        </w:tc>
      </w:tr>
      <w:tr w:rsidR="000A3B2B" w14:paraId="69D351A1" w14:textId="77777777">
        <w:trPr>
          <w:trHeight w:val="60"/>
          <w:tblCellSpacing w:w="0" w:type="dxa"/>
        </w:trPr>
        <w:tc>
          <w:tcPr>
            <w:tcW w:w="338" w:type="dxa"/>
            <w:tcBorders>
              <w:top w:val="nil"/>
              <w:left w:val="nil"/>
              <w:bottom w:val="nil"/>
              <w:right w:val="nil"/>
            </w:tcBorders>
          </w:tcPr>
          <w:p w14:paraId="76700C31"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21.</w:t>
            </w:r>
          </w:p>
        </w:tc>
        <w:tc>
          <w:tcPr>
            <w:tcW w:w="3420" w:type="dxa"/>
            <w:tcBorders>
              <w:top w:val="nil"/>
              <w:left w:val="nil"/>
              <w:bottom w:val="nil"/>
              <w:right w:val="nil"/>
            </w:tcBorders>
          </w:tcPr>
          <w:p w14:paraId="4390AAF0"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12365-2:2006</w:t>
            </w:r>
          </w:p>
        </w:tc>
        <w:tc>
          <w:tcPr>
            <w:tcW w:w="5564" w:type="dxa"/>
            <w:tcBorders>
              <w:top w:val="nil"/>
              <w:left w:val="nil"/>
              <w:bottom w:val="nil"/>
              <w:right w:val="nil"/>
            </w:tcBorders>
          </w:tcPr>
          <w:p w14:paraId="1FFA8BD6"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Okucia budowlane – Uszczelki i taśmy uszczelniające do drzwi, okien, żaluzji i ścian osłonowych – Część 2: Metoda badania liniowej siły ściskającej.</w:t>
            </w:r>
          </w:p>
        </w:tc>
      </w:tr>
      <w:tr w:rsidR="000A3B2B" w14:paraId="0BB81F8C" w14:textId="77777777">
        <w:trPr>
          <w:trHeight w:val="60"/>
          <w:tblCellSpacing w:w="0" w:type="dxa"/>
        </w:trPr>
        <w:tc>
          <w:tcPr>
            <w:tcW w:w="338" w:type="dxa"/>
            <w:tcBorders>
              <w:top w:val="nil"/>
              <w:left w:val="nil"/>
              <w:bottom w:val="nil"/>
              <w:right w:val="nil"/>
            </w:tcBorders>
          </w:tcPr>
          <w:p w14:paraId="6AEF72DD"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22.</w:t>
            </w:r>
          </w:p>
        </w:tc>
        <w:tc>
          <w:tcPr>
            <w:tcW w:w="3420" w:type="dxa"/>
            <w:tcBorders>
              <w:top w:val="nil"/>
              <w:left w:val="nil"/>
              <w:bottom w:val="nil"/>
              <w:right w:val="nil"/>
            </w:tcBorders>
          </w:tcPr>
          <w:p w14:paraId="7F167F45"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12365-3:2006</w:t>
            </w:r>
          </w:p>
        </w:tc>
        <w:tc>
          <w:tcPr>
            <w:tcW w:w="5564" w:type="dxa"/>
            <w:tcBorders>
              <w:top w:val="nil"/>
              <w:left w:val="nil"/>
              <w:bottom w:val="nil"/>
              <w:right w:val="nil"/>
            </w:tcBorders>
          </w:tcPr>
          <w:p w14:paraId="1D1D64FE"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Okucia budowlane – Uszczelki i taśmy uszczelniające do drzwi, okien, żaluzji i ścian osłonowych – Część 3: Metoda badania powrotu </w:t>
            </w:r>
            <w:proofErr w:type="spellStart"/>
            <w:r>
              <w:rPr>
                <w:rFonts w:ascii="Arial" w:hAnsi="Arial" w:cs="Arial"/>
                <w:color w:val="000000"/>
                <w:sz w:val="18"/>
                <w:szCs w:val="18"/>
                <w:lang w:val="x-none"/>
              </w:rPr>
              <w:t>poodkształceniowego</w:t>
            </w:r>
            <w:proofErr w:type="spellEnd"/>
            <w:r>
              <w:rPr>
                <w:rFonts w:ascii="Arial" w:hAnsi="Arial" w:cs="Arial"/>
                <w:color w:val="000000"/>
                <w:sz w:val="18"/>
                <w:szCs w:val="18"/>
                <w:lang w:val="x-none"/>
              </w:rPr>
              <w:t>.</w:t>
            </w:r>
          </w:p>
        </w:tc>
      </w:tr>
      <w:tr w:rsidR="000A3B2B" w14:paraId="4C8570D3" w14:textId="77777777">
        <w:trPr>
          <w:trHeight w:val="60"/>
          <w:tblCellSpacing w:w="0" w:type="dxa"/>
        </w:trPr>
        <w:tc>
          <w:tcPr>
            <w:tcW w:w="338" w:type="dxa"/>
            <w:tcBorders>
              <w:top w:val="nil"/>
              <w:left w:val="nil"/>
              <w:bottom w:val="nil"/>
              <w:right w:val="nil"/>
            </w:tcBorders>
          </w:tcPr>
          <w:p w14:paraId="319EE4F9"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23.</w:t>
            </w:r>
          </w:p>
        </w:tc>
        <w:tc>
          <w:tcPr>
            <w:tcW w:w="3420" w:type="dxa"/>
            <w:tcBorders>
              <w:top w:val="nil"/>
              <w:left w:val="nil"/>
              <w:bottom w:val="nil"/>
              <w:right w:val="nil"/>
            </w:tcBorders>
          </w:tcPr>
          <w:p w14:paraId="37C2F741"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12365-4:2006</w:t>
            </w:r>
          </w:p>
        </w:tc>
        <w:tc>
          <w:tcPr>
            <w:tcW w:w="5564" w:type="dxa"/>
            <w:tcBorders>
              <w:top w:val="nil"/>
              <w:left w:val="nil"/>
              <w:bottom w:val="nil"/>
              <w:right w:val="nil"/>
            </w:tcBorders>
          </w:tcPr>
          <w:p w14:paraId="4D944770"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Okucia budowlane – Uszczelki i taśmy uszczelniające do drzwi, okien, żaluzji i ścian osłonowych – Część 4: Metoda badania powrotu </w:t>
            </w:r>
            <w:proofErr w:type="spellStart"/>
            <w:r>
              <w:rPr>
                <w:rFonts w:ascii="Arial" w:hAnsi="Arial" w:cs="Arial"/>
                <w:color w:val="000000"/>
                <w:sz w:val="18"/>
                <w:szCs w:val="18"/>
                <w:lang w:val="x-none"/>
              </w:rPr>
              <w:t>poodkształceniowego</w:t>
            </w:r>
            <w:proofErr w:type="spellEnd"/>
            <w:r>
              <w:rPr>
                <w:rFonts w:ascii="Arial" w:hAnsi="Arial" w:cs="Arial"/>
                <w:color w:val="000000"/>
                <w:sz w:val="18"/>
                <w:szCs w:val="18"/>
                <w:lang w:val="x-none"/>
              </w:rPr>
              <w:t xml:space="preserve"> po przyspieszonym starzeniu.</w:t>
            </w:r>
          </w:p>
        </w:tc>
      </w:tr>
      <w:tr w:rsidR="000A3B2B" w14:paraId="08590F27" w14:textId="77777777">
        <w:trPr>
          <w:trHeight w:val="60"/>
          <w:tblCellSpacing w:w="0" w:type="dxa"/>
        </w:trPr>
        <w:tc>
          <w:tcPr>
            <w:tcW w:w="338" w:type="dxa"/>
            <w:tcBorders>
              <w:top w:val="nil"/>
              <w:left w:val="nil"/>
              <w:bottom w:val="nil"/>
              <w:right w:val="nil"/>
            </w:tcBorders>
          </w:tcPr>
          <w:p w14:paraId="36462006"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24.</w:t>
            </w:r>
          </w:p>
        </w:tc>
        <w:tc>
          <w:tcPr>
            <w:tcW w:w="3420" w:type="dxa"/>
            <w:tcBorders>
              <w:top w:val="nil"/>
              <w:left w:val="nil"/>
              <w:bottom w:val="nil"/>
              <w:right w:val="nil"/>
            </w:tcBorders>
          </w:tcPr>
          <w:p w14:paraId="3B476A0F"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12519:2007</w:t>
            </w:r>
          </w:p>
        </w:tc>
        <w:tc>
          <w:tcPr>
            <w:tcW w:w="5564" w:type="dxa"/>
            <w:tcBorders>
              <w:top w:val="nil"/>
              <w:left w:val="nil"/>
              <w:bottom w:val="nil"/>
              <w:right w:val="nil"/>
            </w:tcBorders>
          </w:tcPr>
          <w:p w14:paraId="3DBCA029"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Okna i drzwi – Terminologia</w:t>
            </w:r>
          </w:p>
        </w:tc>
      </w:tr>
      <w:tr w:rsidR="000A3B2B" w14:paraId="3F450D6E" w14:textId="77777777">
        <w:trPr>
          <w:trHeight w:val="60"/>
          <w:tblCellSpacing w:w="0" w:type="dxa"/>
        </w:trPr>
        <w:tc>
          <w:tcPr>
            <w:tcW w:w="338" w:type="dxa"/>
            <w:tcBorders>
              <w:top w:val="nil"/>
              <w:left w:val="nil"/>
              <w:bottom w:val="nil"/>
              <w:right w:val="nil"/>
            </w:tcBorders>
          </w:tcPr>
          <w:p w14:paraId="5BA6FEDE"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25.</w:t>
            </w:r>
          </w:p>
        </w:tc>
        <w:tc>
          <w:tcPr>
            <w:tcW w:w="3420" w:type="dxa"/>
            <w:tcBorders>
              <w:top w:val="nil"/>
              <w:left w:val="nil"/>
              <w:bottom w:val="nil"/>
              <w:right w:val="nil"/>
            </w:tcBorders>
          </w:tcPr>
          <w:p w14:paraId="308C713A"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ISO 12567-1:2010</w:t>
            </w:r>
          </w:p>
        </w:tc>
        <w:tc>
          <w:tcPr>
            <w:tcW w:w="5564" w:type="dxa"/>
            <w:tcBorders>
              <w:top w:val="nil"/>
              <w:left w:val="nil"/>
              <w:bottom w:val="nil"/>
              <w:right w:val="nil"/>
            </w:tcBorders>
          </w:tcPr>
          <w:p w14:paraId="16E08B19"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Cieplne właściwości użytkowe okien i drzwi – Określanie współczynnika przenikania ciepła metodą skrzynki grzejnej – Część 1: Kompletne okna i drzwi.</w:t>
            </w:r>
          </w:p>
        </w:tc>
      </w:tr>
      <w:tr w:rsidR="000A3B2B" w14:paraId="07E702B7" w14:textId="77777777">
        <w:trPr>
          <w:trHeight w:val="60"/>
          <w:tblCellSpacing w:w="0" w:type="dxa"/>
        </w:trPr>
        <w:tc>
          <w:tcPr>
            <w:tcW w:w="338" w:type="dxa"/>
            <w:tcBorders>
              <w:top w:val="nil"/>
              <w:left w:val="nil"/>
              <w:bottom w:val="nil"/>
              <w:right w:val="nil"/>
            </w:tcBorders>
          </w:tcPr>
          <w:p w14:paraId="57211C83"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26.</w:t>
            </w:r>
          </w:p>
        </w:tc>
        <w:tc>
          <w:tcPr>
            <w:tcW w:w="3420" w:type="dxa"/>
            <w:tcBorders>
              <w:top w:val="nil"/>
              <w:left w:val="nil"/>
              <w:bottom w:val="nil"/>
              <w:right w:val="nil"/>
            </w:tcBorders>
          </w:tcPr>
          <w:p w14:paraId="2C4FA87B"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ISO 12567-2:2006</w:t>
            </w:r>
          </w:p>
        </w:tc>
        <w:tc>
          <w:tcPr>
            <w:tcW w:w="5564" w:type="dxa"/>
            <w:tcBorders>
              <w:top w:val="nil"/>
              <w:left w:val="nil"/>
              <w:bottom w:val="nil"/>
              <w:right w:val="nil"/>
            </w:tcBorders>
          </w:tcPr>
          <w:p w14:paraId="06FF36D3"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Cieplne właściwości użytkowe okien i drzwi – Określanie współczynnika przenikania ciepła metodą skrzynki grzejnej – Część 2: Okna dachowe i inne okna wystające z płaszczyzny.</w:t>
            </w:r>
          </w:p>
        </w:tc>
      </w:tr>
      <w:tr w:rsidR="000A3B2B" w14:paraId="16EC4427" w14:textId="77777777">
        <w:trPr>
          <w:trHeight w:val="60"/>
          <w:tblCellSpacing w:w="0" w:type="dxa"/>
        </w:trPr>
        <w:tc>
          <w:tcPr>
            <w:tcW w:w="338" w:type="dxa"/>
            <w:tcBorders>
              <w:top w:val="nil"/>
              <w:left w:val="nil"/>
              <w:bottom w:val="nil"/>
              <w:right w:val="nil"/>
            </w:tcBorders>
          </w:tcPr>
          <w:p w14:paraId="445FD396"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27.</w:t>
            </w:r>
          </w:p>
        </w:tc>
        <w:tc>
          <w:tcPr>
            <w:tcW w:w="3420" w:type="dxa"/>
            <w:tcBorders>
              <w:top w:val="nil"/>
              <w:left w:val="nil"/>
              <w:bottom w:val="nil"/>
              <w:right w:val="nil"/>
            </w:tcBorders>
          </w:tcPr>
          <w:p w14:paraId="2B4508AC"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13049:2004</w:t>
            </w:r>
          </w:p>
        </w:tc>
        <w:tc>
          <w:tcPr>
            <w:tcW w:w="5564" w:type="dxa"/>
            <w:tcBorders>
              <w:top w:val="nil"/>
              <w:left w:val="nil"/>
              <w:bottom w:val="nil"/>
              <w:right w:val="nil"/>
            </w:tcBorders>
          </w:tcPr>
          <w:p w14:paraId="126A6689"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Okna – Uderzenie ciałem miękkim i ciężkim – Metoda badania, wymagania dotyczące bezpieczeństwa i klasyfikacja.</w:t>
            </w:r>
          </w:p>
        </w:tc>
      </w:tr>
      <w:tr w:rsidR="000A3B2B" w14:paraId="555B4A81" w14:textId="77777777">
        <w:trPr>
          <w:trHeight w:val="60"/>
          <w:tblCellSpacing w:w="0" w:type="dxa"/>
        </w:trPr>
        <w:tc>
          <w:tcPr>
            <w:tcW w:w="338" w:type="dxa"/>
            <w:tcBorders>
              <w:top w:val="nil"/>
              <w:left w:val="nil"/>
              <w:bottom w:val="nil"/>
              <w:right w:val="nil"/>
            </w:tcBorders>
          </w:tcPr>
          <w:p w14:paraId="00FF505B"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28.</w:t>
            </w:r>
          </w:p>
        </w:tc>
        <w:tc>
          <w:tcPr>
            <w:tcW w:w="3420" w:type="dxa"/>
            <w:tcBorders>
              <w:top w:val="nil"/>
              <w:left w:val="nil"/>
              <w:bottom w:val="nil"/>
              <w:right w:val="nil"/>
            </w:tcBorders>
          </w:tcPr>
          <w:p w14:paraId="5DBA71C6"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13115:2002</w:t>
            </w:r>
          </w:p>
        </w:tc>
        <w:tc>
          <w:tcPr>
            <w:tcW w:w="5564" w:type="dxa"/>
            <w:tcBorders>
              <w:top w:val="nil"/>
              <w:left w:val="nil"/>
              <w:bottom w:val="nil"/>
              <w:right w:val="nil"/>
            </w:tcBorders>
          </w:tcPr>
          <w:p w14:paraId="54AB940B"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Okna – Klasyfikacja właściwości mechanicznych – Obciążenia pionowe, zwichrowanie i siły operacyjne.</w:t>
            </w:r>
          </w:p>
        </w:tc>
      </w:tr>
      <w:tr w:rsidR="000A3B2B" w14:paraId="4BCCAA40" w14:textId="77777777">
        <w:trPr>
          <w:trHeight w:val="60"/>
          <w:tblCellSpacing w:w="0" w:type="dxa"/>
        </w:trPr>
        <w:tc>
          <w:tcPr>
            <w:tcW w:w="338" w:type="dxa"/>
            <w:tcBorders>
              <w:top w:val="nil"/>
              <w:left w:val="nil"/>
              <w:bottom w:val="nil"/>
              <w:right w:val="nil"/>
            </w:tcBorders>
          </w:tcPr>
          <w:p w14:paraId="2A460EE8"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29.</w:t>
            </w:r>
          </w:p>
        </w:tc>
        <w:tc>
          <w:tcPr>
            <w:tcW w:w="3420" w:type="dxa"/>
            <w:tcBorders>
              <w:top w:val="nil"/>
              <w:left w:val="nil"/>
              <w:bottom w:val="nil"/>
              <w:right w:val="nil"/>
            </w:tcBorders>
          </w:tcPr>
          <w:p w14:paraId="5CB69E2A"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13123-1:2002</w:t>
            </w:r>
          </w:p>
        </w:tc>
        <w:tc>
          <w:tcPr>
            <w:tcW w:w="5564" w:type="dxa"/>
            <w:tcBorders>
              <w:top w:val="nil"/>
              <w:left w:val="nil"/>
              <w:bottom w:val="nil"/>
              <w:right w:val="nil"/>
            </w:tcBorders>
          </w:tcPr>
          <w:p w14:paraId="64DEA0D3"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Okna, drzwi i żaluzje – Odporność na wybuch – Wymagania i klasyfikacja – Część 1: Rura uderzeniowa (</w:t>
            </w:r>
            <w:r>
              <w:rPr>
                <w:rFonts w:ascii="Arial" w:hAnsi="Arial" w:cs="Arial"/>
                <w:i/>
                <w:iCs/>
                <w:color w:val="000000"/>
                <w:sz w:val="18"/>
                <w:szCs w:val="18"/>
                <w:lang w:val="x-none"/>
              </w:rPr>
              <w:t>oryg</w:t>
            </w:r>
            <w:r>
              <w:rPr>
                <w:rFonts w:ascii="Arial" w:hAnsi="Arial" w:cs="Arial"/>
                <w:color w:val="000000"/>
                <w:sz w:val="18"/>
                <w:szCs w:val="18"/>
                <w:lang w:val="x-none"/>
              </w:rPr>
              <w:t xml:space="preserve">.) </w:t>
            </w:r>
            <w:r>
              <w:rPr>
                <w:rFonts w:ascii="Arial" w:hAnsi="Arial" w:cs="Arial"/>
                <w:i/>
                <w:iCs/>
                <w:color w:val="000000"/>
                <w:sz w:val="18"/>
                <w:szCs w:val="18"/>
                <w:lang w:val="x-none"/>
              </w:rPr>
              <w:t>(wersja angielska)</w:t>
            </w:r>
            <w:r>
              <w:rPr>
                <w:rFonts w:ascii="Arial" w:hAnsi="Arial" w:cs="Arial"/>
                <w:color w:val="000000"/>
                <w:sz w:val="18"/>
                <w:szCs w:val="18"/>
                <w:lang w:val="x-none"/>
              </w:rPr>
              <w:t>.</w:t>
            </w:r>
          </w:p>
        </w:tc>
      </w:tr>
      <w:tr w:rsidR="000A3B2B" w14:paraId="155EE205" w14:textId="77777777">
        <w:trPr>
          <w:trHeight w:val="60"/>
          <w:tblCellSpacing w:w="0" w:type="dxa"/>
        </w:trPr>
        <w:tc>
          <w:tcPr>
            <w:tcW w:w="338" w:type="dxa"/>
            <w:tcBorders>
              <w:top w:val="nil"/>
              <w:left w:val="nil"/>
              <w:bottom w:val="nil"/>
              <w:right w:val="nil"/>
            </w:tcBorders>
          </w:tcPr>
          <w:p w14:paraId="05AC2CCD"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30.</w:t>
            </w:r>
          </w:p>
        </w:tc>
        <w:tc>
          <w:tcPr>
            <w:tcW w:w="3420" w:type="dxa"/>
            <w:tcBorders>
              <w:top w:val="nil"/>
              <w:left w:val="nil"/>
              <w:bottom w:val="nil"/>
              <w:right w:val="nil"/>
            </w:tcBorders>
          </w:tcPr>
          <w:p w14:paraId="393F55E4"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13123-2:2004</w:t>
            </w:r>
          </w:p>
        </w:tc>
        <w:tc>
          <w:tcPr>
            <w:tcW w:w="5564" w:type="dxa"/>
            <w:tcBorders>
              <w:top w:val="nil"/>
              <w:left w:val="nil"/>
              <w:bottom w:val="nil"/>
              <w:right w:val="nil"/>
            </w:tcBorders>
          </w:tcPr>
          <w:p w14:paraId="4DCEE61E"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Okna, drzwi i żaluzje – Odporność na wybuch – Metoda badania – Część 2: Próba poligonowa (</w:t>
            </w:r>
            <w:r>
              <w:rPr>
                <w:rFonts w:ascii="Arial" w:hAnsi="Arial" w:cs="Arial"/>
                <w:i/>
                <w:iCs/>
                <w:color w:val="000000"/>
                <w:sz w:val="18"/>
                <w:szCs w:val="18"/>
                <w:lang w:val="x-none"/>
              </w:rPr>
              <w:t>oryg</w:t>
            </w:r>
            <w:r>
              <w:rPr>
                <w:rFonts w:ascii="Arial" w:hAnsi="Arial" w:cs="Arial"/>
                <w:color w:val="000000"/>
                <w:sz w:val="18"/>
                <w:szCs w:val="18"/>
                <w:lang w:val="x-none"/>
              </w:rPr>
              <w:t xml:space="preserve">.) </w:t>
            </w:r>
            <w:r>
              <w:rPr>
                <w:rFonts w:ascii="Arial" w:hAnsi="Arial" w:cs="Arial"/>
                <w:i/>
                <w:iCs/>
                <w:color w:val="000000"/>
                <w:sz w:val="18"/>
                <w:szCs w:val="18"/>
                <w:lang w:val="x-none"/>
              </w:rPr>
              <w:t>(wersja angielska)</w:t>
            </w:r>
            <w:r>
              <w:rPr>
                <w:rFonts w:ascii="Arial" w:hAnsi="Arial" w:cs="Arial"/>
                <w:color w:val="000000"/>
                <w:sz w:val="18"/>
                <w:szCs w:val="18"/>
                <w:lang w:val="x-none"/>
              </w:rPr>
              <w:t>.</w:t>
            </w:r>
          </w:p>
        </w:tc>
      </w:tr>
      <w:tr w:rsidR="000A3B2B" w14:paraId="0E35797F" w14:textId="77777777">
        <w:trPr>
          <w:trHeight w:val="60"/>
          <w:tblCellSpacing w:w="0" w:type="dxa"/>
        </w:trPr>
        <w:tc>
          <w:tcPr>
            <w:tcW w:w="338" w:type="dxa"/>
            <w:tcBorders>
              <w:top w:val="nil"/>
              <w:left w:val="nil"/>
              <w:bottom w:val="nil"/>
              <w:right w:val="nil"/>
            </w:tcBorders>
          </w:tcPr>
          <w:p w14:paraId="74119A7A"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31.</w:t>
            </w:r>
          </w:p>
        </w:tc>
        <w:tc>
          <w:tcPr>
            <w:tcW w:w="3420" w:type="dxa"/>
            <w:tcBorders>
              <w:top w:val="nil"/>
              <w:left w:val="nil"/>
              <w:bottom w:val="nil"/>
              <w:right w:val="nil"/>
            </w:tcBorders>
          </w:tcPr>
          <w:p w14:paraId="62603128"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13124-1:2002</w:t>
            </w:r>
          </w:p>
        </w:tc>
        <w:tc>
          <w:tcPr>
            <w:tcW w:w="5564" w:type="dxa"/>
            <w:tcBorders>
              <w:top w:val="nil"/>
              <w:left w:val="nil"/>
              <w:bottom w:val="nil"/>
              <w:right w:val="nil"/>
            </w:tcBorders>
          </w:tcPr>
          <w:p w14:paraId="1F4AA8AB"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Okna, drzwi i żaluzje – Odporność na wybuch – Metoda badania – Część 1: Rura uderzeniowa (</w:t>
            </w:r>
            <w:r>
              <w:rPr>
                <w:rFonts w:ascii="Arial" w:hAnsi="Arial" w:cs="Arial"/>
                <w:i/>
                <w:iCs/>
                <w:color w:val="000000"/>
                <w:sz w:val="18"/>
                <w:szCs w:val="18"/>
                <w:lang w:val="x-none"/>
              </w:rPr>
              <w:t>oryg</w:t>
            </w:r>
            <w:r>
              <w:rPr>
                <w:rFonts w:ascii="Arial" w:hAnsi="Arial" w:cs="Arial"/>
                <w:color w:val="000000"/>
                <w:sz w:val="18"/>
                <w:szCs w:val="18"/>
                <w:lang w:val="x-none"/>
              </w:rPr>
              <w:t xml:space="preserve">.) </w:t>
            </w:r>
            <w:r>
              <w:rPr>
                <w:rFonts w:ascii="Arial" w:hAnsi="Arial" w:cs="Arial"/>
                <w:i/>
                <w:iCs/>
                <w:color w:val="000000"/>
                <w:sz w:val="18"/>
                <w:szCs w:val="18"/>
                <w:lang w:val="x-none"/>
              </w:rPr>
              <w:t>(wersja angielska)</w:t>
            </w:r>
            <w:r>
              <w:rPr>
                <w:rFonts w:ascii="Arial" w:hAnsi="Arial" w:cs="Arial"/>
                <w:color w:val="000000"/>
                <w:sz w:val="18"/>
                <w:szCs w:val="18"/>
                <w:lang w:val="x-none"/>
              </w:rPr>
              <w:t>.</w:t>
            </w:r>
          </w:p>
        </w:tc>
      </w:tr>
      <w:tr w:rsidR="000A3B2B" w14:paraId="1E0E51D7" w14:textId="77777777">
        <w:trPr>
          <w:trHeight w:val="60"/>
          <w:tblCellSpacing w:w="0" w:type="dxa"/>
        </w:trPr>
        <w:tc>
          <w:tcPr>
            <w:tcW w:w="338" w:type="dxa"/>
            <w:tcBorders>
              <w:top w:val="nil"/>
              <w:left w:val="nil"/>
              <w:bottom w:val="nil"/>
              <w:right w:val="nil"/>
            </w:tcBorders>
          </w:tcPr>
          <w:p w14:paraId="3482BAA7"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32.</w:t>
            </w:r>
          </w:p>
        </w:tc>
        <w:tc>
          <w:tcPr>
            <w:tcW w:w="3420" w:type="dxa"/>
            <w:tcBorders>
              <w:top w:val="nil"/>
              <w:left w:val="nil"/>
              <w:bottom w:val="nil"/>
              <w:right w:val="nil"/>
            </w:tcBorders>
          </w:tcPr>
          <w:p w14:paraId="163F7761"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13124-2:2004</w:t>
            </w:r>
          </w:p>
        </w:tc>
        <w:tc>
          <w:tcPr>
            <w:tcW w:w="5564" w:type="dxa"/>
            <w:tcBorders>
              <w:top w:val="nil"/>
              <w:left w:val="nil"/>
              <w:bottom w:val="nil"/>
              <w:right w:val="nil"/>
            </w:tcBorders>
          </w:tcPr>
          <w:p w14:paraId="1BD38E7F"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Okna, drzwi i żaluzje – Odporność na wybuch – Metoda badania – Część 2: Próba poligonowa (</w:t>
            </w:r>
            <w:r>
              <w:rPr>
                <w:rFonts w:ascii="Arial" w:hAnsi="Arial" w:cs="Arial"/>
                <w:i/>
                <w:iCs/>
                <w:color w:val="000000"/>
                <w:sz w:val="18"/>
                <w:szCs w:val="18"/>
                <w:lang w:val="x-none"/>
              </w:rPr>
              <w:t>oryg</w:t>
            </w:r>
            <w:r>
              <w:rPr>
                <w:rFonts w:ascii="Arial" w:hAnsi="Arial" w:cs="Arial"/>
                <w:color w:val="000000"/>
                <w:sz w:val="18"/>
                <w:szCs w:val="18"/>
                <w:lang w:val="x-none"/>
              </w:rPr>
              <w:t xml:space="preserve">.) </w:t>
            </w:r>
            <w:r>
              <w:rPr>
                <w:rFonts w:ascii="Arial" w:hAnsi="Arial" w:cs="Arial"/>
                <w:i/>
                <w:iCs/>
                <w:color w:val="000000"/>
                <w:sz w:val="18"/>
                <w:szCs w:val="18"/>
                <w:lang w:val="x-none"/>
              </w:rPr>
              <w:t>(wersja angielska)</w:t>
            </w:r>
            <w:r>
              <w:rPr>
                <w:rFonts w:ascii="Arial" w:hAnsi="Arial" w:cs="Arial"/>
                <w:color w:val="000000"/>
                <w:sz w:val="18"/>
                <w:szCs w:val="18"/>
                <w:lang w:val="x-none"/>
              </w:rPr>
              <w:t>.</w:t>
            </w:r>
          </w:p>
        </w:tc>
      </w:tr>
      <w:tr w:rsidR="000A3B2B" w14:paraId="3ADDA0FB" w14:textId="77777777">
        <w:trPr>
          <w:trHeight w:val="60"/>
          <w:tblCellSpacing w:w="0" w:type="dxa"/>
        </w:trPr>
        <w:tc>
          <w:tcPr>
            <w:tcW w:w="338" w:type="dxa"/>
            <w:tcBorders>
              <w:top w:val="nil"/>
              <w:left w:val="nil"/>
              <w:bottom w:val="nil"/>
              <w:right w:val="nil"/>
            </w:tcBorders>
          </w:tcPr>
          <w:p w14:paraId="26666552"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33.</w:t>
            </w:r>
          </w:p>
        </w:tc>
        <w:tc>
          <w:tcPr>
            <w:tcW w:w="3420" w:type="dxa"/>
            <w:tcBorders>
              <w:top w:val="nil"/>
              <w:left w:val="nil"/>
              <w:bottom w:val="nil"/>
              <w:right w:val="nil"/>
            </w:tcBorders>
          </w:tcPr>
          <w:p w14:paraId="4149C7D1"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13141-1:2006</w:t>
            </w:r>
          </w:p>
        </w:tc>
        <w:tc>
          <w:tcPr>
            <w:tcW w:w="5564" w:type="dxa"/>
            <w:tcBorders>
              <w:top w:val="nil"/>
              <w:left w:val="nil"/>
              <w:bottom w:val="nil"/>
              <w:right w:val="nil"/>
            </w:tcBorders>
          </w:tcPr>
          <w:p w14:paraId="46836C46"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Wentylacja budynków – Badanie właściwości elementów/wyrobów do wentylacji mieszkań – Część 1: Urządzenia do przepływu powietrza, montowane w przegrodach zewnętrznych i wewnętrznych.</w:t>
            </w:r>
          </w:p>
        </w:tc>
      </w:tr>
      <w:tr w:rsidR="000A3B2B" w14:paraId="1594418F" w14:textId="77777777">
        <w:trPr>
          <w:trHeight w:val="60"/>
          <w:tblCellSpacing w:w="0" w:type="dxa"/>
        </w:trPr>
        <w:tc>
          <w:tcPr>
            <w:tcW w:w="338" w:type="dxa"/>
            <w:tcBorders>
              <w:top w:val="nil"/>
              <w:left w:val="nil"/>
              <w:bottom w:val="nil"/>
              <w:right w:val="nil"/>
            </w:tcBorders>
          </w:tcPr>
          <w:p w14:paraId="63759812"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34.</w:t>
            </w:r>
          </w:p>
        </w:tc>
        <w:tc>
          <w:tcPr>
            <w:tcW w:w="3420" w:type="dxa"/>
            <w:tcBorders>
              <w:top w:val="nil"/>
              <w:left w:val="nil"/>
              <w:bottom w:val="nil"/>
              <w:right w:val="nil"/>
            </w:tcBorders>
          </w:tcPr>
          <w:p w14:paraId="3157D10B"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13363-1+A1:2010</w:t>
            </w:r>
          </w:p>
        </w:tc>
        <w:tc>
          <w:tcPr>
            <w:tcW w:w="5564" w:type="dxa"/>
            <w:tcBorders>
              <w:top w:val="nil"/>
              <w:left w:val="nil"/>
              <w:bottom w:val="nil"/>
              <w:right w:val="nil"/>
            </w:tcBorders>
          </w:tcPr>
          <w:p w14:paraId="10FB590F"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Urządzenia ochrony przeciwsłonecznej połączone z oszkleniem – Obliczanie współczynnika przenikania promieniowania słonecznego i światła – Część 1: Metoda uproszczona.</w:t>
            </w:r>
          </w:p>
        </w:tc>
      </w:tr>
      <w:tr w:rsidR="000A3B2B" w14:paraId="600BDFE5" w14:textId="77777777">
        <w:trPr>
          <w:trHeight w:val="60"/>
          <w:tblCellSpacing w:w="0" w:type="dxa"/>
        </w:trPr>
        <w:tc>
          <w:tcPr>
            <w:tcW w:w="338" w:type="dxa"/>
            <w:tcBorders>
              <w:top w:val="nil"/>
              <w:left w:val="nil"/>
              <w:bottom w:val="nil"/>
              <w:right w:val="nil"/>
            </w:tcBorders>
          </w:tcPr>
          <w:p w14:paraId="73A3CBC2"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35.</w:t>
            </w:r>
          </w:p>
        </w:tc>
        <w:tc>
          <w:tcPr>
            <w:tcW w:w="3420" w:type="dxa"/>
            <w:tcBorders>
              <w:top w:val="nil"/>
              <w:left w:val="nil"/>
              <w:bottom w:val="nil"/>
              <w:right w:val="nil"/>
            </w:tcBorders>
          </w:tcPr>
          <w:p w14:paraId="6DCCD63F"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13363-2:2006</w:t>
            </w:r>
          </w:p>
        </w:tc>
        <w:tc>
          <w:tcPr>
            <w:tcW w:w="5564" w:type="dxa"/>
            <w:tcBorders>
              <w:top w:val="nil"/>
              <w:left w:val="nil"/>
              <w:bottom w:val="nil"/>
              <w:right w:val="nil"/>
            </w:tcBorders>
          </w:tcPr>
          <w:p w14:paraId="664429FE"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Urządzenia ochrony przeciwsłonecznej powiązane z oszkleniem – Obliczanie współczynnika przenikania całkowitej energii promieniowania słonecznego i światła – Część 2: Szczegółowa metoda obliczania.</w:t>
            </w:r>
          </w:p>
        </w:tc>
      </w:tr>
      <w:tr w:rsidR="000A3B2B" w14:paraId="41298307" w14:textId="77777777">
        <w:trPr>
          <w:trHeight w:val="60"/>
          <w:tblCellSpacing w:w="0" w:type="dxa"/>
        </w:trPr>
        <w:tc>
          <w:tcPr>
            <w:tcW w:w="338" w:type="dxa"/>
            <w:tcBorders>
              <w:top w:val="nil"/>
              <w:left w:val="nil"/>
              <w:bottom w:val="nil"/>
              <w:right w:val="nil"/>
            </w:tcBorders>
          </w:tcPr>
          <w:p w14:paraId="4299403D"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36.</w:t>
            </w:r>
          </w:p>
        </w:tc>
        <w:tc>
          <w:tcPr>
            <w:tcW w:w="3420" w:type="dxa"/>
            <w:tcBorders>
              <w:top w:val="nil"/>
              <w:left w:val="nil"/>
              <w:bottom w:val="nil"/>
              <w:right w:val="nil"/>
            </w:tcBorders>
          </w:tcPr>
          <w:p w14:paraId="0C423B28"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13420:2011</w:t>
            </w:r>
          </w:p>
        </w:tc>
        <w:tc>
          <w:tcPr>
            <w:tcW w:w="5564" w:type="dxa"/>
            <w:tcBorders>
              <w:top w:val="nil"/>
              <w:left w:val="nil"/>
              <w:bottom w:val="nil"/>
              <w:right w:val="nil"/>
            </w:tcBorders>
          </w:tcPr>
          <w:p w14:paraId="63E41C96"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Okna – Zachowanie się pomiędzy dwoma różnymi klimatami – Metoda badania (</w:t>
            </w:r>
            <w:r>
              <w:rPr>
                <w:rFonts w:ascii="Arial" w:hAnsi="Arial" w:cs="Arial"/>
                <w:i/>
                <w:iCs/>
                <w:color w:val="000000"/>
                <w:sz w:val="18"/>
                <w:szCs w:val="18"/>
                <w:lang w:val="x-none"/>
              </w:rPr>
              <w:t>oryg</w:t>
            </w:r>
            <w:r>
              <w:rPr>
                <w:rFonts w:ascii="Arial" w:hAnsi="Arial" w:cs="Arial"/>
                <w:color w:val="000000"/>
                <w:sz w:val="18"/>
                <w:szCs w:val="18"/>
                <w:lang w:val="x-none"/>
              </w:rPr>
              <w:t xml:space="preserve">.) </w:t>
            </w:r>
            <w:r>
              <w:rPr>
                <w:rFonts w:ascii="Arial" w:hAnsi="Arial" w:cs="Arial"/>
                <w:i/>
                <w:iCs/>
                <w:color w:val="000000"/>
                <w:sz w:val="18"/>
                <w:szCs w:val="18"/>
                <w:lang w:val="x-none"/>
              </w:rPr>
              <w:t>(wersja angielska)</w:t>
            </w:r>
            <w:r>
              <w:rPr>
                <w:rFonts w:ascii="Arial" w:hAnsi="Arial" w:cs="Arial"/>
                <w:color w:val="000000"/>
                <w:sz w:val="18"/>
                <w:szCs w:val="18"/>
                <w:lang w:val="x-none"/>
              </w:rPr>
              <w:t>.</w:t>
            </w:r>
          </w:p>
        </w:tc>
      </w:tr>
      <w:tr w:rsidR="000A3B2B" w14:paraId="21997040" w14:textId="77777777">
        <w:trPr>
          <w:trHeight w:val="60"/>
          <w:tblCellSpacing w:w="0" w:type="dxa"/>
        </w:trPr>
        <w:tc>
          <w:tcPr>
            <w:tcW w:w="338" w:type="dxa"/>
            <w:tcBorders>
              <w:top w:val="nil"/>
              <w:left w:val="nil"/>
              <w:bottom w:val="nil"/>
              <w:right w:val="nil"/>
            </w:tcBorders>
          </w:tcPr>
          <w:p w14:paraId="709489E4"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37.</w:t>
            </w:r>
          </w:p>
        </w:tc>
        <w:tc>
          <w:tcPr>
            <w:tcW w:w="3420" w:type="dxa"/>
            <w:tcBorders>
              <w:top w:val="nil"/>
              <w:left w:val="nil"/>
              <w:bottom w:val="nil"/>
              <w:right w:val="nil"/>
            </w:tcBorders>
          </w:tcPr>
          <w:p w14:paraId="0D7AF4AE"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13501-1+A1:2010</w:t>
            </w:r>
          </w:p>
        </w:tc>
        <w:tc>
          <w:tcPr>
            <w:tcW w:w="5564" w:type="dxa"/>
            <w:tcBorders>
              <w:top w:val="nil"/>
              <w:left w:val="nil"/>
              <w:bottom w:val="nil"/>
              <w:right w:val="nil"/>
            </w:tcBorders>
          </w:tcPr>
          <w:p w14:paraId="41096CA3"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Klasyfikacja ogniowa wyrobów budowlanych i elementów budynków – Część 1: Klasyfikacja na podstawie badań reakcji na ogień.</w:t>
            </w:r>
          </w:p>
        </w:tc>
      </w:tr>
      <w:tr w:rsidR="000A3B2B" w14:paraId="0B6FC597" w14:textId="77777777">
        <w:trPr>
          <w:trHeight w:val="60"/>
          <w:tblCellSpacing w:w="0" w:type="dxa"/>
        </w:trPr>
        <w:tc>
          <w:tcPr>
            <w:tcW w:w="338" w:type="dxa"/>
            <w:tcBorders>
              <w:top w:val="nil"/>
              <w:left w:val="nil"/>
              <w:bottom w:val="nil"/>
              <w:right w:val="nil"/>
            </w:tcBorders>
          </w:tcPr>
          <w:p w14:paraId="16740239"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38.</w:t>
            </w:r>
          </w:p>
        </w:tc>
        <w:tc>
          <w:tcPr>
            <w:tcW w:w="3420" w:type="dxa"/>
            <w:tcBorders>
              <w:top w:val="nil"/>
              <w:left w:val="nil"/>
              <w:bottom w:val="nil"/>
              <w:right w:val="nil"/>
            </w:tcBorders>
          </w:tcPr>
          <w:p w14:paraId="7B85F64E"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13501-5:2016-07</w:t>
            </w:r>
          </w:p>
        </w:tc>
        <w:tc>
          <w:tcPr>
            <w:tcW w:w="5564" w:type="dxa"/>
            <w:tcBorders>
              <w:top w:val="nil"/>
              <w:left w:val="nil"/>
              <w:bottom w:val="nil"/>
              <w:right w:val="nil"/>
            </w:tcBorders>
          </w:tcPr>
          <w:p w14:paraId="5D4717FA"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Klasyfikacja ogniowa wyrobów budowlanych i elementów budynków – Część 5: Klasyfikacja na podstawie wyników badań oddziaływania ognia zewnętrznego na dachy (</w:t>
            </w:r>
            <w:r>
              <w:rPr>
                <w:rFonts w:ascii="Arial" w:hAnsi="Arial" w:cs="Arial"/>
                <w:i/>
                <w:iCs/>
                <w:color w:val="000000"/>
                <w:sz w:val="18"/>
                <w:szCs w:val="18"/>
                <w:lang w:val="x-none"/>
              </w:rPr>
              <w:t>oryg</w:t>
            </w:r>
            <w:r>
              <w:rPr>
                <w:rFonts w:ascii="Arial" w:hAnsi="Arial" w:cs="Arial"/>
                <w:color w:val="000000"/>
                <w:sz w:val="18"/>
                <w:szCs w:val="18"/>
                <w:lang w:val="x-none"/>
              </w:rPr>
              <w:t xml:space="preserve">.) </w:t>
            </w:r>
            <w:r>
              <w:rPr>
                <w:rFonts w:ascii="Arial" w:hAnsi="Arial" w:cs="Arial"/>
                <w:i/>
                <w:iCs/>
                <w:color w:val="000000"/>
                <w:sz w:val="18"/>
                <w:szCs w:val="18"/>
                <w:lang w:val="x-none"/>
              </w:rPr>
              <w:t>(wersja angielska)</w:t>
            </w:r>
            <w:r>
              <w:rPr>
                <w:rFonts w:ascii="Arial" w:hAnsi="Arial" w:cs="Arial"/>
                <w:color w:val="000000"/>
                <w:sz w:val="18"/>
                <w:szCs w:val="18"/>
                <w:lang w:val="x-none"/>
              </w:rPr>
              <w:t>.</w:t>
            </w:r>
          </w:p>
        </w:tc>
      </w:tr>
      <w:tr w:rsidR="000A3B2B" w14:paraId="7B938857" w14:textId="77777777">
        <w:trPr>
          <w:trHeight w:val="60"/>
          <w:tblCellSpacing w:w="0" w:type="dxa"/>
        </w:trPr>
        <w:tc>
          <w:tcPr>
            <w:tcW w:w="338" w:type="dxa"/>
            <w:tcBorders>
              <w:top w:val="nil"/>
              <w:left w:val="nil"/>
              <w:bottom w:val="nil"/>
              <w:right w:val="nil"/>
            </w:tcBorders>
          </w:tcPr>
          <w:p w14:paraId="59FBD752"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39.</w:t>
            </w:r>
          </w:p>
        </w:tc>
        <w:tc>
          <w:tcPr>
            <w:tcW w:w="3420" w:type="dxa"/>
            <w:tcBorders>
              <w:top w:val="nil"/>
              <w:left w:val="nil"/>
              <w:bottom w:val="nil"/>
              <w:right w:val="nil"/>
            </w:tcBorders>
          </w:tcPr>
          <w:p w14:paraId="2D8037BC"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14608:2006</w:t>
            </w:r>
          </w:p>
        </w:tc>
        <w:tc>
          <w:tcPr>
            <w:tcW w:w="5564" w:type="dxa"/>
            <w:tcBorders>
              <w:top w:val="nil"/>
              <w:left w:val="nil"/>
              <w:bottom w:val="nil"/>
              <w:right w:val="nil"/>
            </w:tcBorders>
          </w:tcPr>
          <w:p w14:paraId="2AE7040F"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Okna – Oznaczanie odporności na obciążenia w płaszczyźnie skrzydła.</w:t>
            </w:r>
          </w:p>
        </w:tc>
      </w:tr>
      <w:tr w:rsidR="000A3B2B" w14:paraId="6A6BE7C2" w14:textId="77777777">
        <w:trPr>
          <w:trHeight w:val="60"/>
          <w:tblCellSpacing w:w="0" w:type="dxa"/>
        </w:trPr>
        <w:tc>
          <w:tcPr>
            <w:tcW w:w="338" w:type="dxa"/>
            <w:tcBorders>
              <w:top w:val="nil"/>
              <w:left w:val="nil"/>
              <w:bottom w:val="nil"/>
              <w:right w:val="nil"/>
            </w:tcBorders>
          </w:tcPr>
          <w:p w14:paraId="65E26A17"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40.</w:t>
            </w:r>
          </w:p>
        </w:tc>
        <w:tc>
          <w:tcPr>
            <w:tcW w:w="3420" w:type="dxa"/>
            <w:tcBorders>
              <w:top w:val="nil"/>
              <w:left w:val="nil"/>
              <w:bottom w:val="nil"/>
              <w:right w:val="nil"/>
            </w:tcBorders>
          </w:tcPr>
          <w:p w14:paraId="3A0CD131"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14609:2006</w:t>
            </w:r>
          </w:p>
        </w:tc>
        <w:tc>
          <w:tcPr>
            <w:tcW w:w="5564" w:type="dxa"/>
            <w:tcBorders>
              <w:top w:val="nil"/>
              <w:left w:val="nil"/>
              <w:bottom w:val="nil"/>
              <w:right w:val="nil"/>
            </w:tcBorders>
          </w:tcPr>
          <w:p w14:paraId="18C220AA"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Okna – Oznaczanie odporności na skręcanie statyczne.</w:t>
            </w:r>
          </w:p>
        </w:tc>
      </w:tr>
      <w:tr w:rsidR="000A3B2B" w14:paraId="71D3D14E" w14:textId="77777777">
        <w:trPr>
          <w:trHeight w:val="60"/>
          <w:tblCellSpacing w:w="0" w:type="dxa"/>
        </w:trPr>
        <w:tc>
          <w:tcPr>
            <w:tcW w:w="338" w:type="dxa"/>
            <w:tcBorders>
              <w:top w:val="nil"/>
              <w:left w:val="nil"/>
              <w:bottom w:val="nil"/>
              <w:right w:val="nil"/>
            </w:tcBorders>
          </w:tcPr>
          <w:p w14:paraId="48A6DAB0"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41.</w:t>
            </w:r>
          </w:p>
        </w:tc>
        <w:tc>
          <w:tcPr>
            <w:tcW w:w="3420" w:type="dxa"/>
            <w:tcBorders>
              <w:top w:val="nil"/>
              <w:left w:val="nil"/>
              <w:bottom w:val="nil"/>
              <w:right w:val="nil"/>
            </w:tcBorders>
          </w:tcPr>
          <w:p w14:paraId="44206A47"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14351-1+A2:2016-10</w:t>
            </w:r>
          </w:p>
        </w:tc>
        <w:tc>
          <w:tcPr>
            <w:tcW w:w="5564" w:type="dxa"/>
            <w:tcBorders>
              <w:top w:val="nil"/>
              <w:left w:val="nil"/>
              <w:bottom w:val="nil"/>
              <w:right w:val="nil"/>
            </w:tcBorders>
          </w:tcPr>
          <w:p w14:paraId="2A9A058E"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Okna i drzwi – Norma wyrobu, właściwości eksploatacyjne – Część 1: Okna i drzwi zewnętrzne bez właściwości dotyczących odporności ogniowej i/lub dymoszczelności </w:t>
            </w:r>
            <w:r>
              <w:rPr>
                <w:rFonts w:ascii="Arial" w:hAnsi="Arial" w:cs="Arial"/>
                <w:i/>
                <w:iCs/>
                <w:color w:val="000000"/>
                <w:sz w:val="18"/>
                <w:szCs w:val="18"/>
                <w:lang w:val="x-none"/>
              </w:rPr>
              <w:t>(wersja angielska)</w:t>
            </w:r>
            <w:r>
              <w:rPr>
                <w:rFonts w:ascii="Arial" w:hAnsi="Arial" w:cs="Arial"/>
                <w:color w:val="000000"/>
                <w:sz w:val="18"/>
                <w:szCs w:val="18"/>
                <w:lang w:val="x-none"/>
              </w:rPr>
              <w:t>.</w:t>
            </w:r>
          </w:p>
        </w:tc>
      </w:tr>
      <w:tr w:rsidR="000A3B2B" w14:paraId="1F533B98" w14:textId="77777777">
        <w:trPr>
          <w:trHeight w:val="60"/>
          <w:tblCellSpacing w:w="0" w:type="dxa"/>
        </w:trPr>
        <w:tc>
          <w:tcPr>
            <w:tcW w:w="338" w:type="dxa"/>
            <w:tcBorders>
              <w:top w:val="nil"/>
              <w:left w:val="nil"/>
              <w:bottom w:val="nil"/>
              <w:right w:val="nil"/>
            </w:tcBorders>
          </w:tcPr>
          <w:p w14:paraId="66118A6E"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42.</w:t>
            </w:r>
          </w:p>
        </w:tc>
        <w:tc>
          <w:tcPr>
            <w:tcW w:w="3420" w:type="dxa"/>
            <w:tcBorders>
              <w:top w:val="nil"/>
              <w:left w:val="nil"/>
              <w:bottom w:val="nil"/>
              <w:right w:val="nil"/>
            </w:tcBorders>
          </w:tcPr>
          <w:p w14:paraId="49F889C8"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ISO 10140-1:2016-10</w:t>
            </w:r>
          </w:p>
        </w:tc>
        <w:tc>
          <w:tcPr>
            <w:tcW w:w="5564" w:type="dxa"/>
            <w:tcBorders>
              <w:top w:val="nil"/>
              <w:left w:val="nil"/>
              <w:bottom w:val="nil"/>
              <w:right w:val="nil"/>
            </w:tcBorders>
          </w:tcPr>
          <w:p w14:paraId="5ECAA61B"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Akustyka – Pomiar laboratoryjny izolacyjności akustycznej elementów budowlanych – Część 1: Zasady stosowania dla określonych wyrobów (</w:t>
            </w:r>
            <w:r>
              <w:rPr>
                <w:rFonts w:ascii="Arial" w:hAnsi="Arial" w:cs="Arial"/>
                <w:i/>
                <w:iCs/>
                <w:color w:val="000000"/>
                <w:sz w:val="18"/>
                <w:szCs w:val="18"/>
                <w:lang w:val="x-none"/>
              </w:rPr>
              <w:t>oryg</w:t>
            </w:r>
            <w:r>
              <w:rPr>
                <w:rFonts w:ascii="Arial" w:hAnsi="Arial" w:cs="Arial"/>
                <w:color w:val="000000"/>
                <w:sz w:val="18"/>
                <w:szCs w:val="18"/>
                <w:lang w:val="x-none"/>
              </w:rPr>
              <w:t xml:space="preserve">.) </w:t>
            </w:r>
            <w:r>
              <w:rPr>
                <w:rFonts w:ascii="Arial" w:hAnsi="Arial" w:cs="Arial"/>
                <w:i/>
                <w:iCs/>
                <w:color w:val="000000"/>
                <w:sz w:val="18"/>
                <w:szCs w:val="18"/>
                <w:lang w:val="x-none"/>
              </w:rPr>
              <w:t>(wersja angielska)</w:t>
            </w:r>
            <w:r>
              <w:rPr>
                <w:rFonts w:ascii="Arial" w:hAnsi="Arial" w:cs="Arial"/>
                <w:color w:val="000000"/>
                <w:sz w:val="18"/>
                <w:szCs w:val="18"/>
                <w:lang w:val="x-none"/>
              </w:rPr>
              <w:t>.</w:t>
            </w:r>
          </w:p>
        </w:tc>
      </w:tr>
      <w:tr w:rsidR="000A3B2B" w14:paraId="43627056" w14:textId="77777777">
        <w:trPr>
          <w:trHeight w:val="60"/>
          <w:tblCellSpacing w:w="0" w:type="dxa"/>
        </w:trPr>
        <w:tc>
          <w:tcPr>
            <w:tcW w:w="338" w:type="dxa"/>
            <w:tcBorders>
              <w:top w:val="nil"/>
              <w:left w:val="nil"/>
              <w:bottom w:val="nil"/>
              <w:right w:val="nil"/>
            </w:tcBorders>
          </w:tcPr>
          <w:p w14:paraId="5721EB44"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43.</w:t>
            </w:r>
          </w:p>
        </w:tc>
        <w:tc>
          <w:tcPr>
            <w:tcW w:w="3420" w:type="dxa"/>
            <w:tcBorders>
              <w:top w:val="nil"/>
              <w:left w:val="nil"/>
              <w:bottom w:val="nil"/>
              <w:right w:val="nil"/>
            </w:tcBorders>
          </w:tcPr>
          <w:p w14:paraId="4B4B809F"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ISO 10140-2:2011</w:t>
            </w:r>
          </w:p>
        </w:tc>
        <w:tc>
          <w:tcPr>
            <w:tcW w:w="5564" w:type="dxa"/>
            <w:tcBorders>
              <w:top w:val="nil"/>
              <w:left w:val="nil"/>
              <w:bottom w:val="nil"/>
              <w:right w:val="nil"/>
            </w:tcBorders>
          </w:tcPr>
          <w:p w14:paraId="2A922356"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Akustyka – Pomiar laboratoryjny izolacyjności akustycznej elementów budowlanych – Część 2: Pomiar izolacyjności od dźwięków powietrznych (</w:t>
            </w:r>
            <w:r>
              <w:rPr>
                <w:rFonts w:ascii="Arial" w:hAnsi="Arial" w:cs="Arial"/>
                <w:i/>
                <w:iCs/>
                <w:color w:val="000000"/>
                <w:sz w:val="18"/>
                <w:szCs w:val="18"/>
                <w:lang w:val="x-none"/>
              </w:rPr>
              <w:t>oryg</w:t>
            </w:r>
            <w:r>
              <w:rPr>
                <w:rFonts w:ascii="Arial" w:hAnsi="Arial" w:cs="Arial"/>
                <w:color w:val="000000"/>
                <w:sz w:val="18"/>
                <w:szCs w:val="18"/>
                <w:lang w:val="x-none"/>
              </w:rPr>
              <w:t xml:space="preserve">.) </w:t>
            </w:r>
            <w:r>
              <w:rPr>
                <w:rFonts w:ascii="Arial" w:hAnsi="Arial" w:cs="Arial"/>
                <w:i/>
                <w:iCs/>
                <w:color w:val="000000"/>
                <w:sz w:val="18"/>
                <w:szCs w:val="18"/>
                <w:lang w:val="x-none"/>
              </w:rPr>
              <w:t>(wersja angielska)</w:t>
            </w:r>
            <w:r>
              <w:rPr>
                <w:rFonts w:ascii="Arial" w:hAnsi="Arial" w:cs="Arial"/>
                <w:color w:val="000000"/>
                <w:sz w:val="18"/>
                <w:szCs w:val="18"/>
                <w:lang w:val="x-none"/>
              </w:rPr>
              <w:t>.</w:t>
            </w:r>
          </w:p>
        </w:tc>
      </w:tr>
      <w:tr w:rsidR="000A3B2B" w14:paraId="240DC720" w14:textId="77777777">
        <w:trPr>
          <w:trHeight w:val="60"/>
          <w:tblCellSpacing w:w="0" w:type="dxa"/>
        </w:trPr>
        <w:tc>
          <w:tcPr>
            <w:tcW w:w="338" w:type="dxa"/>
            <w:tcBorders>
              <w:top w:val="nil"/>
              <w:left w:val="nil"/>
              <w:bottom w:val="nil"/>
              <w:right w:val="nil"/>
            </w:tcBorders>
          </w:tcPr>
          <w:p w14:paraId="327C61C5"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44.</w:t>
            </w:r>
          </w:p>
        </w:tc>
        <w:tc>
          <w:tcPr>
            <w:tcW w:w="3420" w:type="dxa"/>
            <w:tcBorders>
              <w:top w:val="nil"/>
              <w:left w:val="nil"/>
              <w:bottom w:val="nil"/>
              <w:right w:val="nil"/>
            </w:tcBorders>
          </w:tcPr>
          <w:p w14:paraId="68BF83D4"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ISO 10140-3:2011</w:t>
            </w:r>
          </w:p>
          <w:p w14:paraId="16313DE0"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ISO 10140-3:2011/A1:2015-07</w:t>
            </w:r>
          </w:p>
        </w:tc>
        <w:tc>
          <w:tcPr>
            <w:tcW w:w="5564" w:type="dxa"/>
            <w:tcBorders>
              <w:top w:val="nil"/>
              <w:left w:val="nil"/>
              <w:bottom w:val="nil"/>
              <w:right w:val="nil"/>
            </w:tcBorders>
          </w:tcPr>
          <w:p w14:paraId="7A1F7664"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Akustyka – Pomiar laboratoryjny izolacyjności akustycznej elementów budowlanych – Część 3: Pomiar izolacyjności od dźwięków uderzeniowych (</w:t>
            </w:r>
            <w:r>
              <w:rPr>
                <w:rFonts w:ascii="Arial" w:hAnsi="Arial" w:cs="Arial"/>
                <w:i/>
                <w:iCs/>
                <w:color w:val="000000"/>
                <w:sz w:val="18"/>
                <w:szCs w:val="18"/>
                <w:lang w:val="x-none"/>
              </w:rPr>
              <w:t>oryg</w:t>
            </w:r>
            <w:r>
              <w:rPr>
                <w:rFonts w:ascii="Arial" w:hAnsi="Arial" w:cs="Arial"/>
                <w:color w:val="000000"/>
                <w:sz w:val="18"/>
                <w:szCs w:val="18"/>
                <w:lang w:val="x-none"/>
              </w:rPr>
              <w:t xml:space="preserve">.) </w:t>
            </w:r>
            <w:r>
              <w:rPr>
                <w:rFonts w:ascii="Arial" w:hAnsi="Arial" w:cs="Arial"/>
                <w:i/>
                <w:iCs/>
                <w:color w:val="000000"/>
                <w:sz w:val="18"/>
                <w:szCs w:val="18"/>
                <w:lang w:val="x-none"/>
              </w:rPr>
              <w:t>(wersja angielska)</w:t>
            </w:r>
            <w:r>
              <w:rPr>
                <w:rFonts w:ascii="Arial" w:hAnsi="Arial" w:cs="Arial"/>
                <w:color w:val="000000"/>
                <w:sz w:val="18"/>
                <w:szCs w:val="18"/>
                <w:lang w:val="x-none"/>
              </w:rPr>
              <w:t>.</w:t>
            </w:r>
          </w:p>
        </w:tc>
      </w:tr>
      <w:tr w:rsidR="000A3B2B" w14:paraId="42D68B29" w14:textId="77777777">
        <w:trPr>
          <w:trHeight w:val="60"/>
          <w:tblCellSpacing w:w="0" w:type="dxa"/>
        </w:trPr>
        <w:tc>
          <w:tcPr>
            <w:tcW w:w="338" w:type="dxa"/>
            <w:tcBorders>
              <w:top w:val="nil"/>
              <w:left w:val="nil"/>
              <w:bottom w:val="nil"/>
              <w:right w:val="nil"/>
            </w:tcBorders>
          </w:tcPr>
          <w:p w14:paraId="3F9CE693"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45.</w:t>
            </w:r>
          </w:p>
        </w:tc>
        <w:tc>
          <w:tcPr>
            <w:tcW w:w="3420" w:type="dxa"/>
            <w:tcBorders>
              <w:top w:val="nil"/>
              <w:left w:val="nil"/>
              <w:bottom w:val="nil"/>
              <w:right w:val="nil"/>
            </w:tcBorders>
          </w:tcPr>
          <w:p w14:paraId="014667FA"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ISO 10140-4:2011</w:t>
            </w:r>
          </w:p>
        </w:tc>
        <w:tc>
          <w:tcPr>
            <w:tcW w:w="5564" w:type="dxa"/>
            <w:tcBorders>
              <w:top w:val="nil"/>
              <w:left w:val="nil"/>
              <w:bottom w:val="nil"/>
              <w:right w:val="nil"/>
            </w:tcBorders>
          </w:tcPr>
          <w:p w14:paraId="050F9BBE" w14:textId="77777777" w:rsidR="000A3B2B" w:rsidRDefault="000A3B2B">
            <w:pPr>
              <w:autoSpaceDE w:val="0"/>
              <w:autoSpaceDN w:val="0"/>
              <w:adjustRightInd w:val="0"/>
              <w:spacing w:after="30" w:line="240" w:lineRule="auto"/>
              <w:jc w:val="both"/>
              <w:rPr>
                <w:rFonts w:ascii="Arial" w:hAnsi="Arial" w:cs="Arial"/>
                <w:i/>
                <w:iCs/>
                <w:color w:val="000000"/>
                <w:sz w:val="18"/>
                <w:szCs w:val="18"/>
                <w:lang w:val="x-none"/>
              </w:rPr>
            </w:pPr>
            <w:r>
              <w:rPr>
                <w:rFonts w:ascii="Arial" w:hAnsi="Arial" w:cs="Arial"/>
                <w:color w:val="000000"/>
                <w:sz w:val="18"/>
                <w:szCs w:val="18"/>
                <w:lang w:val="x-none"/>
              </w:rPr>
              <w:t>Akustyka – Pomiar laboratoryjny izolacyjności akustycznej elementów budowlanych – Część 4: Procedury pomiarowe i wymagania (</w:t>
            </w:r>
            <w:r>
              <w:rPr>
                <w:rFonts w:ascii="Arial" w:hAnsi="Arial" w:cs="Arial"/>
                <w:i/>
                <w:iCs/>
                <w:color w:val="000000"/>
                <w:sz w:val="18"/>
                <w:szCs w:val="18"/>
                <w:lang w:val="x-none"/>
              </w:rPr>
              <w:t>oryg</w:t>
            </w:r>
            <w:r>
              <w:rPr>
                <w:rFonts w:ascii="Arial" w:hAnsi="Arial" w:cs="Arial"/>
                <w:color w:val="000000"/>
                <w:sz w:val="18"/>
                <w:szCs w:val="18"/>
                <w:lang w:val="x-none"/>
              </w:rPr>
              <w:t xml:space="preserve">.) </w:t>
            </w:r>
            <w:r>
              <w:rPr>
                <w:rFonts w:ascii="Arial" w:hAnsi="Arial" w:cs="Arial"/>
                <w:i/>
                <w:iCs/>
                <w:color w:val="000000"/>
                <w:sz w:val="18"/>
                <w:szCs w:val="18"/>
                <w:lang w:val="x-none"/>
              </w:rPr>
              <w:t>(wersja angielska).</w:t>
            </w:r>
          </w:p>
        </w:tc>
      </w:tr>
      <w:tr w:rsidR="000A3B2B" w14:paraId="1F29D8B2" w14:textId="77777777">
        <w:trPr>
          <w:trHeight w:val="60"/>
          <w:tblCellSpacing w:w="0" w:type="dxa"/>
        </w:trPr>
        <w:tc>
          <w:tcPr>
            <w:tcW w:w="338" w:type="dxa"/>
            <w:tcBorders>
              <w:top w:val="nil"/>
              <w:left w:val="nil"/>
              <w:bottom w:val="nil"/>
              <w:right w:val="nil"/>
            </w:tcBorders>
          </w:tcPr>
          <w:p w14:paraId="3BA57FA4"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46.</w:t>
            </w:r>
          </w:p>
        </w:tc>
        <w:tc>
          <w:tcPr>
            <w:tcW w:w="3420" w:type="dxa"/>
            <w:tcBorders>
              <w:top w:val="nil"/>
              <w:left w:val="nil"/>
              <w:bottom w:val="nil"/>
              <w:right w:val="nil"/>
            </w:tcBorders>
          </w:tcPr>
          <w:p w14:paraId="571E85B4"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ISO 10140-5:2011</w:t>
            </w:r>
          </w:p>
          <w:p w14:paraId="48FC1D09"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ISO 10140-5:2011/A1:2014-09</w:t>
            </w:r>
          </w:p>
        </w:tc>
        <w:tc>
          <w:tcPr>
            <w:tcW w:w="5564" w:type="dxa"/>
            <w:tcBorders>
              <w:top w:val="nil"/>
              <w:left w:val="nil"/>
              <w:bottom w:val="nil"/>
              <w:right w:val="nil"/>
            </w:tcBorders>
          </w:tcPr>
          <w:p w14:paraId="0AF2C986" w14:textId="77777777" w:rsidR="000A3B2B" w:rsidRDefault="000A3B2B">
            <w:pPr>
              <w:autoSpaceDE w:val="0"/>
              <w:autoSpaceDN w:val="0"/>
              <w:adjustRightInd w:val="0"/>
              <w:spacing w:after="30" w:line="240" w:lineRule="auto"/>
              <w:jc w:val="both"/>
              <w:rPr>
                <w:rFonts w:ascii="Arial" w:hAnsi="Arial" w:cs="Arial"/>
                <w:i/>
                <w:iCs/>
                <w:color w:val="000000"/>
                <w:sz w:val="18"/>
                <w:szCs w:val="18"/>
                <w:lang w:val="x-none"/>
              </w:rPr>
            </w:pPr>
            <w:r>
              <w:rPr>
                <w:rFonts w:ascii="Arial" w:hAnsi="Arial" w:cs="Arial"/>
                <w:color w:val="000000"/>
                <w:sz w:val="18"/>
                <w:szCs w:val="18"/>
                <w:lang w:val="x-none"/>
              </w:rPr>
              <w:t>Akustyka – Pomiar laboratoryjny izolacyjności akustycznej elementów budowlanych – Część 5: Wymagania dotyczące laboratoryjnych stanowisk badawczych i wyposażenia (</w:t>
            </w:r>
            <w:r>
              <w:rPr>
                <w:rFonts w:ascii="Arial" w:hAnsi="Arial" w:cs="Arial"/>
                <w:i/>
                <w:iCs/>
                <w:color w:val="000000"/>
                <w:sz w:val="18"/>
                <w:szCs w:val="18"/>
                <w:lang w:val="x-none"/>
              </w:rPr>
              <w:t>oryg</w:t>
            </w:r>
            <w:r>
              <w:rPr>
                <w:rFonts w:ascii="Arial" w:hAnsi="Arial" w:cs="Arial"/>
                <w:color w:val="000000"/>
                <w:sz w:val="18"/>
                <w:szCs w:val="18"/>
                <w:lang w:val="x-none"/>
              </w:rPr>
              <w:t xml:space="preserve">.) </w:t>
            </w:r>
            <w:r>
              <w:rPr>
                <w:rFonts w:ascii="Arial" w:hAnsi="Arial" w:cs="Arial"/>
                <w:i/>
                <w:iCs/>
                <w:color w:val="000000"/>
                <w:sz w:val="18"/>
                <w:szCs w:val="18"/>
                <w:lang w:val="x-none"/>
              </w:rPr>
              <w:t>(wersja angielska).</w:t>
            </w:r>
          </w:p>
        </w:tc>
      </w:tr>
      <w:tr w:rsidR="000A3B2B" w14:paraId="58C1732E" w14:textId="77777777">
        <w:trPr>
          <w:trHeight w:val="60"/>
          <w:tblCellSpacing w:w="0" w:type="dxa"/>
        </w:trPr>
        <w:tc>
          <w:tcPr>
            <w:tcW w:w="338" w:type="dxa"/>
            <w:tcBorders>
              <w:top w:val="nil"/>
              <w:left w:val="nil"/>
              <w:bottom w:val="nil"/>
              <w:right w:val="nil"/>
            </w:tcBorders>
          </w:tcPr>
          <w:p w14:paraId="236AF54A"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47.</w:t>
            </w:r>
          </w:p>
        </w:tc>
        <w:tc>
          <w:tcPr>
            <w:tcW w:w="3420" w:type="dxa"/>
            <w:tcBorders>
              <w:top w:val="nil"/>
              <w:left w:val="nil"/>
              <w:bottom w:val="nil"/>
              <w:right w:val="nil"/>
            </w:tcBorders>
          </w:tcPr>
          <w:p w14:paraId="5950DC71"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1990:2004</w:t>
            </w:r>
            <w:r>
              <w:rPr>
                <w:rFonts w:ascii="Arial" w:hAnsi="Arial" w:cs="Arial"/>
                <w:color w:val="000000"/>
                <w:sz w:val="18"/>
                <w:szCs w:val="18"/>
                <w:lang w:val="x-none"/>
              </w:rPr>
              <w:br/>
              <w:t>PN-EN 1990:2004/A1:2008</w:t>
            </w:r>
            <w:r>
              <w:rPr>
                <w:rFonts w:ascii="Arial" w:hAnsi="Arial" w:cs="Arial"/>
                <w:color w:val="000000"/>
                <w:sz w:val="18"/>
                <w:szCs w:val="18"/>
                <w:lang w:val="x-none"/>
              </w:rPr>
              <w:br/>
              <w:t>PN-EN 1990:2004/NA:2010</w:t>
            </w:r>
          </w:p>
        </w:tc>
        <w:tc>
          <w:tcPr>
            <w:tcW w:w="5564" w:type="dxa"/>
            <w:tcBorders>
              <w:top w:val="nil"/>
              <w:left w:val="nil"/>
              <w:bottom w:val="nil"/>
              <w:right w:val="nil"/>
            </w:tcBorders>
          </w:tcPr>
          <w:p w14:paraId="0E25BC9C"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proofErr w:type="spellStart"/>
            <w:r>
              <w:rPr>
                <w:rFonts w:ascii="Arial" w:hAnsi="Arial" w:cs="Arial"/>
                <w:color w:val="000000"/>
                <w:sz w:val="18"/>
                <w:szCs w:val="18"/>
                <w:lang w:val="x-none"/>
              </w:rPr>
              <w:t>Eurokod</w:t>
            </w:r>
            <w:proofErr w:type="spellEnd"/>
            <w:r>
              <w:rPr>
                <w:rFonts w:ascii="Arial" w:hAnsi="Arial" w:cs="Arial"/>
                <w:color w:val="000000"/>
                <w:sz w:val="18"/>
                <w:szCs w:val="18"/>
                <w:lang w:val="x-none"/>
              </w:rPr>
              <w:t xml:space="preserve"> – Podstawy projektowania konstrukcji.</w:t>
            </w:r>
          </w:p>
        </w:tc>
      </w:tr>
      <w:tr w:rsidR="000A3B2B" w14:paraId="1F38C773" w14:textId="77777777">
        <w:trPr>
          <w:trHeight w:val="60"/>
          <w:tblCellSpacing w:w="0" w:type="dxa"/>
        </w:trPr>
        <w:tc>
          <w:tcPr>
            <w:tcW w:w="338" w:type="dxa"/>
            <w:tcBorders>
              <w:top w:val="nil"/>
              <w:left w:val="nil"/>
              <w:bottom w:val="nil"/>
              <w:right w:val="nil"/>
            </w:tcBorders>
          </w:tcPr>
          <w:p w14:paraId="106C82A2"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48.</w:t>
            </w:r>
          </w:p>
        </w:tc>
        <w:tc>
          <w:tcPr>
            <w:tcW w:w="3420" w:type="dxa"/>
            <w:tcBorders>
              <w:top w:val="nil"/>
              <w:left w:val="nil"/>
              <w:bottom w:val="nil"/>
              <w:right w:val="nil"/>
            </w:tcBorders>
          </w:tcPr>
          <w:p w14:paraId="2DDC28F1"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1991-1-4:2008</w:t>
            </w:r>
            <w:r>
              <w:rPr>
                <w:rFonts w:ascii="Arial" w:hAnsi="Arial" w:cs="Arial"/>
                <w:color w:val="000000"/>
                <w:sz w:val="18"/>
                <w:szCs w:val="18"/>
                <w:lang w:val="x-none"/>
              </w:rPr>
              <w:br/>
              <w:t>PN-EN 1991-1-4:2008/NA:2010</w:t>
            </w:r>
            <w:r>
              <w:rPr>
                <w:rFonts w:ascii="Arial" w:hAnsi="Arial" w:cs="Arial"/>
                <w:color w:val="000000"/>
                <w:sz w:val="18"/>
                <w:szCs w:val="18"/>
                <w:lang w:val="x-none"/>
              </w:rPr>
              <w:br/>
              <w:t>PN-EN 1991-1-4:2008/A1:2010</w:t>
            </w:r>
          </w:p>
        </w:tc>
        <w:tc>
          <w:tcPr>
            <w:tcW w:w="5564" w:type="dxa"/>
            <w:tcBorders>
              <w:top w:val="nil"/>
              <w:left w:val="nil"/>
              <w:bottom w:val="nil"/>
              <w:right w:val="nil"/>
            </w:tcBorders>
          </w:tcPr>
          <w:p w14:paraId="721B5FD8"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proofErr w:type="spellStart"/>
            <w:r>
              <w:rPr>
                <w:rFonts w:ascii="Arial" w:hAnsi="Arial" w:cs="Arial"/>
                <w:color w:val="000000"/>
                <w:sz w:val="18"/>
                <w:szCs w:val="18"/>
                <w:lang w:val="x-none"/>
              </w:rPr>
              <w:t>Eurokod</w:t>
            </w:r>
            <w:proofErr w:type="spellEnd"/>
            <w:r>
              <w:rPr>
                <w:rFonts w:ascii="Arial" w:hAnsi="Arial" w:cs="Arial"/>
                <w:color w:val="000000"/>
                <w:sz w:val="18"/>
                <w:szCs w:val="18"/>
                <w:lang w:val="x-none"/>
              </w:rPr>
              <w:t xml:space="preserve"> 1: Oddziaływania na konstrukcje – Część 1-4: Oddziaływania ogólne – Oddziaływania wiatru.</w:t>
            </w:r>
          </w:p>
        </w:tc>
      </w:tr>
      <w:tr w:rsidR="000A3B2B" w14:paraId="1F769D2D" w14:textId="77777777">
        <w:trPr>
          <w:trHeight w:val="60"/>
          <w:tblCellSpacing w:w="0" w:type="dxa"/>
        </w:trPr>
        <w:tc>
          <w:tcPr>
            <w:tcW w:w="338" w:type="dxa"/>
            <w:tcBorders>
              <w:top w:val="nil"/>
              <w:left w:val="nil"/>
              <w:bottom w:val="nil"/>
              <w:right w:val="nil"/>
            </w:tcBorders>
          </w:tcPr>
          <w:p w14:paraId="6048427E"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49.</w:t>
            </w:r>
          </w:p>
        </w:tc>
        <w:tc>
          <w:tcPr>
            <w:tcW w:w="3420" w:type="dxa"/>
            <w:tcBorders>
              <w:top w:val="nil"/>
              <w:left w:val="nil"/>
              <w:bottom w:val="nil"/>
              <w:right w:val="nil"/>
            </w:tcBorders>
          </w:tcPr>
          <w:p w14:paraId="4F2BD30F"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PN-B-02151-3:2015-10</w:t>
            </w:r>
          </w:p>
        </w:tc>
        <w:tc>
          <w:tcPr>
            <w:tcW w:w="5564" w:type="dxa"/>
            <w:tcBorders>
              <w:top w:val="nil"/>
              <w:left w:val="nil"/>
              <w:bottom w:val="nil"/>
              <w:right w:val="nil"/>
            </w:tcBorders>
          </w:tcPr>
          <w:p w14:paraId="5F4CC6E1"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Akustyka budowlana – Ochrona przed hałasem w budynkach – Część 3: Wymagania dotyczące izolacyjności akustycznej przegród w budynkach i elementów budowlanych.</w:t>
            </w:r>
          </w:p>
        </w:tc>
      </w:tr>
      <w:tr w:rsidR="000A3B2B" w14:paraId="54135147" w14:textId="77777777">
        <w:trPr>
          <w:trHeight w:val="60"/>
          <w:tblCellSpacing w:w="0" w:type="dxa"/>
        </w:trPr>
        <w:tc>
          <w:tcPr>
            <w:tcW w:w="338" w:type="dxa"/>
            <w:tcBorders>
              <w:top w:val="nil"/>
              <w:left w:val="nil"/>
              <w:bottom w:val="nil"/>
              <w:right w:val="nil"/>
            </w:tcBorders>
          </w:tcPr>
          <w:p w14:paraId="24788F5B"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50.</w:t>
            </w:r>
          </w:p>
        </w:tc>
        <w:tc>
          <w:tcPr>
            <w:tcW w:w="3420" w:type="dxa"/>
            <w:tcBorders>
              <w:top w:val="nil"/>
              <w:left w:val="nil"/>
              <w:bottom w:val="nil"/>
              <w:right w:val="nil"/>
            </w:tcBorders>
          </w:tcPr>
          <w:p w14:paraId="40205EE4"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PN-B-05000:1996</w:t>
            </w:r>
          </w:p>
        </w:tc>
        <w:tc>
          <w:tcPr>
            <w:tcW w:w="5564" w:type="dxa"/>
            <w:tcBorders>
              <w:top w:val="nil"/>
              <w:left w:val="nil"/>
              <w:bottom w:val="nil"/>
              <w:right w:val="nil"/>
            </w:tcBorders>
          </w:tcPr>
          <w:p w14:paraId="34E51996"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Okna i drzwi – Pakowanie, przechowywanie i transport.</w:t>
            </w:r>
          </w:p>
        </w:tc>
      </w:tr>
      <w:tr w:rsidR="000A3B2B" w14:paraId="110072A6" w14:textId="77777777">
        <w:trPr>
          <w:trHeight w:val="60"/>
          <w:tblCellSpacing w:w="0" w:type="dxa"/>
        </w:trPr>
        <w:tc>
          <w:tcPr>
            <w:tcW w:w="338" w:type="dxa"/>
            <w:tcBorders>
              <w:top w:val="nil"/>
              <w:left w:val="nil"/>
              <w:bottom w:val="nil"/>
              <w:right w:val="nil"/>
            </w:tcBorders>
          </w:tcPr>
          <w:p w14:paraId="0421FD11"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51.</w:t>
            </w:r>
          </w:p>
        </w:tc>
        <w:tc>
          <w:tcPr>
            <w:tcW w:w="3420" w:type="dxa"/>
            <w:tcBorders>
              <w:top w:val="nil"/>
              <w:left w:val="nil"/>
              <w:bottom w:val="nil"/>
              <w:right w:val="nil"/>
            </w:tcBorders>
          </w:tcPr>
          <w:p w14:paraId="26F63AB6"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PN-B-10222:1998</w:t>
            </w:r>
          </w:p>
        </w:tc>
        <w:tc>
          <w:tcPr>
            <w:tcW w:w="5564" w:type="dxa"/>
            <w:tcBorders>
              <w:top w:val="nil"/>
              <w:left w:val="nil"/>
              <w:bottom w:val="nil"/>
              <w:right w:val="nil"/>
            </w:tcBorders>
          </w:tcPr>
          <w:p w14:paraId="4F37212C"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Stolarka budowlana – Okna drewniane krosnowe do piwnic i poddaszy.</w:t>
            </w:r>
          </w:p>
        </w:tc>
      </w:tr>
      <w:tr w:rsidR="000A3B2B" w14:paraId="0C3095C8" w14:textId="77777777">
        <w:trPr>
          <w:trHeight w:val="60"/>
          <w:tblCellSpacing w:w="0" w:type="dxa"/>
        </w:trPr>
        <w:tc>
          <w:tcPr>
            <w:tcW w:w="338" w:type="dxa"/>
            <w:tcBorders>
              <w:top w:val="nil"/>
              <w:left w:val="nil"/>
              <w:bottom w:val="nil"/>
              <w:right w:val="nil"/>
            </w:tcBorders>
          </w:tcPr>
          <w:p w14:paraId="593AFFBA"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52.</w:t>
            </w:r>
          </w:p>
        </w:tc>
        <w:tc>
          <w:tcPr>
            <w:tcW w:w="3420" w:type="dxa"/>
            <w:tcBorders>
              <w:top w:val="nil"/>
              <w:left w:val="nil"/>
              <w:bottom w:val="nil"/>
              <w:right w:val="nil"/>
            </w:tcBorders>
          </w:tcPr>
          <w:p w14:paraId="47716FF7"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PN-B-91000:1996</w:t>
            </w:r>
          </w:p>
        </w:tc>
        <w:tc>
          <w:tcPr>
            <w:tcW w:w="5564" w:type="dxa"/>
            <w:tcBorders>
              <w:top w:val="nil"/>
              <w:left w:val="nil"/>
              <w:bottom w:val="nil"/>
              <w:right w:val="nil"/>
            </w:tcBorders>
          </w:tcPr>
          <w:p w14:paraId="65E1380F"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Stolarka budowlana – Okna i drzwi – Terminologia.</w:t>
            </w:r>
          </w:p>
        </w:tc>
      </w:tr>
    </w:tbl>
    <w:p w14:paraId="3EEED693" w14:textId="77777777" w:rsidR="000A3B2B" w:rsidRDefault="000A3B2B" w:rsidP="009E5295">
      <w:pPr>
        <w:autoSpaceDE w:val="0"/>
        <w:autoSpaceDN w:val="0"/>
        <w:adjustRightInd w:val="0"/>
        <w:spacing w:after="30" w:line="240" w:lineRule="auto"/>
        <w:jc w:val="both"/>
        <w:rPr>
          <w:rFonts w:ascii="Arial" w:hAnsi="Arial" w:cs="Arial"/>
          <w:b/>
          <w:bCs/>
          <w:color w:val="000000"/>
          <w:sz w:val="18"/>
          <w:szCs w:val="18"/>
          <w:lang w:val="x-none"/>
        </w:rPr>
      </w:pPr>
    </w:p>
    <w:p w14:paraId="6BAA92BA"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p>
    <w:p w14:paraId="09CBD4CC"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10.2.</w:t>
      </w:r>
      <w:r>
        <w:rPr>
          <w:rFonts w:ascii="Arial" w:hAnsi="Arial" w:cs="Arial"/>
          <w:b/>
          <w:bCs/>
          <w:color w:val="000000"/>
          <w:sz w:val="18"/>
          <w:szCs w:val="18"/>
          <w:lang w:val="x-none"/>
        </w:rPr>
        <w:tab/>
        <w:t>Ustawy</w:t>
      </w:r>
    </w:p>
    <w:p w14:paraId="6BAF46E3"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Ustawa z dnia 16 kwietnia 2004 r. o wyrobach budowlanych (tekst jednolity Dz. U. z 2016 r. Nr 0, poz. 1570 ).</w:t>
      </w:r>
    </w:p>
    <w:p w14:paraId="3E3F55D2"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Ustawa z dnia 30 sierpnia 2002 r. o systemie oceny zgodności (tekst jednolity Dz. U. z 2016  r. Nr 0, poz. 655).</w:t>
      </w:r>
    </w:p>
    <w:p w14:paraId="1ECC2DBC"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Ustawa z dnia 25 lutego 20011 r. o substancjach chemicznych i ich mieszaninach (tekst jednolity Dz. U. z 2015  r. Nr 0, poz. 1203).</w:t>
      </w:r>
    </w:p>
    <w:p w14:paraId="1A0353F9"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0CB946A9"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10.3.</w:t>
      </w:r>
      <w:r>
        <w:rPr>
          <w:rFonts w:ascii="Arial" w:hAnsi="Arial" w:cs="Arial"/>
          <w:b/>
          <w:bCs/>
          <w:color w:val="000000"/>
          <w:sz w:val="18"/>
          <w:szCs w:val="18"/>
          <w:lang w:val="x-none"/>
        </w:rPr>
        <w:tab/>
        <w:t xml:space="preserve"> Rozporządzenia</w:t>
      </w:r>
    </w:p>
    <w:p w14:paraId="3AD874A5"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Rozporządzenie Ministra Infrastruktury z dnia 2 września 2004 r. w sprawie szczegółowego zakresu i formy dokumentacji projektowej, specyfikacji technicznych wykonania i odbioru robót budowlanych oraz programu funkcjonalno-użytkowego (tekst jednolity Dz. U. z 2013 r. Nr 0, poz. 1129).</w:t>
      </w:r>
    </w:p>
    <w:p w14:paraId="1CFFC113"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Rozporządzenie Ministra Transportu, Budownictwa i Gospodarki Morskiej z dnia 25 kwietnia 2012 r. w sprawie szczegółowego zakresu i formy projektu budowlanego (Dz. U. z 2012 r. Nr 0, poz. 462, z późniejszymi zmianami).</w:t>
      </w:r>
    </w:p>
    <w:p w14:paraId="1A9EB54B"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Rozporządzenie Ministra Infrastruktury z dnia 26 czerwca 2002 r. w sprawie dziennika budowy, montażu i rozbiórki, tablicy informacyjnej oraz ogłoszenia zawierającego dane dotyczące bezpieczeństwa pracy i ochrony zdrowia (Dz. U. z 2002 r. Nr 108, poz. 953, z późniejszymi zmianami).</w:t>
      </w:r>
    </w:p>
    <w:p w14:paraId="559DCB59"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Rozporządzenie Ministra Infrastruktury z dnia 23 czerwca 2003 r. w sprawie informacji dotyczącej bezpieczeństwa i ochrony zdrowia oraz planu bezpieczeństwa i ochrony zdrowia (Dz. U. z 2003 r. Nr 120, poz. 1126).</w:t>
      </w:r>
    </w:p>
    <w:p w14:paraId="218EEBA7"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Rozporządzenie Ministra Infrastruktury z dnia 12 kwietnia 2002 r. w sprawie warunków technicznych, jakim powinny odpowiadać budynki i ich usytuowanie (tekst jednolity Dz. U. z 2015 r. Nr 0, poz. 1422).</w:t>
      </w:r>
    </w:p>
    <w:p w14:paraId="02F322BD"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4488618F"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10.4.</w:t>
      </w:r>
      <w:r>
        <w:rPr>
          <w:rFonts w:ascii="Arial" w:hAnsi="Arial" w:cs="Arial"/>
          <w:b/>
          <w:bCs/>
          <w:color w:val="000000"/>
          <w:sz w:val="18"/>
          <w:szCs w:val="18"/>
          <w:lang w:val="x-none"/>
        </w:rPr>
        <w:tab/>
        <w:t>Inne dokumenty i instrukcje</w:t>
      </w:r>
    </w:p>
    <w:p w14:paraId="3F138DEF"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Specyfikacja techniczna wykonania i odbioru robót budowlanych – Wymagania ogólne Kod CPV 45000000-7, wydanie 3, OWEOB Promocja – 2017 rok.</w:t>
      </w:r>
    </w:p>
    <w:p w14:paraId="6C38D247"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Warunki techniczne wykonania i odbioru robót budowlanych, Część B – Roboty wykończeniowe, zeszyt 6 „Montaż okien i drzwi balkonowych”, wydanie ITB – 2016 rok.</w:t>
      </w:r>
    </w:p>
    <w:p w14:paraId="5AE7E06F"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Warunki techniczne wykonania i odbioru robót budowlanych, tom 1, część 4, wydanie Arkady – 1990 rok.</w:t>
      </w:r>
    </w:p>
    <w:p w14:paraId="0C99D8DF" w14:textId="77777777" w:rsidR="000A3B2B" w:rsidRPr="00023227" w:rsidRDefault="000A3B2B" w:rsidP="00AB49C5">
      <w:pPr>
        <w:pStyle w:val="Styl1"/>
        <w:sectPr w:rsidR="000A3B2B" w:rsidRPr="00023227" w:rsidSect="009E5295">
          <w:pgSz w:w="12240" w:h="15840"/>
          <w:pgMar w:top="1417" w:right="1417" w:bottom="1417" w:left="1417" w:header="708" w:footer="708" w:gutter="0"/>
          <w:cols w:space="708"/>
          <w:noEndnote/>
        </w:sectPr>
      </w:pPr>
    </w:p>
    <w:p w14:paraId="05218EA0" w14:textId="77777777" w:rsidR="000A3B2B" w:rsidRPr="00AB49C5" w:rsidRDefault="000A3B2B" w:rsidP="00AB49C5">
      <w:pPr>
        <w:pStyle w:val="Styl1"/>
        <w:rPr>
          <w:lang w:val="pl-PL"/>
        </w:rPr>
      </w:pPr>
      <w:r>
        <w:rPr>
          <w:lang w:val="pl-PL"/>
        </w:rPr>
        <w:t>ROBOTY INSTALACYJNE ELEKTRYCZNE</w:t>
      </w:r>
    </w:p>
    <w:p w14:paraId="736938A9" w14:textId="77777777" w:rsidR="000A3B2B" w:rsidRDefault="000A3B2B" w:rsidP="009E5295">
      <w:pPr>
        <w:autoSpaceDE w:val="0"/>
        <w:autoSpaceDN w:val="0"/>
        <w:adjustRightInd w:val="0"/>
        <w:spacing w:after="30" w:line="240" w:lineRule="auto"/>
        <w:ind w:left="285" w:hanging="285"/>
        <w:jc w:val="both"/>
        <w:rPr>
          <w:rFonts w:ascii="Arial" w:hAnsi="Arial" w:cs="Arial"/>
          <w:b/>
          <w:bCs/>
          <w:color w:val="000000"/>
          <w:sz w:val="18"/>
          <w:szCs w:val="18"/>
          <w:lang w:val="x-none"/>
        </w:rPr>
      </w:pPr>
    </w:p>
    <w:p w14:paraId="26AF8F80" w14:textId="77777777" w:rsidR="000A3B2B" w:rsidRDefault="000A3B2B" w:rsidP="009E5295">
      <w:pPr>
        <w:autoSpaceDE w:val="0"/>
        <w:autoSpaceDN w:val="0"/>
        <w:adjustRightInd w:val="0"/>
        <w:spacing w:after="3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1.</w:t>
      </w:r>
      <w:r>
        <w:rPr>
          <w:rFonts w:ascii="Arial" w:hAnsi="Arial" w:cs="Arial"/>
          <w:b/>
          <w:bCs/>
          <w:color w:val="000000"/>
          <w:sz w:val="18"/>
          <w:szCs w:val="18"/>
          <w:lang w:val="x-none"/>
        </w:rPr>
        <w:tab/>
        <w:t>CZĘŚĆ OGÓLNA</w:t>
      </w:r>
    </w:p>
    <w:p w14:paraId="3820EEC0"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1.1.</w:t>
      </w:r>
      <w:r>
        <w:rPr>
          <w:rFonts w:ascii="Arial" w:hAnsi="Arial" w:cs="Arial"/>
          <w:b/>
          <w:bCs/>
          <w:color w:val="000000"/>
          <w:sz w:val="18"/>
          <w:szCs w:val="18"/>
          <w:lang w:val="x-none"/>
        </w:rPr>
        <w:tab/>
        <w:t>Nazwa nadana zamówieniu przez Zamawiającego</w:t>
      </w:r>
    </w:p>
    <w:p w14:paraId="62742001" w14:textId="77777777" w:rsidR="000A3B2B" w:rsidRDefault="000A3B2B" w:rsidP="009E5295">
      <w:pPr>
        <w:tabs>
          <w:tab w:val="right" w:leader="dot" w:pos="7035"/>
        </w:tabs>
        <w:autoSpaceDE w:val="0"/>
        <w:autoSpaceDN w:val="0"/>
        <w:adjustRightInd w:val="0"/>
        <w:spacing w:after="30" w:line="240" w:lineRule="auto"/>
        <w:jc w:val="both"/>
        <w:rPr>
          <w:rFonts w:ascii="Arial" w:hAnsi="Arial" w:cs="Arial"/>
          <w:color w:val="000000"/>
          <w:sz w:val="18"/>
          <w:szCs w:val="18"/>
          <w:lang w:val="x-none"/>
        </w:rPr>
      </w:pPr>
      <w:r w:rsidRPr="00D8129F">
        <w:rPr>
          <w:rFonts w:ascii="Arial" w:hAnsi="Arial" w:cs="Arial"/>
          <w:noProof/>
          <w:color w:val="000000"/>
          <w:sz w:val="18"/>
          <w:szCs w:val="18"/>
          <w:lang w:val="x-none"/>
        </w:rPr>
        <w:t>Termomodernizacja budynku Szkoły Podstawowej nr 3 przy ul. Marii Konopnickiej 2 w Reszlu.</w:t>
      </w:r>
    </w:p>
    <w:p w14:paraId="1BFCA18E"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1.2.</w:t>
      </w:r>
      <w:r>
        <w:rPr>
          <w:rFonts w:ascii="Arial" w:hAnsi="Arial" w:cs="Arial"/>
          <w:b/>
          <w:bCs/>
          <w:color w:val="000000"/>
          <w:sz w:val="18"/>
          <w:szCs w:val="18"/>
          <w:lang w:val="x-none"/>
        </w:rPr>
        <w:tab/>
        <w:t>Przedmiot ST</w:t>
      </w:r>
    </w:p>
    <w:p w14:paraId="45CE7A3C"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Przedmiotem niniejszej specyfikacji technicznej (ST) są wymagania dotyczące wykonania i odbioru robót związanych z układaniem i montażem elementów instalacji elektrycznej (układanie kabli i przewodów, montaż osprzętu i opraw) w obiektach kubaturowych oraz obiektach budownictwa inżynieryjnego. Specyfikacja nie obejmuje robót elektrycznych niskoprądowych.</w:t>
      </w:r>
    </w:p>
    <w:p w14:paraId="1D342BBD"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757EA043"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1.3.</w:t>
      </w:r>
      <w:r>
        <w:rPr>
          <w:rFonts w:ascii="Arial" w:hAnsi="Arial" w:cs="Arial"/>
          <w:b/>
          <w:bCs/>
          <w:color w:val="000000"/>
          <w:sz w:val="18"/>
          <w:szCs w:val="18"/>
          <w:lang w:val="x-none"/>
        </w:rPr>
        <w:tab/>
        <w:t>Zakres stosowania ST</w:t>
      </w:r>
    </w:p>
    <w:p w14:paraId="15D729CC"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Specyfikacja techniczna standardowa (ST) stanowi podstawę opracowania specyfikacji technicznej szczegółowej (SST), stosowanej jako dokument przetargowy i kontraktowy przy zlecaniu i realizacji robót wymienionych w pkt. 1.2.</w:t>
      </w:r>
    </w:p>
    <w:p w14:paraId="7A6B2988"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Projektant sporządzający dokumentację projektową i odpowiednie szczegółowe specyfikacje techniczne wykonania i odbioru robót budowlanych może wprowadzać do niniejszej standardowej specyfikacji zmiany, uzupełnienia lub uściślenia, odpowiednie dla przewidzianych projektem robót, uwzględniające wymagania Zamawiającego oraz konkretne warunki realizacji robót, niezbędne do uzyskania wymaganego standardu i jakości tych robót.</w:t>
      </w:r>
    </w:p>
    <w:p w14:paraId="7C254FF9"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Odstępstwa od wymagań podanych w niniejszej specyfikacji mogą mieć miejsce tylko w przypadkach prostych robót o niewielkim znaczeniu, dla których istnieje pewność, że podstawowe wymagania będą spełnione przy zastosowaniu metod wykonania wynikających z doświadczenia oraz uznanych reguł i zasad sztuki budowlanej.</w:t>
      </w:r>
    </w:p>
    <w:p w14:paraId="3E79F02E"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66FFDDC4"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1.4.</w:t>
      </w:r>
      <w:r>
        <w:rPr>
          <w:rFonts w:ascii="Arial" w:hAnsi="Arial" w:cs="Arial"/>
          <w:b/>
          <w:bCs/>
          <w:color w:val="000000"/>
          <w:sz w:val="18"/>
          <w:szCs w:val="18"/>
          <w:lang w:val="x-none"/>
        </w:rPr>
        <w:tab/>
        <w:t>Przedmiot i zakres robót objętych ST</w:t>
      </w:r>
    </w:p>
    <w:p w14:paraId="00EB85DE"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Ustalenia zawarte w niniejszej specyfikacji technicznej (ST) dotyczą zasad wykonywania i odbioru robót związanych z:</w:t>
      </w:r>
    </w:p>
    <w:p w14:paraId="667B4B12"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układaniem kabli i przewodów elektrycznych, w tym szynoprzewodów montowanych poza rozdzielnicami,</w:t>
      </w:r>
    </w:p>
    <w:p w14:paraId="22FBDEF0"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montażem opraw, osprzętu, urządzeń i odbiorników energii elektrycznej,</w:t>
      </w:r>
    </w:p>
    <w:p w14:paraId="33A4639F"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wraz z przygotowaniem podłoża i robotami towarzyszącymi, dla obiektów kubaturowych oraz obiektów budownictwa inżynieryjnego. ST dotyczy wszystkich czynności mających na celu wykonanie robót związanych z:</w:t>
      </w:r>
    </w:p>
    <w:p w14:paraId="448E9AB6"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kompletacją wszystkich materiałów potrzebnych do wykonania podanych wyżej prac,</w:t>
      </w:r>
    </w:p>
    <w:p w14:paraId="2DD20AB1"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wykonaniem wszelkich robót pomocniczych w celu przygotowania podłoża (w szczególności roboty murarskie, ślusarsko-spawalnicze montaż elementów osprzętu instalacyjnego itp.),</w:t>
      </w:r>
    </w:p>
    <w:p w14:paraId="6DF0E238"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ułożeniem wszystkich materiałów w sposób i w miejscu zgodnym z dokumentacją techniczną,</w:t>
      </w:r>
    </w:p>
    <w:p w14:paraId="4D2367D8"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wykonaniem oznakowania zgodnego z dokumentacją techniczną wszystkich elementów wyznaczonych w dokumentacji,</w:t>
      </w:r>
    </w:p>
    <w:p w14:paraId="625399B7"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ułożeniem drutu stalowego (dla instalacji prowadzonych w rurkach lub kanałach zamkniętych), ułatwiającego docelowe wciąganie zaprojektowanych przewodów (np. dla sieci teleinformatycznych),</w:t>
      </w:r>
    </w:p>
    <w:p w14:paraId="3C3CEFED"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wykonaniem oznakowania zgodnego z dokumentacją techniczną wszystkich wyznaczonych kabli i przewodów,</w:t>
      </w:r>
    </w:p>
    <w:p w14:paraId="08CD26E6"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przeprowadzeniem wymaganych prób i badań oraz potwierdzenie protokołami kwalifikującymi montowany element instalacji elektrycznej,</w:t>
      </w:r>
    </w:p>
    <w:p w14:paraId="415A0A30"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nie dotyczą: </w:t>
      </w:r>
    </w:p>
    <w:p w14:paraId="3645BBF7" w14:textId="77777777" w:rsidR="000A3B2B" w:rsidRDefault="000A3B2B" w:rsidP="009E5295">
      <w:pPr>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wysokonapięciowych reklam świetlnych zasilanych niskim napięciem (nazywanych neonówkami),</w:t>
      </w:r>
    </w:p>
    <w:p w14:paraId="2C48B51E" w14:textId="77777777" w:rsidR="000A3B2B" w:rsidRDefault="000A3B2B" w:rsidP="009E5295">
      <w:pPr>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urządzeń z reklamami świetlnymi i rurami jarzeniowymi, zasilanych napięciem znamionowym o wartości większej niż 1 </w:t>
      </w:r>
      <w:proofErr w:type="spellStart"/>
      <w:r>
        <w:rPr>
          <w:rFonts w:ascii="Arial" w:hAnsi="Arial" w:cs="Arial"/>
          <w:color w:val="000000"/>
          <w:sz w:val="18"/>
          <w:szCs w:val="18"/>
          <w:lang w:val="x-none"/>
        </w:rPr>
        <w:t>kV</w:t>
      </w:r>
      <w:proofErr w:type="spellEnd"/>
      <w:r>
        <w:rPr>
          <w:rFonts w:ascii="Arial" w:hAnsi="Arial" w:cs="Arial"/>
          <w:color w:val="000000"/>
          <w:sz w:val="18"/>
          <w:szCs w:val="18"/>
          <w:lang w:val="x-none"/>
        </w:rPr>
        <w:t xml:space="preserve"> w stanie bez obciążenia, lecz nieprzekraczającej 10 </w:t>
      </w:r>
      <w:proofErr w:type="spellStart"/>
      <w:r>
        <w:rPr>
          <w:rFonts w:ascii="Arial" w:hAnsi="Arial" w:cs="Arial"/>
          <w:color w:val="000000"/>
          <w:sz w:val="18"/>
          <w:szCs w:val="18"/>
          <w:lang w:val="x-none"/>
        </w:rPr>
        <w:t>kV</w:t>
      </w:r>
      <w:proofErr w:type="spellEnd"/>
      <w:r>
        <w:rPr>
          <w:rFonts w:ascii="Arial" w:hAnsi="Arial" w:cs="Arial"/>
          <w:color w:val="000000"/>
          <w:sz w:val="18"/>
          <w:szCs w:val="18"/>
          <w:lang w:val="x-none"/>
        </w:rPr>
        <w:t>.</w:t>
      </w:r>
    </w:p>
    <w:p w14:paraId="7C591730"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00DB7DBC"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1.5.</w:t>
      </w:r>
      <w:r>
        <w:rPr>
          <w:rFonts w:ascii="Arial" w:hAnsi="Arial" w:cs="Arial"/>
          <w:b/>
          <w:bCs/>
          <w:color w:val="000000"/>
          <w:sz w:val="18"/>
          <w:szCs w:val="18"/>
          <w:lang w:val="x-none"/>
        </w:rPr>
        <w:tab/>
        <w:t>Określenia podstawowe, definicje</w:t>
      </w:r>
    </w:p>
    <w:p w14:paraId="7F733AFB"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Określenia podane w niniejszej specyfikacji technicznej (ST) są zgodne z odpowiednimi normami oraz określeniami podanymi w ST „Wymagania ogólne” Kod CPV 45000000-7, pkt 1.7. a także podanymi poniżej:</w:t>
      </w:r>
    </w:p>
    <w:p w14:paraId="02AABD67"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 xml:space="preserve">Część czynna </w:t>
      </w:r>
      <w:r>
        <w:rPr>
          <w:rFonts w:ascii="Arial" w:hAnsi="Arial" w:cs="Arial"/>
          <w:color w:val="000000"/>
          <w:sz w:val="18"/>
          <w:szCs w:val="18"/>
          <w:lang w:val="x-none"/>
        </w:rPr>
        <w:t>– przewód lub inny element przewodzący, wchodzący w skład instalacji elektrycznej lub urządzenia, który w warunkach normalnej pracy instalacji elektrycznej może być pod napięciem a nie spełnia funkcji przewodu ochronnego (przewody ochronne PE i PEN nie są częścią czynną).</w:t>
      </w:r>
    </w:p>
    <w:p w14:paraId="6B30CDFD"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 xml:space="preserve">Połączenia wyrównawcze </w:t>
      </w:r>
      <w:r>
        <w:rPr>
          <w:rFonts w:ascii="Arial" w:hAnsi="Arial" w:cs="Arial"/>
          <w:color w:val="000000"/>
          <w:sz w:val="18"/>
          <w:szCs w:val="18"/>
          <w:lang w:val="x-none"/>
        </w:rPr>
        <w:t xml:space="preserve">– elektryczne połączenie części przewodzących dostępnych lub obcych w celu wyrównania potencjału. </w:t>
      </w:r>
    </w:p>
    <w:p w14:paraId="4A5B5E3F"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Kable i przewody</w:t>
      </w:r>
      <w:r>
        <w:rPr>
          <w:rFonts w:ascii="Arial" w:hAnsi="Arial" w:cs="Arial"/>
          <w:color w:val="000000"/>
          <w:sz w:val="18"/>
          <w:szCs w:val="18"/>
          <w:lang w:val="x-none"/>
        </w:rPr>
        <w:t xml:space="preserve"> – materiały służące do dostarczania energii elektrycznej, sygnałów, impulsów elektrycznych w wybrane miejsce. </w:t>
      </w:r>
    </w:p>
    <w:p w14:paraId="2E3B60B1"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„Przewody powinny być oznaczone zgodnie z PN-EN 60445:2011 wersja angielska, również jeżeli niezbędna jest identyfikacja zacisków”.</w:t>
      </w:r>
    </w:p>
    <w:p w14:paraId="36F93CEB"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„Jeżeli instalacja jest wykonywana przy użyciu nowych materiałów, wynalazków lub metod prowadzących do odstępstw od zasad dokumentu wieloczęściowego PN-HD 60364, to wynikowy stopień bezpieczeństwa instalacji nie powinien być mniejszy niż uzyskany zgodnie z dokumentem wieloczęściowym  PN-HD 60364”.</w:t>
      </w:r>
    </w:p>
    <w:p w14:paraId="12A2DC50"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roofErr w:type="spellStart"/>
      <w:r>
        <w:rPr>
          <w:rFonts w:ascii="Arial" w:hAnsi="Arial" w:cs="Arial"/>
          <w:color w:val="000000"/>
          <w:sz w:val="18"/>
          <w:szCs w:val="18"/>
          <w:lang w:val="x-none"/>
        </w:rPr>
        <w:t>Oprzewodowanie</w:t>
      </w:r>
      <w:proofErr w:type="spellEnd"/>
      <w:r>
        <w:rPr>
          <w:rFonts w:ascii="Arial" w:hAnsi="Arial" w:cs="Arial"/>
          <w:color w:val="000000"/>
          <w:sz w:val="18"/>
          <w:szCs w:val="18"/>
          <w:lang w:val="x-none"/>
        </w:rPr>
        <w:t xml:space="preserve"> powinno kończyć się w:</w:t>
      </w:r>
    </w:p>
    <w:p w14:paraId="0CEAB3D8"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puszce, która spełnia wymagania PN-EN 60670-24:2013-10;    lub</w:t>
      </w:r>
    </w:p>
    <w:p w14:paraId="23022396"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urządzeniu do przyłączenia gniazdka oprawy oświetleniowej (DCL) zgodnie z IEC 61995-1 umieszczonym w puszce; lub</w:t>
      </w:r>
    </w:p>
    <w:p w14:paraId="241BFB39"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urządzeniu elektrycznym, przeznaczonym do przyłączania bezpośrednio do systemu </w:t>
      </w:r>
      <w:proofErr w:type="spellStart"/>
      <w:r>
        <w:rPr>
          <w:rFonts w:ascii="Arial" w:hAnsi="Arial" w:cs="Arial"/>
          <w:color w:val="000000"/>
          <w:sz w:val="18"/>
          <w:szCs w:val="18"/>
          <w:lang w:val="x-none"/>
        </w:rPr>
        <w:t>oprzewodowania</w:t>
      </w:r>
      <w:proofErr w:type="spellEnd"/>
      <w:r>
        <w:rPr>
          <w:rFonts w:ascii="Arial" w:hAnsi="Arial" w:cs="Arial"/>
          <w:color w:val="000000"/>
          <w:sz w:val="18"/>
          <w:szCs w:val="18"/>
          <w:lang w:val="x-none"/>
        </w:rPr>
        <w:t>,</w:t>
      </w:r>
    </w:p>
    <w:p w14:paraId="6081895B"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 sufitach podwieszanych jedna skrzynka przyłączeniowa może być użyta dla kilku opraw oświetleniowych.</w:t>
      </w:r>
    </w:p>
    <w:p w14:paraId="647F451E"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 xml:space="preserve">Przewód neutralny </w:t>
      </w:r>
      <w:r>
        <w:rPr>
          <w:rFonts w:ascii="Arial" w:hAnsi="Arial" w:cs="Arial"/>
          <w:color w:val="000000"/>
          <w:sz w:val="18"/>
          <w:szCs w:val="18"/>
          <w:lang w:val="x-none"/>
        </w:rPr>
        <w:t>– „W pewnych przypadkach i w określonych warunkach funkcję przewodu neutralnego i ochronnego mogą być zespolone w jednym przewodzie [patrz określenie przewodu PEN 826-13-25]”.</w:t>
      </w:r>
    </w:p>
    <w:p w14:paraId="018B80AB"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 xml:space="preserve">Osprzęt instalacyjny do kabli i przewodów </w:t>
      </w:r>
      <w:r>
        <w:rPr>
          <w:rFonts w:ascii="Arial" w:hAnsi="Arial" w:cs="Arial"/>
          <w:color w:val="000000"/>
          <w:sz w:val="18"/>
          <w:szCs w:val="18"/>
          <w:lang w:val="x-none"/>
        </w:rPr>
        <w:t>– zespół materiałów dodatkowych, stosowanych przy układaniu przewodów, ułatwiający ich montaż oraz dotarcie w przypadku awarii, zabezpieczający przed uszkodzeniami, wytyczający trasy ciągów równoległych przewodów itp.</w:t>
      </w:r>
    </w:p>
    <w:p w14:paraId="5FD3E1C2"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Grupy materiałów stanowiących osprzęt instalacyjny do kabli i przewodów:</w:t>
      </w:r>
    </w:p>
    <w:p w14:paraId="5E88ADD0"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przepusty kablowe i osłony krawędzi,</w:t>
      </w:r>
    </w:p>
    <w:p w14:paraId="3C80DDCD"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drabinki instalacyjne,</w:t>
      </w:r>
    </w:p>
    <w:p w14:paraId="36C9E820"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koryta i korytka instalacyjne,</w:t>
      </w:r>
    </w:p>
    <w:p w14:paraId="7ADAE79E"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kanały i listwy instalacyjne,</w:t>
      </w:r>
    </w:p>
    <w:p w14:paraId="3AF489FE"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rury instalacyjne,</w:t>
      </w:r>
    </w:p>
    <w:p w14:paraId="525E96D6"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kanały podłogowe,</w:t>
      </w:r>
    </w:p>
    <w:p w14:paraId="11CD671D"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systemy mocujące,</w:t>
      </w:r>
    </w:p>
    <w:p w14:paraId="0FF96F12"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puszki elektroinstalacyjne,</w:t>
      </w:r>
    </w:p>
    <w:p w14:paraId="6F26CD78"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końcówki kablowe, zaciski i konektory,</w:t>
      </w:r>
    </w:p>
    <w:p w14:paraId="3EA55CD2"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pozostały osprzęt (oznaczniki przewodów, linki nośne i systemy naciągowe, dławice, złączki i szyny, zaciski ochronne itp.).</w:t>
      </w:r>
    </w:p>
    <w:p w14:paraId="68E6B13D"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Urządzenia elektryczne</w:t>
      </w:r>
      <w:r>
        <w:rPr>
          <w:rFonts w:ascii="Arial" w:hAnsi="Arial" w:cs="Arial"/>
          <w:color w:val="000000"/>
          <w:sz w:val="18"/>
          <w:szCs w:val="18"/>
          <w:lang w:val="x-none"/>
        </w:rPr>
        <w:t xml:space="preserve"> – wszelkie urządzenia i elementy instalacji elektrycznej przeznaczone do wytwarzania, przekształcania, przesyłania, rozdziału lub wykorzystania energii elektrycznej.</w:t>
      </w:r>
    </w:p>
    <w:p w14:paraId="752A5FE7"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 xml:space="preserve">Odbiorniki energii elektrycznej </w:t>
      </w:r>
      <w:r>
        <w:rPr>
          <w:rFonts w:ascii="Arial" w:hAnsi="Arial" w:cs="Arial"/>
          <w:color w:val="000000"/>
          <w:sz w:val="18"/>
          <w:szCs w:val="18"/>
          <w:lang w:val="x-none"/>
        </w:rPr>
        <w:t>– urządzenia przeznaczone do przetwarzania energii elektrycznej w inną formę energii (światło, ciepło, energię mechaniczną itp.).</w:t>
      </w:r>
    </w:p>
    <w:p w14:paraId="75AE0C96"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 xml:space="preserve">Klasa ochronności </w:t>
      </w:r>
      <w:r>
        <w:rPr>
          <w:rFonts w:ascii="Arial" w:hAnsi="Arial" w:cs="Arial"/>
          <w:color w:val="000000"/>
          <w:sz w:val="18"/>
          <w:szCs w:val="18"/>
          <w:lang w:val="x-none"/>
        </w:rPr>
        <w:t>– umowne oznaczenie, określające możliwości ochronne urządzenia, ze względu na jego cechy budowy, przy bezpośrednim dotyku.</w:t>
      </w:r>
    </w:p>
    <w:p w14:paraId="3125D772"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 xml:space="preserve">Złącze instalacji oświetlenia zewnętrznego </w:t>
      </w:r>
      <w:r>
        <w:rPr>
          <w:rFonts w:ascii="Arial" w:hAnsi="Arial" w:cs="Arial"/>
          <w:color w:val="000000"/>
          <w:sz w:val="18"/>
          <w:szCs w:val="18"/>
          <w:lang w:val="x-none"/>
        </w:rPr>
        <w:t>– „Złączem instalacji oświetlenia zewnętrznego jest punkt jej zasilania energią elektryczną przez dostawcę lub początek obwodu zasilającego wyłącznie instalację oświetlenia zewnętrznego”.</w:t>
      </w:r>
    </w:p>
    <w:p w14:paraId="13C6FB1F"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 xml:space="preserve">Oprawa oświetleniowa </w:t>
      </w:r>
      <w:r>
        <w:rPr>
          <w:rFonts w:ascii="Arial" w:hAnsi="Arial" w:cs="Arial"/>
          <w:color w:val="000000"/>
          <w:sz w:val="18"/>
          <w:szCs w:val="18"/>
          <w:lang w:val="x-none"/>
        </w:rPr>
        <w:t>– urządzenie służące do rozsyłu, filtracji i przekształcania światła emitowanego przez jedną lampę lub kilka lamp zawierające wszystkie elementy niezbędne do podtrzymania, mocowania i zabezpieczenia lamp oraz zawierające, w razie potrzeby, obwody pomocnicze wraz z elementami potrzebnymi do ich podłączenia do sieci zasilającej, lecz nie zawierające samych lamp”.</w:t>
      </w:r>
    </w:p>
    <w:p w14:paraId="539C8B68"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 xml:space="preserve">Stopień ochrony IP </w:t>
      </w:r>
      <w:r>
        <w:rPr>
          <w:rFonts w:ascii="Arial" w:hAnsi="Arial" w:cs="Arial"/>
          <w:color w:val="000000"/>
          <w:sz w:val="18"/>
          <w:szCs w:val="18"/>
          <w:lang w:val="x-none"/>
        </w:rPr>
        <w:t>– określony w PN-EN 60529:2003/A2: 2014-07 wersja angielska, umowna miara ochrony przed dotykiem elementów instalacji elektrycznej oraz przed przedostaniem się ciał stałych, wnikaniem cieczy (szczególnie wody) i gazów, a którą zapewnia odpowiednia obudowa.</w:t>
      </w:r>
    </w:p>
    <w:p w14:paraId="379D08FF"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 xml:space="preserve">Obwód elektryczny (instalacji elektrycznej) </w:t>
      </w:r>
      <w:r>
        <w:rPr>
          <w:rFonts w:ascii="Arial" w:hAnsi="Arial" w:cs="Arial"/>
          <w:color w:val="000000"/>
          <w:sz w:val="18"/>
          <w:szCs w:val="18"/>
          <w:lang w:val="x-none"/>
        </w:rPr>
        <w:t>– zespół elementów połączonych pośrednio lub bezpośrednio ze źródłem energii elektrycznej za pomocą chronionego przed przetężeniem wspólnym zabezpieczeniem kompletu odpowiednio połączonych przewodów elektrycznych. Obejmuje przewody czynne, przewody ochronne (jeżeli są), urządzenia ochronne i przyłączoną aparaturę łączeniową, sterowniczą i akcesoria. Przewód ochronny może być wspólny dla różnych obwodów.</w:t>
      </w:r>
    </w:p>
    <w:p w14:paraId="1E6EEDEA"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Wyrób budowlany</w:t>
      </w:r>
      <w:r>
        <w:rPr>
          <w:rFonts w:ascii="Arial" w:hAnsi="Arial" w:cs="Arial"/>
          <w:color w:val="000000"/>
          <w:sz w:val="18"/>
          <w:szCs w:val="18"/>
          <w:lang w:val="x-none"/>
        </w:rPr>
        <w:t xml:space="preserve"> – należy przez to rozumieć wyrób, o którym mowa w art. 2 pkt 1 rozporządzenia Nr 305/2011.</w:t>
      </w:r>
    </w:p>
    <w:p w14:paraId="20A9E43B"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Przygotowanie podłoża</w:t>
      </w:r>
      <w:r>
        <w:rPr>
          <w:rFonts w:ascii="Arial" w:hAnsi="Arial" w:cs="Arial"/>
          <w:color w:val="000000"/>
          <w:sz w:val="18"/>
          <w:szCs w:val="18"/>
          <w:lang w:val="x-none"/>
        </w:rPr>
        <w:t xml:space="preserve"> – zespół czynności wykonywanych przed zamocowaniem osprzętu instalacyjnego, urządzenia elektrycznego, odbiornika energii elektrycznej, układaniem kabli i przewodów mający na celu zapewnienie możliwości ich zamocowania zgodnie z dokumentacją.</w:t>
      </w:r>
    </w:p>
    <w:p w14:paraId="30A56415"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Do prac przygotowawczych zalicza się następujące grupy czynności:</w:t>
      </w:r>
    </w:p>
    <w:p w14:paraId="53FD3964"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wiercenie i przebijanie otworów przelotowych i nieprzelotowych,</w:t>
      </w:r>
    </w:p>
    <w:p w14:paraId="348FA146"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kucie bruzd i wnęk,</w:t>
      </w:r>
    </w:p>
    <w:p w14:paraId="052ABC25"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osadzanie kołków w podłożu, w tym ich wstrzeliwanie,</w:t>
      </w:r>
    </w:p>
    <w:p w14:paraId="53809661"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montaż uchwytów do rur i przewodów,</w:t>
      </w:r>
    </w:p>
    <w:p w14:paraId="0715F743"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montaż konstrukcji wsporczych do korytek, drabinek, instalacji wiązkowych, szynoprzewodów,</w:t>
      </w:r>
    </w:p>
    <w:p w14:paraId="70BB67A8"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montaż korytek, drabinek, listew i rur instalacyjnych,</w:t>
      </w:r>
    </w:p>
    <w:p w14:paraId="60847936"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oczyszczenie podłoża – przygotowanie do klejenia.</w:t>
      </w:r>
    </w:p>
    <w:p w14:paraId="552AFD15"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6D3C011E"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 xml:space="preserve">1.6. </w:t>
      </w:r>
      <w:r>
        <w:rPr>
          <w:rFonts w:ascii="Arial" w:hAnsi="Arial" w:cs="Arial"/>
          <w:b/>
          <w:bCs/>
          <w:color w:val="000000"/>
          <w:sz w:val="18"/>
          <w:szCs w:val="18"/>
          <w:lang w:val="x-none"/>
        </w:rPr>
        <w:tab/>
        <w:t>Ogólne wymagania dotyczące robót</w:t>
      </w:r>
    </w:p>
    <w:p w14:paraId="3203CAB8"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Wykonawca robót jest odpowiedzialny za jakość ich wykonania oraz za zgodność z dokumentacją projektową, specyfikacjami technicznymi i poleceniami Inspektora nadzoru. Ogólne wymagania dotyczące robót podano w ST „Wymagania ogólne” Kod CPV 45000000-7, pkt 1.5.</w:t>
      </w:r>
    </w:p>
    <w:p w14:paraId="5684C132"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3DF47886"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1.7.</w:t>
      </w:r>
      <w:r>
        <w:rPr>
          <w:rFonts w:ascii="Arial" w:hAnsi="Arial" w:cs="Arial"/>
          <w:b/>
          <w:bCs/>
          <w:color w:val="000000"/>
          <w:sz w:val="18"/>
          <w:szCs w:val="18"/>
          <w:lang w:val="x-none"/>
        </w:rPr>
        <w:tab/>
        <w:t>Dokumentacja robót montażowych</w:t>
      </w:r>
    </w:p>
    <w:p w14:paraId="66C092F4"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Dokumentację robót montażowych elementów instalacji elektrycznej stanowią:</w:t>
      </w:r>
    </w:p>
    <w:p w14:paraId="04D29886"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projekt budowlany i wykonawczy w zakresie wynikającym z rozporządzenia Ministra Infrastruktury z 02.09.2004 r. w sprawie szczegółowego zakresu i formy dokumentacji projektowej, specyfikacji technicznych wykonania i odbioru robót budowlanych oraz programu funkcjonalno-użytkowego (tekst jednolity Dz. U. z 2013 Nr 0, poz. 1129),</w:t>
      </w:r>
    </w:p>
    <w:p w14:paraId="1E320627"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specyfikacje techniczne wykonania i odbioru robót (obligatoryjne w przypadku zamówień publicznych), sporządzone zgodnie z rozporządzeniem Ministra Infrastruktury z dnia 02.09.2004 r. w sprawie szczegółowego zakresu i formy dokumentacji projektowej, specyfikacji technicznych wykonania i odbioru robót budowlanych oraz programu funkcjonalno-użytkowego (tekst jednolity Dz. U. z 2013 Nr 0, poz. 1129),</w:t>
      </w:r>
    </w:p>
    <w:p w14:paraId="0022C5DC"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dziennik budowy prowadzony zgodnie z rozporządzeniem Ministra Infrastruktury z dnia 26 czerwca 2002 r. w sprawie dziennika budowy, montażu i rozbiórki, tablicy informacyjnej oraz ogłoszenia zawierającego dane dotyczące bezpieczeństwa pracy i ochrony zdrowia (Dz. U. z 2002 r. Nr 108, poz. 953 z późniejszymi zmianami),</w:t>
      </w:r>
    </w:p>
    <w:p w14:paraId="510D4B88"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dokumenty świadczące o dopuszczeniu do obrotu lub udostępnieniu na rynku krajowym bądź do jednostkowego </w:t>
      </w:r>
      <w:proofErr w:type="spellStart"/>
      <w:r>
        <w:rPr>
          <w:rFonts w:ascii="Arial" w:hAnsi="Arial" w:cs="Arial"/>
          <w:color w:val="000000"/>
          <w:sz w:val="18"/>
          <w:szCs w:val="18"/>
          <w:lang w:val="x-none"/>
        </w:rPr>
        <w:t>jednostkowego</w:t>
      </w:r>
      <w:proofErr w:type="spellEnd"/>
      <w:r>
        <w:rPr>
          <w:rFonts w:ascii="Arial" w:hAnsi="Arial" w:cs="Arial"/>
          <w:color w:val="000000"/>
          <w:sz w:val="18"/>
          <w:szCs w:val="18"/>
          <w:lang w:val="x-none"/>
        </w:rPr>
        <w:t xml:space="preserve"> zastosowania użytych wyrobów budowlanych, zgodnie z ustawą z 16 kwietnia 2004 r. o wyrobach budowlanych (tekst jednolity Dz. U. z 2016 r. Nr 0, poz. 1570), karty techniczne wyrobów lub zalecenia producentów dotyczące stosowania wyrobów,</w:t>
      </w:r>
    </w:p>
    <w:p w14:paraId="06178C9C"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protokoły odbiorów częściowych, końcowych oraz robót zanikających i ulegających zakryciu z załączonymi protokołami z badań kontrolnych,</w:t>
      </w:r>
    </w:p>
    <w:p w14:paraId="5079E342"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dokumentacja powykonawcza (zgodnie z art. 3, pkt 14 ustawy Prawo budowlane z dnia 7 lipca 1994 r. – tekst jednolity Dz. U. z 2016 r. Nr 0, poz. 290).</w:t>
      </w:r>
    </w:p>
    <w:p w14:paraId="6F1049B8"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Montaż elementów instalacji elektrycznej należy wykonywać na podstawie dokumentacji projektowej i szczegółowej specyfikacji technicznej wykonania i odbioru robót montażowych, opracowanych dla konkretnego przedmiotu zamówienia.</w:t>
      </w:r>
    </w:p>
    <w:p w14:paraId="5EE90384"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 </w:t>
      </w:r>
    </w:p>
    <w:p w14:paraId="2C38B98B"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1.8.</w:t>
      </w:r>
      <w:r>
        <w:rPr>
          <w:rFonts w:ascii="Arial" w:hAnsi="Arial" w:cs="Arial"/>
          <w:b/>
          <w:bCs/>
          <w:color w:val="000000"/>
          <w:sz w:val="18"/>
          <w:szCs w:val="18"/>
          <w:lang w:val="x-none"/>
        </w:rPr>
        <w:tab/>
        <w:t>Nazwy i kody:</w:t>
      </w:r>
    </w:p>
    <w:p w14:paraId="1732D421" w14:textId="77777777" w:rsidR="000A3B2B" w:rsidRDefault="000A3B2B" w:rsidP="009E5295">
      <w:pPr>
        <w:autoSpaceDE w:val="0"/>
        <w:autoSpaceDN w:val="0"/>
        <w:adjustRightInd w:val="0"/>
        <w:spacing w:after="30" w:line="240" w:lineRule="auto"/>
        <w:jc w:val="both"/>
        <w:rPr>
          <w:rFonts w:ascii="Arial" w:hAnsi="Arial" w:cs="Arial"/>
          <w:b/>
          <w:bCs/>
          <w:color w:val="000000"/>
          <w:sz w:val="18"/>
          <w:szCs w:val="18"/>
          <w:lang w:val="x-none"/>
        </w:rPr>
      </w:pPr>
      <w:r>
        <w:rPr>
          <w:rFonts w:ascii="Arial" w:hAnsi="Arial" w:cs="Arial"/>
          <w:b/>
          <w:bCs/>
          <w:color w:val="000000"/>
          <w:sz w:val="18"/>
          <w:szCs w:val="18"/>
          <w:lang w:val="x-none"/>
        </w:rPr>
        <w:t>Grupy robót, klasy robót lub kategorie robót</w:t>
      </w:r>
    </w:p>
    <w:tbl>
      <w:tblPr>
        <w:tblW w:w="0" w:type="auto"/>
        <w:tblCellSpacing w:w="0" w:type="dxa"/>
        <w:tblInd w:w="-8" w:type="dxa"/>
        <w:tblLayout w:type="fixed"/>
        <w:tblCellMar>
          <w:left w:w="0" w:type="dxa"/>
          <w:right w:w="0" w:type="dxa"/>
        </w:tblCellMar>
        <w:tblLook w:val="0000" w:firstRow="0" w:lastRow="0" w:firstColumn="0" w:lastColumn="0" w:noHBand="0" w:noVBand="0"/>
      </w:tblPr>
      <w:tblGrid>
        <w:gridCol w:w="278"/>
        <w:gridCol w:w="194"/>
        <w:gridCol w:w="300"/>
        <w:gridCol w:w="196"/>
        <w:gridCol w:w="300"/>
        <w:gridCol w:w="194"/>
        <w:gridCol w:w="300"/>
        <w:gridCol w:w="196"/>
        <w:gridCol w:w="300"/>
        <w:gridCol w:w="194"/>
        <w:gridCol w:w="300"/>
        <w:gridCol w:w="196"/>
        <w:gridCol w:w="300"/>
        <w:gridCol w:w="194"/>
        <w:gridCol w:w="300"/>
        <w:gridCol w:w="390"/>
        <w:gridCol w:w="300"/>
        <w:gridCol w:w="196"/>
        <w:gridCol w:w="3772"/>
      </w:tblGrid>
      <w:tr w:rsidR="000A3B2B" w14:paraId="2B1FAA98" w14:textId="77777777" w:rsidTr="00AB49C5">
        <w:trPr>
          <w:trHeight w:val="60"/>
          <w:tblCellSpacing w:w="0" w:type="dxa"/>
        </w:trPr>
        <w:tc>
          <w:tcPr>
            <w:tcW w:w="278" w:type="dxa"/>
            <w:tcBorders>
              <w:top w:val="single" w:sz="6" w:space="0" w:color="000000"/>
              <w:left w:val="single" w:sz="6" w:space="0" w:color="000000"/>
              <w:bottom w:val="single" w:sz="6" w:space="0" w:color="000000"/>
              <w:right w:val="single" w:sz="6" w:space="0" w:color="000000"/>
            </w:tcBorders>
          </w:tcPr>
          <w:p w14:paraId="1400A62C" w14:textId="77777777" w:rsidR="000A3B2B" w:rsidRPr="00AB49C5" w:rsidRDefault="000A3B2B">
            <w:pPr>
              <w:autoSpaceDE w:val="0"/>
              <w:autoSpaceDN w:val="0"/>
              <w:adjustRightInd w:val="0"/>
              <w:spacing w:after="0" w:line="240" w:lineRule="auto"/>
              <w:rPr>
                <w:rFonts w:ascii="Arial" w:hAnsi="Arial" w:cs="Arial"/>
                <w:sz w:val="24"/>
                <w:szCs w:val="24"/>
              </w:rPr>
            </w:pPr>
            <w:r>
              <w:rPr>
                <w:rFonts w:ascii="Arial" w:hAnsi="Arial" w:cs="Arial"/>
                <w:sz w:val="24"/>
                <w:szCs w:val="24"/>
              </w:rPr>
              <w:t>4</w:t>
            </w:r>
          </w:p>
        </w:tc>
        <w:tc>
          <w:tcPr>
            <w:tcW w:w="194" w:type="dxa"/>
            <w:tcBorders>
              <w:top w:val="nil"/>
              <w:left w:val="single" w:sz="6" w:space="0" w:color="000000"/>
              <w:bottom w:val="nil"/>
              <w:right w:val="single" w:sz="6" w:space="0" w:color="000000"/>
            </w:tcBorders>
          </w:tcPr>
          <w:p w14:paraId="77F39197"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300" w:type="dxa"/>
            <w:tcBorders>
              <w:top w:val="single" w:sz="6" w:space="0" w:color="000000"/>
              <w:left w:val="single" w:sz="6" w:space="0" w:color="000000"/>
              <w:bottom w:val="single" w:sz="6" w:space="0" w:color="000000"/>
              <w:right w:val="single" w:sz="6" w:space="0" w:color="000000"/>
            </w:tcBorders>
          </w:tcPr>
          <w:p w14:paraId="5625431E" w14:textId="77777777" w:rsidR="000A3B2B" w:rsidRPr="00AB49C5" w:rsidRDefault="000A3B2B">
            <w:pPr>
              <w:autoSpaceDE w:val="0"/>
              <w:autoSpaceDN w:val="0"/>
              <w:adjustRightInd w:val="0"/>
              <w:spacing w:after="0" w:line="240" w:lineRule="auto"/>
              <w:rPr>
                <w:rFonts w:ascii="Arial" w:hAnsi="Arial" w:cs="Arial"/>
                <w:sz w:val="24"/>
                <w:szCs w:val="24"/>
              </w:rPr>
            </w:pPr>
            <w:r>
              <w:rPr>
                <w:rFonts w:ascii="Arial" w:hAnsi="Arial" w:cs="Arial"/>
                <w:sz w:val="24"/>
                <w:szCs w:val="24"/>
              </w:rPr>
              <w:t>5</w:t>
            </w:r>
          </w:p>
        </w:tc>
        <w:tc>
          <w:tcPr>
            <w:tcW w:w="196" w:type="dxa"/>
            <w:tcBorders>
              <w:top w:val="nil"/>
              <w:left w:val="single" w:sz="6" w:space="0" w:color="000000"/>
              <w:bottom w:val="nil"/>
              <w:right w:val="single" w:sz="6" w:space="0" w:color="000000"/>
            </w:tcBorders>
          </w:tcPr>
          <w:p w14:paraId="6E8CBA13"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300" w:type="dxa"/>
            <w:tcBorders>
              <w:top w:val="single" w:sz="6" w:space="0" w:color="000000"/>
              <w:left w:val="single" w:sz="6" w:space="0" w:color="000000"/>
              <w:bottom w:val="single" w:sz="6" w:space="0" w:color="000000"/>
              <w:right w:val="single" w:sz="6" w:space="0" w:color="000000"/>
            </w:tcBorders>
          </w:tcPr>
          <w:p w14:paraId="27CB657D" w14:textId="77777777" w:rsidR="000A3B2B" w:rsidRPr="00AB49C5" w:rsidRDefault="000A3B2B">
            <w:pPr>
              <w:autoSpaceDE w:val="0"/>
              <w:autoSpaceDN w:val="0"/>
              <w:adjustRightInd w:val="0"/>
              <w:spacing w:after="0" w:line="240" w:lineRule="auto"/>
              <w:rPr>
                <w:rFonts w:ascii="Arial" w:hAnsi="Arial" w:cs="Arial"/>
                <w:sz w:val="24"/>
                <w:szCs w:val="24"/>
              </w:rPr>
            </w:pPr>
            <w:r>
              <w:rPr>
                <w:rFonts w:ascii="Arial" w:hAnsi="Arial" w:cs="Arial"/>
                <w:sz w:val="24"/>
                <w:szCs w:val="24"/>
              </w:rPr>
              <w:t>3</w:t>
            </w:r>
          </w:p>
        </w:tc>
        <w:tc>
          <w:tcPr>
            <w:tcW w:w="194" w:type="dxa"/>
            <w:tcBorders>
              <w:top w:val="nil"/>
              <w:left w:val="single" w:sz="6" w:space="0" w:color="000000"/>
              <w:bottom w:val="nil"/>
              <w:right w:val="single" w:sz="6" w:space="0" w:color="000000"/>
            </w:tcBorders>
          </w:tcPr>
          <w:p w14:paraId="4101262E"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300" w:type="dxa"/>
            <w:tcBorders>
              <w:top w:val="single" w:sz="6" w:space="0" w:color="000000"/>
              <w:left w:val="single" w:sz="6" w:space="0" w:color="000000"/>
              <w:bottom w:val="single" w:sz="6" w:space="0" w:color="000000"/>
              <w:right w:val="single" w:sz="6" w:space="0" w:color="000000"/>
            </w:tcBorders>
          </w:tcPr>
          <w:p w14:paraId="64228E45" w14:textId="77777777" w:rsidR="000A3B2B" w:rsidRPr="00AB49C5" w:rsidRDefault="000A3B2B">
            <w:pPr>
              <w:autoSpaceDE w:val="0"/>
              <w:autoSpaceDN w:val="0"/>
              <w:adjustRightInd w:val="0"/>
              <w:spacing w:after="0" w:line="240" w:lineRule="auto"/>
              <w:rPr>
                <w:rFonts w:ascii="Arial" w:hAnsi="Arial" w:cs="Arial"/>
                <w:sz w:val="24"/>
                <w:szCs w:val="24"/>
              </w:rPr>
            </w:pPr>
            <w:r>
              <w:rPr>
                <w:rFonts w:ascii="Arial" w:hAnsi="Arial" w:cs="Arial"/>
                <w:sz w:val="24"/>
                <w:szCs w:val="24"/>
              </w:rPr>
              <w:t>1</w:t>
            </w:r>
          </w:p>
        </w:tc>
        <w:tc>
          <w:tcPr>
            <w:tcW w:w="196" w:type="dxa"/>
            <w:tcBorders>
              <w:top w:val="nil"/>
              <w:left w:val="single" w:sz="6" w:space="0" w:color="000000"/>
              <w:bottom w:val="nil"/>
              <w:right w:val="single" w:sz="6" w:space="0" w:color="000000"/>
            </w:tcBorders>
          </w:tcPr>
          <w:p w14:paraId="1CB8EBEC"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300" w:type="dxa"/>
            <w:tcBorders>
              <w:top w:val="single" w:sz="6" w:space="0" w:color="000000"/>
              <w:left w:val="single" w:sz="6" w:space="0" w:color="000000"/>
              <w:bottom w:val="single" w:sz="6" w:space="0" w:color="000000"/>
              <w:right w:val="single" w:sz="6" w:space="0" w:color="000000"/>
            </w:tcBorders>
          </w:tcPr>
          <w:p w14:paraId="7D3F8410" w14:textId="77777777" w:rsidR="000A3B2B" w:rsidRPr="00AB49C5" w:rsidRDefault="000A3B2B">
            <w:pPr>
              <w:autoSpaceDE w:val="0"/>
              <w:autoSpaceDN w:val="0"/>
              <w:adjustRightInd w:val="0"/>
              <w:spacing w:after="0" w:line="240" w:lineRule="auto"/>
              <w:rPr>
                <w:rFonts w:ascii="Arial" w:hAnsi="Arial" w:cs="Arial"/>
                <w:sz w:val="24"/>
                <w:szCs w:val="24"/>
              </w:rPr>
            </w:pPr>
            <w:r>
              <w:rPr>
                <w:rFonts w:ascii="Arial" w:hAnsi="Arial" w:cs="Arial"/>
                <w:sz w:val="24"/>
                <w:szCs w:val="24"/>
              </w:rPr>
              <w:t>0</w:t>
            </w:r>
          </w:p>
        </w:tc>
        <w:tc>
          <w:tcPr>
            <w:tcW w:w="194" w:type="dxa"/>
            <w:tcBorders>
              <w:top w:val="nil"/>
              <w:left w:val="single" w:sz="6" w:space="0" w:color="000000"/>
              <w:bottom w:val="nil"/>
              <w:right w:val="single" w:sz="6" w:space="0" w:color="000000"/>
            </w:tcBorders>
          </w:tcPr>
          <w:p w14:paraId="08BA5705"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300" w:type="dxa"/>
            <w:tcBorders>
              <w:top w:val="single" w:sz="6" w:space="0" w:color="000000"/>
              <w:left w:val="single" w:sz="6" w:space="0" w:color="000000"/>
              <w:bottom w:val="single" w:sz="6" w:space="0" w:color="000000"/>
              <w:right w:val="single" w:sz="6" w:space="0" w:color="000000"/>
            </w:tcBorders>
          </w:tcPr>
          <w:p w14:paraId="6FA9225F" w14:textId="77777777" w:rsidR="000A3B2B" w:rsidRPr="00AB49C5" w:rsidRDefault="000A3B2B">
            <w:pPr>
              <w:autoSpaceDE w:val="0"/>
              <w:autoSpaceDN w:val="0"/>
              <w:adjustRightInd w:val="0"/>
              <w:spacing w:after="0" w:line="240" w:lineRule="auto"/>
              <w:rPr>
                <w:rFonts w:ascii="Arial" w:hAnsi="Arial" w:cs="Arial"/>
                <w:sz w:val="24"/>
                <w:szCs w:val="24"/>
              </w:rPr>
            </w:pPr>
            <w:r>
              <w:rPr>
                <w:rFonts w:ascii="Arial" w:hAnsi="Arial" w:cs="Arial"/>
                <w:sz w:val="24"/>
                <w:szCs w:val="24"/>
              </w:rPr>
              <w:t>0</w:t>
            </w:r>
          </w:p>
        </w:tc>
        <w:tc>
          <w:tcPr>
            <w:tcW w:w="196" w:type="dxa"/>
            <w:tcBorders>
              <w:top w:val="nil"/>
              <w:left w:val="single" w:sz="6" w:space="0" w:color="000000"/>
              <w:bottom w:val="nil"/>
              <w:right w:val="single" w:sz="6" w:space="0" w:color="000000"/>
            </w:tcBorders>
          </w:tcPr>
          <w:p w14:paraId="46988242"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300" w:type="dxa"/>
            <w:tcBorders>
              <w:top w:val="single" w:sz="6" w:space="0" w:color="000000"/>
              <w:left w:val="single" w:sz="6" w:space="0" w:color="000000"/>
              <w:bottom w:val="single" w:sz="6" w:space="0" w:color="000000"/>
              <w:right w:val="single" w:sz="6" w:space="0" w:color="000000"/>
            </w:tcBorders>
          </w:tcPr>
          <w:p w14:paraId="63C9FF9B" w14:textId="77777777" w:rsidR="000A3B2B" w:rsidRPr="00AB49C5" w:rsidRDefault="000A3B2B">
            <w:pPr>
              <w:autoSpaceDE w:val="0"/>
              <w:autoSpaceDN w:val="0"/>
              <w:adjustRightInd w:val="0"/>
              <w:spacing w:after="0" w:line="240" w:lineRule="auto"/>
              <w:rPr>
                <w:rFonts w:ascii="Arial" w:hAnsi="Arial" w:cs="Arial"/>
                <w:sz w:val="24"/>
                <w:szCs w:val="24"/>
              </w:rPr>
            </w:pPr>
            <w:r>
              <w:rPr>
                <w:rFonts w:ascii="Arial" w:hAnsi="Arial" w:cs="Arial"/>
                <w:sz w:val="24"/>
                <w:szCs w:val="24"/>
              </w:rPr>
              <w:t>0</w:t>
            </w:r>
          </w:p>
        </w:tc>
        <w:tc>
          <w:tcPr>
            <w:tcW w:w="194" w:type="dxa"/>
            <w:tcBorders>
              <w:top w:val="nil"/>
              <w:left w:val="single" w:sz="6" w:space="0" w:color="000000"/>
              <w:bottom w:val="nil"/>
              <w:right w:val="single" w:sz="6" w:space="0" w:color="000000"/>
            </w:tcBorders>
          </w:tcPr>
          <w:p w14:paraId="575FD126"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300" w:type="dxa"/>
            <w:tcBorders>
              <w:top w:val="single" w:sz="6" w:space="0" w:color="000000"/>
              <w:left w:val="single" w:sz="6" w:space="0" w:color="000000"/>
              <w:bottom w:val="single" w:sz="6" w:space="0" w:color="000000"/>
              <w:right w:val="single" w:sz="6" w:space="0" w:color="000000"/>
            </w:tcBorders>
          </w:tcPr>
          <w:p w14:paraId="11E7719B" w14:textId="77777777" w:rsidR="000A3B2B" w:rsidRPr="00AB49C5" w:rsidRDefault="000A3B2B">
            <w:pPr>
              <w:autoSpaceDE w:val="0"/>
              <w:autoSpaceDN w:val="0"/>
              <w:adjustRightInd w:val="0"/>
              <w:spacing w:after="0" w:line="240" w:lineRule="auto"/>
              <w:rPr>
                <w:rFonts w:ascii="Arial" w:hAnsi="Arial" w:cs="Arial"/>
                <w:sz w:val="24"/>
                <w:szCs w:val="24"/>
              </w:rPr>
            </w:pPr>
            <w:r>
              <w:rPr>
                <w:rFonts w:ascii="Arial" w:hAnsi="Arial" w:cs="Arial"/>
                <w:sz w:val="24"/>
                <w:szCs w:val="24"/>
              </w:rPr>
              <w:t>0</w:t>
            </w:r>
          </w:p>
        </w:tc>
        <w:tc>
          <w:tcPr>
            <w:tcW w:w="390" w:type="dxa"/>
            <w:tcBorders>
              <w:top w:val="nil"/>
              <w:left w:val="single" w:sz="6" w:space="0" w:color="000000"/>
              <w:bottom w:val="nil"/>
              <w:right w:val="single" w:sz="6" w:space="0" w:color="000000"/>
            </w:tcBorders>
            <w:vAlign w:val="center"/>
          </w:tcPr>
          <w:p w14:paraId="76FDEFC4" w14:textId="77777777" w:rsidR="000A3B2B" w:rsidRDefault="000A3B2B">
            <w:pPr>
              <w:tabs>
                <w:tab w:val="right" w:pos="7035"/>
              </w:tabs>
              <w:autoSpaceDE w:val="0"/>
              <w:autoSpaceDN w:val="0"/>
              <w:adjustRightInd w:val="0"/>
              <w:spacing w:after="0" w:line="288" w:lineRule="auto"/>
              <w:jc w:val="center"/>
              <w:rPr>
                <w:rFonts w:ascii="Times New Roman" w:hAnsi="Times New Roman" w:cs="Times New Roman"/>
                <w:color w:val="000000"/>
                <w:sz w:val="24"/>
                <w:szCs w:val="24"/>
                <w:lang w:val="x-none"/>
              </w:rPr>
            </w:pPr>
            <w:r>
              <w:rPr>
                <w:rFonts w:ascii="Times New Roman" w:hAnsi="Times New Roman" w:cs="Times New Roman"/>
                <w:color w:val="000000"/>
                <w:sz w:val="24"/>
                <w:szCs w:val="24"/>
                <w:lang w:val="x-none"/>
              </w:rPr>
              <w:t>–</w:t>
            </w:r>
          </w:p>
        </w:tc>
        <w:tc>
          <w:tcPr>
            <w:tcW w:w="300" w:type="dxa"/>
            <w:tcBorders>
              <w:top w:val="single" w:sz="6" w:space="0" w:color="000000"/>
              <w:left w:val="single" w:sz="6" w:space="0" w:color="000000"/>
              <w:bottom w:val="single" w:sz="6" w:space="0" w:color="000000"/>
              <w:right w:val="single" w:sz="6" w:space="0" w:color="000000"/>
            </w:tcBorders>
          </w:tcPr>
          <w:p w14:paraId="06E435B5"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196" w:type="dxa"/>
            <w:tcBorders>
              <w:top w:val="nil"/>
              <w:left w:val="single" w:sz="6" w:space="0" w:color="000000"/>
              <w:bottom w:val="nil"/>
              <w:right w:val="nil"/>
            </w:tcBorders>
          </w:tcPr>
          <w:p w14:paraId="7BED0BD6"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3772" w:type="dxa"/>
            <w:tcBorders>
              <w:top w:val="nil"/>
              <w:left w:val="nil"/>
              <w:bottom w:val="single" w:sz="6" w:space="0" w:color="auto"/>
              <w:right w:val="nil"/>
            </w:tcBorders>
            <w:vAlign w:val="bottom"/>
          </w:tcPr>
          <w:p w14:paraId="4FEBFB97" w14:textId="77777777" w:rsidR="000A3B2B" w:rsidRDefault="000A3B2B">
            <w:pPr>
              <w:autoSpaceDE w:val="0"/>
              <w:autoSpaceDN w:val="0"/>
              <w:adjustRightInd w:val="0"/>
              <w:spacing w:after="0" w:line="240" w:lineRule="auto"/>
              <w:rPr>
                <w:rFonts w:ascii="Arial" w:hAnsi="Arial" w:cs="Arial"/>
                <w:sz w:val="24"/>
                <w:szCs w:val="24"/>
                <w:lang w:val="x-none"/>
              </w:rPr>
            </w:pPr>
            <w:r>
              <w:t>Roboty instalacyjne elektryczne</w:t>
            </w:r>
          </w:p>
        </w:tc>
      </w:tr>
    </w:tbl>
    <w:p w14:paraId="78E061C8"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53142A52" w14:textId="77777777" w:rsidR="000A3B2B" w:rsidRDefault="000A3B2B" w:rsidP="009E5295">
      <w:pPr>
        <w:autoSpaceDE w:val="0"/>
        <w:autoSpaceDN w:val="0"/>
        <w:adjustRightInd w:val="0"/>
        <w:spacing w:before="225" w:after="12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2.</w:t>
      </w:r>
      <w:r>
        <w:rPr>
          <w:rFonts w:ascii="Arial" w:hAnsi="Arial" w:cs="Arial"/>
          <w:b/>
          <w:bCs/>
          <w:color w:val="000000"/>
          <w:sz w:val="18"/>
          <w:szCs w:val="18"/>
          <w:lang w:val="x-none"/>
        </w:rPr>
        <w:tab/>
        <w:t>WYMAGANIA DOTYCZĄCE MATERIAŁÓW</w:t>
      </w:r>
    </w:p>
    <w:p w14:paraId="47A85E96"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Materiały stosowane do wykonania i montażu instalacji, urządzeń elektrycznych i odbiorników energii elektrycznej w obiektach budowlanych, będące wyrobami budowlanymi w myśl Ustawy o wyrobach budowlanych z dnia 16 kwietnia 2004 r. (tekst jednolity Dz. U. z 2016 r. Nr 0 poz. 1570) oraz Rozporządzenia Parlamentu Europejskiego i Rady (UE) Nr 305/2011 z dnia 9 marca 2011 r. ustanawiającego zharmonizowane warunki wprowadzania do obrotu wyrobów budowlanych i uchylającego dyrektywę Rady 89/106/EWG, mogą być wprowadzone do obrotu lub udostępniane na rynku krajowym, jeżeli nadają się do stosowania przy wykonywaniu robót budowlanych, w zakresie odpowiadającym ich właściwościom użytkowym i zamierzonemu zastosowaniu co oznacza, że ich właściwości użytkowe umożliwiają – prawidłowo zaprojektowanym i wykonanym obiektom budowlanym, w których mają być one zastosowane w sposób trwały – spełnienie podstawowych wymagań, o  których mowa w art. 5 ust. 1 pkt 1 ustawy z dnia 7 lipca 1994 r. – Prawo budowlane (tekst jednolity Dz. U. z 2016 r. Nr 0, poz. 290).</w:t>
      </w:r>
    </w:p>
    <w:p w14:paraId="21416F52"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Wszystkie materiały wykorzystywane przy robotach instalacji, urządzeń elektrycznych i odbiorników energii elektrycznej w obiektach budowlanych powinny być wprowadzone do obrotu lub udostępnione na rynku krajowym zgodnie z właściwymi przepisami, a więc posiadać:</w:t>
      </w:r>
    </w:p>
    <w:p w14:paraId="6658538F"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oznakowanie znakiem CE co oznacza, że dokonano oceny ich zgodności ze zharmonizowaną normą europejską wprowadzoną do zbioru Polskich Norm lub z europejską oceną techniczną, albo</w:t>
      </w:r>
    </w:p>
    <w:p w14:paraId="658A8CAF"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oznakowanie znakiem budowlanym, co oznacza że są to wyroby nieobjęte normą zharmonizowaną – dla której zakończył się okres koegzystencji – i dla których nie została wydana europejska ocena techniczna, a dokonano oceny zgodności z Polską Normą lub aprobatą techniczną (do końca okresu ważności tej aprobaty wydanej do 31 grudnia 2016 r., a później krajową oceną techniczną), bądź uznano za „regionalny wyrób budowlany”, albo</w:t>
      </w:r>
    </w:p>
    <w:p w14:paraId="0F43F975"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 legalne  wprowadzenie do obrotu w innym państwie członkowskim Unii Europejskiej lub w państwie członkowskim Europejskiego Porozumienia o Wolnym Handlu (EFTA) – stronie umowy o Europejskim Obszarze Gospodarczym oraz w Turcji, o ile wyroby  budowlane udostępniane na rynku krajowym są nieobjęte zakresem przedmiotowym zharmonizowanych specyfikacji technicznych, o których mowa w art. 2 pkt 10 rozporządzenia Nr 305/2011, a ich właściwości użytkowe umożliwiają spełnienie podstawowych wymagań przez obiekty budowlane zaprojektowane i budowane w sposób określony w przepisach techniczno-budowlanych, oraz zgodnie z zasadami wiedzy technicznej (wraz z wyrobem budowlanym udostępnianym na rynku krajowym dostarcza się informacje o jego właściwościach użytkowych oznaczonych zgodnie z przepisami państwa, w którym wyrób budowlany został wprowadzony do obrotu, instrukcje stosowania, instrukcje obsługi oraz informacje dotyczące zagrożenia dla zdrowia i bezpieczeństwa, jakie ten wyrób stwarza podczas stosowania i użytkowania), albo</w:t>
      </w:r>
    </w:p>
    <w:p w14:paraId="3DC5B5DA"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dopuszczenie do jednostkowego zastosowania w obiekcie budowlanym.</w:t>
      </w:r>
    </w:p>
    <w:p w14:paraId="64DE3673"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Oznakowanie powinno umożliwiać identyfikację producenta i typu wyrobu, kraju pochodzenia oraz daty produkcji.</w:t>
      </w:r>
    </w:p>
    <w:p w14:paraId="3BDBB3D7"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Wszelkie nazwy własne produktów i materiałów przywołane w specyfikacji służą ustaleniu pożądanego standardu wykonania i określenia właściwości i wymogów technicznych założonych w dokumentacji technicznej dla projektowanych rozwiązań.</w:t>
      </w:r>
    </w:p>
    <w:p w14:paraId="768F25AE"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Dopuszcza się zamieszczenie rozwiązań w oparciu o produkty (wyroby) innych producentów pod warunkiem:</w:t>
      </w:r>
    </w:p>
    <w:p w14:paraId="6CA57799"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spełniania tych samych właściwości technicznych,</w:t>
      </w:r>
    </w:p>
    <w:p w14:paraId="22EA1E4C"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przedstawienia zamiennych rozwiązań na piśmie i  uzyskanie akceptacji projektanta.</w:t>
      </w:r>
    </w:p>
    <w:p w14:paraId="0A990AE0"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2C42EEDF"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2.1.</w:t>
      </w:r>
      <w:r>
        <w:rPr>
          <w:rFonts w:ascii="Arial" w:hAnsi="Arial" w:cs="Arial"/>
          <w:b/>
          <w:bCs/>
          <w:color w:val="000000"/>
          <w:sz w:val="18"/>
          <w:szCs w:val="18"/>
          <w:lang w:val="x-none"/>
        </w:rPr>
        <w:tab/>
        <w:t>Ogólne wymagania dotyczące właściwości materiałów, ich pozyskiwania i składowania podano w ST „Wymagania ogólne” Kod CPV 45000000-7, pkt 2</w:t>
      </w:r>
    </w:p>
    <w:p w14:paraId="1ED29D08"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Wszystkie materiały do wykonania i montażu instalacji, urządzeń elektrycznych i odbiorników energii elektrycznej w obiektach budowlanych powinny odpowiadać wymaganiom zawartym w dokumentach odniesienia (normach, europejskich ocenach technicznych, aprobatach technicznych – wydanych do 31 grudnia 2016 r., a po zakończeniu okresu ich ważności w krajowych ocenach technicznych).</w:t>
      </w:r>
    </w:p>
    <w:p w14:paraId="10DF0258"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5669938E"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2.2.</w:t>
      </w:r>
      <w:r>
        <w:rPr>
          <w:rFonts w:ascii="Arial" w:hAnsi="Arial" w:cs="Arial"/>
          <w:b/>
          <w:bCs/>
          <w:color w:val="000000"/>
          <w:sz w:val="18"/>
          <w:szCs w:val="18"/>
          <w:lang w:val="x-none"/>
        </w:rPr>
        <w:tab/>
        <w:t>Rodzaje materiałów</w:t>
      </w:r>
    </w:p>
    <w:p w14:paraId="2B4E8129"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Wszystkie materiały do wykonania instalacji elektrycznej powinny odpowiadać wymaganiom zawartym w dokumentach odniesienia (normach, europejskich ocenach technicznych, aprobatach technicznych – wydanych do 31 grudnia 2016 r., a po zakończeniu okresu ich ważności w krajowych ocenach technicznych). </w:t>
      </w:r>
    </w:p>
    <w:p w14:paraId="7DBDBBD0" w14:textId="77777777" w:rsidR="000A3B2B" w:rsidRDefault="000A3B2B" w:rsidP="009E529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2.2.1. Kable i przewody</w:t>
      </w:r>
    </w:p>
    <w:p w14:paraId="72DB040F"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Zaleca się, aby kable energetyczne układane w budynkach posiadały izolację wg wymogów dla rodzaju pomieszczenia i powłokę ochronną. </w:t>
      </w:r>
    </w:p>
    <w:p w14:paraId="5737AA0F"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Jako materiały przewodzące można stosować miedź i aluminium, liczba żył: 1, 3, 4, 5. </w:t>
      </w:r>
    </w:p>
    <w:p w14:paraId="0D83EFF9"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 xml:space="preserve">Napięcia znamionowe dla linii kablowych: 0,6/1 </w:t>
      </w:r>
      <w:proofErr w:type="spellStart"/>
      <w:r>
        <w:rPr>
          <w:rFonts w:ascii="Arial" w:hAnsi="Arial" w:cs="Arial"/>
          <w:color w:val="000000"/>
          <w:sz w:val="18"/>
          <w:szCs w:val="18"/>
          <w:lang w:val="x-none"/>
        </w:rPr>
        <w:t>kV</w:t>
      </w:r>
      <w:proofErr w:type="spellEnd"/>
      <w:r>
        <w:rPr>
          <w:rFonts w:ascii="Arial" w:hAnsi="Arial" w:cs="Arial"/>
          <w:color w:val="000000"/>
          <w:sz w:val="18"/>
          <w:szCs w:val="18"/>
          <w:lang w:val="x-none"/>
        </w:rPr>
        <w:t xml:space="preserve">; 3,6/6 </w:t>
      </w:r>
      <w:proofErr w:type="spellStart"/>
      <w:r>
        <w:rPr>
          <w:rFonts w:ascii="Arial" w:hAnsi="Arial" w:cs="Arial"/>
          <w:color w:val="000000"/>
          <w:sz w:val="18"/>
          <w:szCs w:val="18"/>
          <w:lang w:val="x-none"/>
        </w:rPr>
        <w:t>kV</w:t>
      </w:r>
      <w:proofErr w:type="spellEnd"/>
      <w:r>
        <w:rPr>
          <w:rFonts w:ascii="Arial" w:hAnsi="Arial" w:cs="Arial"/>
          <w:color w:val="000000"/>
          <w:sz w:val="18"/>
          <w:szCs w:val="18"/>
          <w:lang w:val="x-none"/>
        </w:rPr>
        <w:t xml:space="preserve">; 6/10 </w:t>
      </w:r>
      <w:proofErr w:type="spellStart"/>
      <w:r>
        <w:rPr>
          <w:rFonts w:ascii="Arial" w:hAnsi="Arial" w:cs="Arial"/>
          <w:color w:val="000000"/>
          <w:sz w:val="18"/>
          <w:szCs w:val="18"/>
          <w:lang w:val="x-none"/>
        </w:rPr>
        <w:t>kV</w:t>
      </w:r>
      <w:proofErr w:type="spellEnd"/>
      <w:r>
        <w:rPr>
          <w:rFonts w:ascii="Arial" w:hAnsi="Arial" w:cs="Arial"/>
          <w:color w:val="000000"/>
          <w:sz w:val="18"/>
          <w:szCs w:val="18"/>
          <w:lang w:val="x-none"/>
        </w:rPr>
        <w:t xml:space="preserve">; 8,7/15 </w:t>
      </w:r>
      <w:proofErr w:type="spellStart"/>
      <w:r>
        <w:rPr>
          <w:rFonts w:ascii="Arial" w:hAnsi="Arial" w:cs="Arial"/>
          <w:color w:val="000000"/>
          <w:sz w:val="18"/>
          <w:szCs w:val="18"/>
          <w:lang w:val="x-none"/>
        </w:rPr>
        <w:t>kV</w:t>
      </w:r>
      <w:proofErr w:type="spellEnd"/>
      <w:r>
        <w:rPr>
          <w:rFonts w:ascii="Arial" w:hAnsi="Arial" w:cs="Arial"/>
          <w:color w:val="000000"/>
          <w:sz w:val="18"/>
          <w:szCs w:val="18"/>
          <w:lang w:val="x-none"/>
        </w:rPr>
        <w:t xml:space="preserve">; 12/20 </w:t>
      </w:r>
      <w:proofErr w:type="spellStart"/>
      <w:r>
        <w:rPr>
          <w:rFonts w:ascii="Arial" w:hAnsi="Arial" w:cs="Arial"/>
          <w:color w:val="000000"/>
          <w:sz w:val="18"/>
          <w:szCs w:val="18"/>
          <w:lang w:val="x-none"/>
        </w:rPr>
        <w:t>kV</w:t>
      </w:r>
      <w:proofErr w:type="spellEnd"/>
      <w:r>
        <w:rPr>
          <w:rFonts w:ascii="Arial" w:hAnsi="Arial" w:cs="Arial"/>
          <w:color w:val="000000"/>
          <w:sz w:val="18"/>
          <w:szCs w:val="18"/>
          <w:lang w:val="x-none"/>
        </w:rPr>
        <w:t xml:space="preserve">; 18/30 </w:t>
      </w:r>
      <w:proofErr w:type="spellStart"/>
      <w:r>
        <w:rPr>
          <w:rFonts w:ascii="Arial" w:hAnsi="Arial" w:cs="Arial"/>
          <w:color w:val="000000"/>
          <w:sz w:val="18"/>
          <w:szCs w:val="18"/>
          <w:lang w:val="x-none"/>
        </w:rPr>
        <w:t>kV</w:t>
      </w:r>
      <w:proofErr w:type="spellEnd"/>
      <w:r>
        <w:rPr>
          <w:rFonts w:ascii="Arial" w:hAnsi="Arial" w:cs="Arial"/>
          <w:color w:val="000000"/>
          <w:sz w:val="18"/>
          <w:szCs w:val="18"/>
          <w:lang w:val="x-none"/>
        </w:rPr>
        <w:t>, a przekroje żył: 16 do 1000 mm</w:t>
      </w:r>
      <w:r>
        <w:rPr>
          <w:rFonts w:ascii="Arial" w:hAnsi="Arial" w:cs="Arial"/>
          <w:color w:val="000000"/>
          <w:position w:val="4"/>
          <w:sz w:val="8"/>
          <w:szCs w:val="8"/>
          <w:lang w:val="x-none"/>
        </w:rPr>
        <w:t>2</w:t>
      </w:r>
      <w:r>
        <w:rPr>
          <w:rFonts w:ascii="Arial" w:hAnsi="Arial" w:cs="Arial"/>
          <w:color w:val="000000"/>
          <w:sz w:val="18"/>
          <w:szCs w:val="18"/>
          <w:lang w:val="x-none"/>
        </w:rPr>
        <w:t>.</w:t>
      </w:r>
    </w:p>
    <w:p w14:paraId="1999D3DD"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Przewody instalacyjne należy stosować izolowane lub z izolacją i powłoką ochronną do układania na stałe, w osłonach lub bez, klejonych bezpośrednio do podłoża lub układanych na linkach nośnych, a także natynkowo, wtynkowo lub pod tynkiem; ilość żył zależy od przeznaczenia danego przewodu.</w:t>
      </w:r>
    </w:p>
    <w:p w14:paraId="3D6185CD"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Napięcia znamionowe izolacji wynoszą: 300/300, 300/500, 450/750, 600/1000 V w zależności od wymogów, przekroje układanych przewodów mogą wynosić (0,35) 0,4 do 240 mm</w:t>
      </w:r>
      <w:r>
        <w:rPr>
          <w:rFonts w:ascii="Arial" w:hAnsi="Arial" w:cs="Arial"/>
          <w:color w:val="000000"/>
          <w:position w:val="4"/>
          <w:sz w:val="8"/>
          <w:szCs w:val="8"/>
          <w:lang w:val="x-none"/>
        </w:rPr>
        <w:t>2</w:t>
      </w:r>
      <w:r>
        <w:rPr>
          <w:rFonts w:ascii="Arial" w:hAnsi="Arial" w:cs="Arial"/>
          <w:color w:val="000000"/>
          <w:sz w:val="18"/>
          <w:szCs w:val="18"/>
          <w:lang w:val="x-none"/>
        </w:rPr>
        <w:t>, przy czym zasilanie energetyczne budynków wymaga stosowania przekroju minimalnego 1,5 mm</w:t>
      </w:r>
      <w:r>
        <w:rPr>
          <w:rFonts w:ascii="Arial" w:hAnsi="Arial" w:cs="Arial"/>
          <w:color w:val="000000"/>
          <w:position w:val="4"/>
          <w:sz w:val="8"/>
          <w:szCs w:val="8"/>
          <w:lang w:val="x-none"/>
        </w:rPr>
        <w:t>2</w:t>
      </w:r>
      <w:r>
        <w:rPr>
          <w:rFonts w:ascii="Arial" w:hAnsi="Arial" w:cs="Arial"/>
          <w:color w:val="000000"/>
          <w:sz w:val="18"/>
          <w:szCs w:val="18"/>
          <w:lang w:val="x-none"/>
        </w:rPr>
        <w:t>.</w:t>
      </w:r>
    </w:p>
    <w:p w14:paraId="6156CC02"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Jako materiały przewodzące można stosować miedź i aluminium, przy czym dla przekroju żył do 10 mm</w:t>
      </w:r>
      <w:r>
        <w:rPr>
          <w:rFonts w:ascii="Arial" w:hAnsi="Arial" w:cs="Arial"/>
          <w:color w:val="000000"/>
          <w:position w:val="4"/>
          <w:sz w:val="8"/>
          <w:szCs w:val="8"/>
          <w:lang w:val="x-none"/>
        </w:rPr>
        <w:t>2</w:t>
      </w:r>
      <w:r>
        <w:rPr>
          <w:rFonts w:ascii="Arial" w:hAnsi="Arial" w:cs="Arial"/>
          <w:color w:val="000000"/>
          <w:sz w:val="18"/>
          <w:szCs w:val="18"/>
          <w:lang w:val="x-none"/>
        </w:rPr>
        <w:t xml:space="preserve"> należy stosować obowiązkowo przewody miedziane.</w:t>
      </w:r>
    </w:p>
    <w:p w14:paraId="59DD4DF4"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Przewody szynowe służą do zasilania wewnętrznych magistrali energetycznych, obsługujących duże rozdzielnice instalacyjne, odbiorniki wielkiej mocy lub ich grupy, obwody rozdzielcze dla dużej liczby odbiorników zamontowanych w ciągach np. zasilanie dużej ilości silników lub opraw oświetleniowych zamontowanych liniowo.</w:t>
      </w:r>
    </w:p>
    <w:p w14:paraId="1A0472B1"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Jako materiały przewodzące szynoprzewodów można stosować miedź i aluminium (aluminium pokryte niklem i ocynowane); szynoprzewody można montować wykonane w obudowie o określonym stopniu ochrony IP lub bez obudowy.</w:t>
      </w:r>
    </w:p>
    <w:p w14:paraId="37B0BD1A" w14:textId="77777777" w:rsidR="000A3B2B" w:rsidRDefault="000A3B2B" w:rsidP="009E529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2.2.2. Osprzęt instalacyjny do kabli i przewodów</w:t>
      </w:r>
    </w:p>
    <w:p w14:paraId="12536F41"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Przepusty kablowe i osłony krawędzi</w:t>
      </w:r>
      <w:r>
        <w:rPr>
          <w:rFonts w:ascii="Arial" w:hAnsi="Arial" w:cs="Arial"/>
          <w:color w:val="000000"/>
          <w:sz w:val="18"/>
          <w:szCs w:val="18"/>
          <w:lang w:val="x-none"/>
        </w:rPr>
        <w:t xml:space="preserve"> – w przypadku podziału budynku na strefy pożarowe, w miejscach przejścia kabli między strefami lub dla ochrony izolacji przewodów przy przejściach przez ścianki konstrukcji wsporczych należy stosować przepusty ochronne. Kable i przewody układane bezpośrednio na podłodze należy chronić poprzez stosowanie osłon (rury instalacyjne, listwy podłogowe).</w:t>
      </w:r>
    </w:p>
    <w:p w14:paraId="25DFDE2A"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Drabinki instalacyjne</w:t>
      </w:r>
      <w:r>
        <w:rPr>
          <w:rFonts w:ascii="Arial" w:hAnsi="Arial" w:cs="Arial"/>
          <w:color w:val="000000"/>
          <w:sz w:val="18"/>
          <w:szCs w:val="18"/>
          <w:lang w:val="x-none"/>
        </w:rPr>
        <w:t xml:space="preserve"> wykonane z perforowanych taśm stalowych lub aluminiowych jako mocowane systemowo lub samonośne stanowią osprzęt różnych elementów instalacji elektrycznej. Pozwalają na swobodne mocowanie nie tylko kabli i przewodów, ale także innego wyposażenia, dodatkowo łatwo z nich budować skomplikowane ciągi drabinkowe. </w:t>
      </w:r>
    </w:p>
    <w:p w14:paraId="185ACB06"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Koryta i korytka instalacyjne</w:t>
      </w:r>
      <w:r>
        <w:rPr>
          <w:rFonts w:ascii="Arial" w:hAnsi="Arial" w:cs="Arial"/>
          <w:color w:val="000000"/>
          <w:sz w:val="18"/>
          <w:szCs w:val="18"/>
          <w:lang w:val="x-none"/>
        </w:rPr>
        <w:t xml:space="preserve"> wykonane z perforowanych taśm stalowych lub aluminiowych lub siatkowe oraz z tworzyw sztucznych w formie prostej lub grzebieniowej o szerokości 50 do 600 mm. Wszystkie rodzaje koryt posiadają bogate zestawy elementów dodatkowych, ułatwiających układanie wg zaprojektowanych linii oraz zapewniające utrudniony dostęp do kabli i przewodów dla nieuprawnionych osób. Systemy koryt metalowych posiadają łączniki łukowe, umożliwiające płynne układanie kabli sztywnych (np. o większych przekrojach żył). </w:t>
      </w:r>
    </w:p>
    <w:p w14:paraId="6E2B6FE1"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Kanały i listwy instalacyjne</w:t>
      </w:r>
      <w:r>
        <w:rPr>
          <w:rFonts w:ascii="Arial" w:hAnsi="Arial" w:cs="Arial"/>
          <w:color w:val="000000"/>
          <w:sz w:val="18"/>
          <w:szCs w:val="18"/>
          <w:lang w:val="x-none"/>
        </w:rPr>
        <w:t xml:space="preserve"> wykonane z tworzyw sztucznych (PCV lub materiału </w:t>
      </w:r>
      <w:proofErr w:type="spellStart"/>
      <w:r>
        <w:rPr>
          <w:rFonts w:ascii="Arial" w:hAnsi="Arial" w:cs="Arial"/>
          <w:color w:val="000000"/>
          <w:sz w:val="18"/>
          <w:szCs w:val="18"/>
          <w:lang w:val="x-none"/>
        </w:rPr>
        <w:t>bezhalogenowego</w:t>
      </w:r>
      <w:proofErr w:type="spellEnd"/>
      <w:r>
        <w:rPr>
          <w:rFonts w:ascii="Arial" w:hAnsi="Arial" w:cs="Arial"/>
          <w:color w:val="000000"/>
          <w:sz w:val="18"/>
          <w:szCs w:val="18"/>
          <w:lang w:val="x-none"/>
        </w:rPr>
        <w:t xml:space="preserve">), blach stalowych albo aluminiowych lub jako kombinacja metal-tworzywo sztuczne, ze względu na miejsce montażu mogą być ścienne, przypodłogowe, sufitowe, podłogowe; odporne na temperaturę otoczenia w zakresie od –5 do +60ºC. Kanały </w:t>
      </w:r>
      <w:proofErr w:type="spellStart"/>
      <w:r>
        <w:rPr>
          <w:rFonts w:ascii="Arial" w:hAnsi="Arial" w:cs="Arial"/>
          <w:color w:val="000000"/>
          <w:sz w:val="18"/>
          <w:szCs w:val="18"/>
          <w:lang w:val="x-none"/>
        </w:rPr>
        <w:t>bezhalogenowe</w:t>
      </w:r>
      <w:proofErr w:type="spellEnd"/>
      <w:r>
        <w:rPr>
          <w:rFonts w:ascii="Arial" w:hAnsi="Arial" w:cs="Arial"/>
          <w:color w:val="000000"/>
          <w:sz w:val="18"/>
          <w:szCs w:val="18"/>
          <w:lang w:val="x-none"/>
        </w:rPr>
        <w:t xml:space="preserve"> wykazują się trudnopalnością i odpornością na płomienie, ogień nie rozprzestrzenia się, a podczas pożaru nie wytwarzają się gazy korozyjne. Oferta rynkowa obejmuje kanały o ognioodporności E 30/60/90 minut zgodnie z norma DIN 4102 cz. 12 i izolacyjności ogniowej I 30 minut zgodnie z DIN 4102 cz. 11. Dla kanałów </w:t>
      </w:r>
      <w:proofErr w:type="spellStart"/>
      <w:r>
        <w:rPr>
          <w:rFonts w:ascii="Arial" w:hAnsi="Arial" w:cs="Arial"/>
          <w:color w:val="000000"/>
          <w:sz w:val="18"/>
          <w:szCs w:val="18"/>
          <w:lang w:val="x-none"/>
        </w:rPr>
        <w:t>bezhalogenowych</w:t>
      </w:r>
      <w:proofErr w:type="spellEnd"/>
      <w:r>
        <w:rPr>
          <w:rFonts w:ascii="Arial" w:hAnsi="Arial" w:cs="Arial"/>
          <w:color w:val="000000"/>
          <w:sz w:val="18"/>
          <w:szCs w:val="18"/>
          <w:lang w:val="x-none"/>
        </w:rPr>
        <w:t xml:space="preserve"> stosuje się osprzęt (łączniki, przegrody, maskownice łączeń ciętych) również z materiału </w:t>
      </w:r>
      <w:proofErr w:type="spellStart"/>
      <w:r>
        <w:rPr>
          <w:rFonts w:ascii="Arial" w:hAnsi="Arial" w:cs="Arial"/>
          <w:color w:val="000000"/>
          <w:sz w:val="18"/>
          <w:szCs w:val="18"/>
          <w:lang w:val="x-none"/>
        </w:rPr>
        <w:t>bezhalogenowego</w:t>
      </w:r>
      <w:proofErr w:type="spellEnd"/>
    </w:p>
    <w:p w14:paraId="13700E9D"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 xml:space="preserve">Wymiary kanałów i listew są zróżnicowane w zależności od decyzji producenta, przeważają płaskie a ich szerokości (10) 16 do 256 (300) mm, jednocześnie kanały o większej szerokości posiadają przegrody wewnętrzne stałe lub mocowane dla umożliwienia prowadzenia różnych rodzajów instalacji w ciągach równoległych we wspólnym kanale lub listwie. Zasady instalowania równoległego różnych sieci przy wykorzystaniu kanałów i listew instalacyjnych należy przyjąć wg zaleceń producenta i zaleceń normy. Kanały pionowe o wymiarach – wysokość 176 do 2800 mm występują w odmianie podstawowej i o podwyższonych wymaganiach estetycznych jako słupki lub kolumny aktywacyjne o wys. do 3600 mm. Osprzęt kanałów i listew można podzielić na dwie grupy: ułatwiający prowadzenie instalacji oraz pokrywy i stanowiący wyposażenie użytkowe jak gniazda i przyciski instalacyjne silno- i słaboprądowe, elementy sieci telefonicznych, transmisji danych oraz audio-video. </w:t>
      </w:r>
    </w:p>
    <w:p w14:paraId="4CED6AE3"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Rury instalacyjne wraz z osprzętem</w:t>
      </w:r>
      <w:r>
        <w:rPr>
          <w:rFonts w:ascii="Arial" w:hAnsi="Arial" w:cs="Arial"/>
          <w:color w:val="000000"/>
          <w:sz w:val="18"/>
          <w:szCs w:val="18"/>
          <w:lang w:val="x-none"/>
        </w:rPr>
        <w:t xml:space="preserve"> (rozgałęzienia, tuleje, łączniki, uchwyty) wykonane z tworzyw sztucznych albo metalowe, głównie stalowe – zasadą jest używanie materiałów o wytrzymałości elektrycznej powyżej 2 </w:t>
      </w:r>
      <w:proofErr w:type="spellStart"/>
      <w:r>
        <w:rPr>
          <w:rFonts w:ascii="Arial" w:hAnsi="Arial" w:cs="Arial"/>
          <w:color w:val="000000"/>
          <w:sz w:val="18"/>
          <w:szCs w:val="18"/>
          <w:lang w:val="x-none"/>
        </w:rPr>
        <w:t>kV</w:t>
      </w:r>
      <w:proofErr w:type="spellEnd"/>
      <w:r>
        <w:rPr>
          <w:rFonts w:ascii="Arial" w:hAnsi="Arial" w:cs="Arial"/>
          <w:color w:val="000000"/>
          <w:sz w:val="18"/>
          <w:szCs w:val="18"/>
          <w:lang w:val="x-none"/>
        </w:rPr>
        <w:t xml:space="preserve">, niepalnych, </w:t>
      </w:r>
      <w:proofErr w:type="spellStart"/>
      <w:r>
        <w:rPr>
          <w:rFonts w:ascii="Arial" w:hAnsi="Arial" w:cs="Arial"/>
          <w:color w:val="000000"/>
          <w:sz w:val="18"/>
          <w:szCs w:val="18"/>
          <w:lang w:val="x-none"/>
        </w:rPr>
        <w:t>trudnozapalnych</w:t>
      </w:r>
      <w:proofErr w:type="spellEnd"/>
      <w:r>
        <w:rPr>
          <w:rFonts w:ascii="Arial" w:hAnsi="Arial" w:cs="Arial"/>
          <w:color w:val="000000"/>
          <w:sz w:val="18"/>
          <w:szCs w:val="18"/>
          <w:lang w:val="x-none"/>
        </w:rPr>
        <w:t xml:space="preserve">, </w:t>
      </w:r>
      <w:proofErr w:type="spellStart"/>
      <w:r>
        <w:rPr>
          <w:rFonts w:ascii="Arial" w:hAnsi="Arial" w:cs="Arial"/>
          <w:color w:val="000000"/>
          <w:sz w:val="18"/>
          <w:szCs w:val="18"/>
          <w:lang w:val="x-none"/>
        </w:rPr>
        <w:t>bezhalogenowych</w:t>
      </w:r>
      <w:proofErr w:type="spellEnd"/>
      <w:r>
        <w:rPr>
          <w:rFonts w:ascii="Arial" w:hAnsi="Arial" w:cs="Arial"/>
          <w:color w:val="000000"/>
          <w:sz w:val="18"/>
          <w:szCs w:val="18"/>
          <w:lang w:val="x-none"/>
        </w:rPr>
        <w:t>, które nie podtrzymują płomienia, a wydzielane przez rury w wysokiej temperaturze gazy nie są szkodliwe dla człowieka. Rurowe instalacje wnętrzowe powinny być odporne na temperaturę otoczenia w zakresie od –5 do +60ºC, a ze względu na wytrzymałość, wymagają stosowania rur z tworzyw sztucznych lekkich i średnich. Jednocześnie podłączenia silników i maszyn narażonych na uszkodzenia mechaniczne należy wykonywać przy użyciu rur stalowych. Dobór średnicy rur instalacyjnych zależy od przekroju poprzecznego kabli i przewodów wciąganych oraz ich ilości wciąganej do wspólnej rury instalacyjnej. Rury z tworzyw sztucznych mogą być gładkie lub karbowane i jednocześnie giętkie lub sztywne; średnice typowych rur gładkich: od ø 16 do ø 63 mm (większe dla kabli o dużych przekrojach żył wg potrzeb do 200 mm2) natomiast średnice typowych rur karbowanych: od ø 16 do ø 54 mm. Rury stalowe czarne, malowane lub ocynkowane mogą być gładkie lub karbowane – średnice typowych rur gładkich (sztywnych): od ø 13 do ø 42 mm, średnice typowych rur karbowanych giętkich: od ø 7 do ø 48 mm i sztywnych od ø 16 do ø 50 mm. Dla estetycznego zamaskowania kabli i przewodów w instalacjach podłogowych stosuje się giętkie osłony kablowe – spiralne, wykonane z taśmy lub karbowane rury z tworzyw sztucznych.</w:t>
      </w:r>
    </w:p>
    <w:p w14:paraId="4B2A55BD"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Kanały podłogowe poziome</w:t>
      </w:r>
      <w:r>
        <w:rPr>
          <w:rFonts w:ascii="Arial" w:hAnsi="Arial" w:cs="Arial"/>
          <w:color w:val="000000"/>
          <w:sz w:val="18"/>
          <w:szCs w:val="18"/>
          <w:lang w:val="x-none"/>
        </w:rPr>
        <w:t xml:space="preserve"> o wymiarach – szerokość 200, 250, 300, 350 i 400 mm należy wykonane z tworzyw sztucznych, blach aluminiowych jako perforowane lub pełne. Osprzęt kanałów podłogowych stanowią elementy ułatwiające prowadzenie instalacji oraz pokrywy i podłogowe punkty aktywacyjne (wyposażenie użytkowe) jak ramki i puszki montażowe wraz z wypustami do montażu osprzętu podtynkowego, z pierścieniem ø 45 mm, różnego typu i innego. Montaż kanałów podłogowych może odbywać się w podkładzie betonowym, warstwie wyrównawczej (zatapiane w szlichcie o grubości 40 do 115 mm – z możliwością regulacji do 25 mm rzędnej góry kanału), a także w podłogach pustakowych lub podniesionych. </w:t>
      </w:r>
    </w:p>
    <w:p w14:paraId="3228143E" w14:textId="77777777" w:rsidR="000A3B2B" w:rsidRDefault="000A3B2B" w:rsidP="009E529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 xml:space="preserve">2.2.3. Systemy mocujące przewody, kable, instalacje wiązkowe i osprzęt </w:t>
      </w:r>
    </w:p>
    <w:p w14:paraId="469D6D88"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Uchwyty do mocowania kabli i przewodów</w:t>
      </w:r>
      <w:r>
        <w:rPr>
          <w:rFonts w:ascii="Arial" w:hAnsi="Arial" w:cs="Arial"/>
          <w:color w:val="000000"/>
          <w:sz w:val="18"/>
          <w:szCs w:val="18"/>
          <w:lang w:val="x-none"/>
        </w:rPr>
        <w:t xml:space="preserve"> – klinowane w otworze z elementem trzymającym stałym lub zaciskowym, wbijane i mocowane do innych elementów np. paski zaciskowe lub uchwyty kablowe przykręcane; stosowane głównie z tworzyw sztucznych (niektóre elementy mogą być wykonane także z metali).</w:t>
      </w:r>
    </w:p>
    <w:p w14:paraId="207FE089"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 xml:space="preserve">Uchwyty do rur instalacyjnych </w:t>
      </w:r>
      <w:r>
        <w:rPr>
          <w:rFonts w:ascii="Arial" w:hAnsi="Arial" w:cs="Arial"/>
          <w:color w:val="000000"/>
          <w:sz w:val="18"/>
          <w:szCs w:val="18"/>
          <w:lang w:val="x-none"/>
        </w:rPr>
        <w:t xml:space="preserve">– wykonane z tworzyw i w typowielkościach takich jak rury instalacyjne – mocowanie rury poprzez wciskanie lub przykręcanie (otwarte lub zamykane). </w:t>
      </w:r>
    </w:p>
    <w:p w14:paraId="64D5B159"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Puszki elektroinstalacyjne</w:t>
      </w:r>
      <w:r>
        <w:rPr>
          <w:rFonts w:ascii="Arial" w:hAnsi="Arial" w:cs="Arial"/>
          <w:color w:val="000000"/>
          <w:sz w:val="18"/>
          <w:szCs w:val="18"/>
          <w:lang w:val="x-none"/>
        </w:rPr>
        <w:t xml:space="preserve"> mogą być standardowe i do ścian pustych, służą do montażu gniazd i łączników instalacyjnych, występują jako łączące, przelotowe, odgałęźne lub podłogowe i sufitowe. Wykonane są z materiałów o wytrzymałości elektrycznej powyżej 2 </w:t>
      </w:r>
      <w:proofErr w:type="spellStart"/>
      <w:r>
        <w:rPr>
          <w:rFonts w:ascii="Arial" w:hAnsi="Arial" w:cs="Arial"/>
          <w:color w:val="000000"/>
          <w:sz w:val="18"/>
          <w:szCs w:val="18"/>
          <w:lang w:val="x-none"/>
        </w:rPr>
        <w:t>kV</w:t>
      </w:r>
      <w:proofErr w:type="spellEnd"/>
      <w:r>
        <w:rPr>
          <w:rFonts w:ascii="Arial" w:hAnsi="Arial" w:cs="Arial"/>
          <w:color w:val="000000"/>
          <w:sz w:val="18"/>
          <w:szCs w:val="18"/>
          <w:lang w:val="x-none"/>
        </w:rPr>
        <w:t xml:space="preserve">, niepalnych lub </w:t>
      </w:r>
      <w:proofErr w:type="spellStart"/>
      <w:r>
        <w:rPr>
          <w:rFonts w:ascii="Arial" w:hAnsi="Arial" w:cs="Arial"/>
          <w:color w:val="000000"/>
          <w:sz w:val="18"/>
          <w:szCs w:val="18"/>
          <w:lang w:val="x-none"/>
        </w:rPr>
        <w:t>trudnozapalnych</w:t>
      </w:r>
      <w:proofErr w:type="spellEnd"/>
      <w:r>
        <w:rPr>
          <w:rFonts w:ascii="Arial" w:hAnsi="Arial" w:cs="Arial"/>
          <w:color w:val="000000"/>
          <w:sz w:val="18"/>
          <w:szCs w:val="18"/>
          <w:lang w:val="x-none"/>
        </w:rPr>
        <w:t>, które nie podtrzymują płomienia, a wydzielane w wysokiej temperaturze przez puszkę gazy nie są szkodliwe dla człowieka, jednocześnie zapewniają stopień ochrony minimalny IP 2X. Dobór typu puszki uzależniony jest od systemu instalacyjnego. Ze względu na system montażu – występują puszki natynkowe, podtynkowe, natynkowo – wtynkowe, podłogowe. W zależności od przeznaczenia puszki muszą spełniać następujące wymagania co do ich wielkości: puszka sprzętowa ø 60 mm, sufitowa lub końcowa ø 60 mm lub 60x60 mm, rozgałęźna lub przelotowa ø 70 mm lub 75x75 mm – dwu- trzy- lub czterowejściowa dla przewodów o przekroju żyły do 6 mm</w:t>
      </w:r>
      <w:r>
        <w:rPr>
          <w:rFonts w:ascii="Arial" w:hAnsi="Arial" w:cs="Arial"/>
          <w:color w:val="000000"/>
          <w:position w:val="4"/>
          <w:sz w:val="8"/>
          <w:szCs w:val="8"/>
          <w:lang w:val="x-none"/>
        </w:rPr>
        <w:t>2</w:t>
      </w:r>
      <w:r>
        <w:rPr>
          <w:rFonts w:ascii="Arial" w:hAnsi="Arial" w:cs="Arial"/>
          <w:color w:val="000000"/>
          <w:sz w:val="18"/>
          <w:szCs w:val="18"/>
          <w:lang w:val="x-none"/>
        </w:rPr>
        <w:t>. Puszki elektroinstalacyjne do montażu gniazd i łączników instalacyjnych powinny być przystosowane do mocowania osprzętu za pomocą „pazurków” i / lub wkrętów.</w:t>
      </w:r>
    </w:p>
    <w:p w14:paraId="75018B68"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Końcówki kablowe (końcowe, kompaktowe i wewnętrzne), zaciski, konektory, bloki zasilające i zaciskowe do transformatorów, złączki do puszek instalacyjnych i bezpiecznikowe do transformatorów</w:t>
      </w:r>
      <w:r>
        <w:rPr>
          <w:rFonts w:ascii="Arial" w:hAnsi="Arial" w:cs="Arial"/>
          <w:color w:val="000000"/>
          <w:sz w:val="18"/>
          <w:szCs w:val="18"/>
          <w:lang w:val="x-none"/>
        </w:rPr>
        <w:t xml:space="preserve"> wykonane z materiałów dobrze przewodzących prąd elektryczny jak aluminium, miedź, mosiądz, montowane poprzez zaciskanie, skręcanie lub lutowanie; ich zastosowanie ułatwia podłączanie i umożliwia wielokrotne odłączanie i przyłączanie przewodów do instalacji bez konieczności każdorazowego przygotowania końców przewodu oraz umożliwia systemowe izolowanie za pomocą osłon izolacyjnych. </w:t>
      </w:r>
    </w:p>
    <w:p w14:paraId="574DFA15"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Pozostały osprzęt</w:t>
      </w:r>
      <w:r>
        <w:rPr>
          <w:rFonts w:ascii="Arial" w:hAnsi="Arial" w:cs="Arial"/>
          <w:color w:val="000000"/>
          <w:sz w:val="18"/>
          <w:szCs w:val="18"/>
          <w:lang w:val="x-none"/>
        </w:rPr>
        <w:t xml:space="preserve"> – ułatwia montaż i zwiększa bezpieczeństwo obsługi; wyróżnić można kilka grup materiałów: oznaczniki przewodów, dławnice, złączki i szyny, zaciski ochronne itp.</w:t>
      </w:r>
    </w:p>
    <w:p w14:paraId="657FE7A5" w14:textId="77777777" w:rsidR="000A3B2B" w:rsidRDefault="000A3B2B" w:rsidP="009E529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2.2.4.</w:t>
      </w:r>
      <w:r>
        <w:rPr>
          <w:rFonts w:ascii="Arial" w:hAnsi="Arial" w:cs="Arial"/>
          <w:b/>
          <w:bCs/>
          <w:color w:val="000000"/>
          <w:sz w:val="18"/>
          <w:szCs w:val="18"/>
          <w:lang w:val="x-none"/>
        </w:rPr>
        <w:tab/>
        <w:t>Sprzęt instalacyjny</w:t>
      </w:r>
    </w:p>
    <w:p w14:paraId="76E693FB"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1.</w:t>
      </w:r>
      <w:r>
        <w:rPr>
          <w:rFonts w:ascii="Arial" w:hAnsi="Arial" w:cs="Arial"/>
          <w:color w:val="000000"/>
          <w:sz w:val="18"/>
          <w:szCs w:val="18"/>
          <w:lang w:val="x-none"/>
        </w:rPr>
        <w:tab/>
      </w:r>
      <w:r>
        <w:rPr>
          <w:rFonts w:ascii="Arial" w:hAnsi="Arial" w:cs="Arial"/>
          <w:b/>
          <w:bCs/>
          <w:color w:val="000000"/>
          <w:sz w:val="18"/>
          <w:szCs w:val="18"/>
          <w:lang w:val="x-none"/>
        </w:rPr>
        <w:t>Łączniki</w:t>
      </w:r>
      <w:r>
        <w:rPr>
          <w:rFonts w:ascii="Arial" w:hAnsi="Arial" w:cs="Arial"/>
          <w:color w:val="000000"/>
          <w:sz w:val="18"/>
          <w:szCs w:val="18"/>
          <w:lang w:val="x-none"/>
        </w:rPr>
        <w:t xml:space="preserve"> ogólnego przeznaczenia wykonane dla potrzeb instalacji podtynkowych, natynkowych i natynkowo-wtynkowych:</w:t>
      </w:r>
    </w:p>
    <w:p w14:paraId="06C80BBC" w14:textId="77777777" w:rsidR="000A3B2B" w:rsidRDefault="000A3B2B" w:rsidP="009E5295">
      <w:pPr>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Łączniki podtynkowe powinny być przystosowane do instalowania w puszkach ø 60 mm za pomocą wkrętów lub „pazurków”.</w:t>
      </w:r>
    </w:p>
    <w:p w14:paraId="4376CF0A" w14:textId="77777777" w:rsidR="000A3B2B" w:rsidRDefault="000A3B2B" w:rsidP="009E5295">
      <w:pPr>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Łączniki natynkowe i natynkowo-wtynkowe przygotowane są do instalowania bezpośrednio na podłożu (ścianie) za pomocą wkrętów lub przyklejane.</w:t>
      </w:r>
    </w:p>
    <w:p w14:paraId="3FF17EC3" w14:textId="77777777" w:rsidR="000A3B2B" w:rsidRDefault="000A3B2B" w:rsidP="009E5295">
      <w:pPr>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Łączniki do montażu w listwach i kanałach instalacyjnych</w:t>
      </w:r>
    </w:p>
    <w:p w14:paraId="2E98C74C" w14:textId="77777777" w:rsidR="000A3B2B" w:rsidRDefault="000A3B2B" w:rsidP="009E5295">
      <w:pPr>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Zaciski do łączenia przewodów winny umożliwiać wprowadzenie przewodu o przekroju 1,0÷2,5 mm2.</w:t>
      </w:r>
    </w:p>
    <w:p w14:paraId="36227AE3" w14:textId="77777777" w:rsidR="000A3B2B" w:rsidRDefault="000A3B2B" w:rsidP="009E5295">
      <w:pPr>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Obudowy łączników powinny być wykonane z materiałów niepalnych lub niepodtrzymujących płomienia.</w:t>
      </w:r>
    </w:p>
    <w:p w14:paraId="63D12CDB" w14:textId="77777777" w:rsidR="000A3B2B" w:rsidRDefault="000A3B2B" w:rsidP="009E5295">
      <w:pPr>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Podstawowe dane techniczne:</w:t>
      </w:r>
    </w:p>
    <w:p w14:paraId="6AB2B7F4" w14:textId="77777777" w:rsidR="000A3B2B" w:rsidRDefault="000A3B2B" w:rsidP="009E5295">
      <w:pPr>
        <w:autoSpaceDE w:val="0"/>
        <w:autoSpaceDN w:val="0"/>
        <w:adjustRightInd w:val="0"/>
        <w:spacing w:after="30" w:line="240" w:lineRule="auto"/>
        <w:ind w:left="900" w:hanging="285"/>
        <w:jc w:val="both"/>
        <w:rPr>
          <w:rFonts w:ascii="Arial" w:hAnsi="Arial" w:cs="Arial"/>
          <w:color w:val="000000"/>
          <w:sz w:val="18"/>
          <w:szCs w:val="18"/>
          <w:lang w:val="x-none"/>
        </w:rPr>
      </w:pPr>
      <w:r>
        <w:rPr>
          <w:rFonts w:ascii="Arial" w:hAnsi="Arial" w:cs="Arial"/>
          <w:color w:val="000000"/>
          <w:sz w:val="18"/>
          <w:szCs w:val="18"/>
          <w:lang w:val="x-none"/>
        </w:rPr>
        <w:t xml:space="preserve">– napięcie znamionowe: 250V; 50 </w:t>
      </w:r>
      <w:proofErr w:type="spellStart"/>
      <w:r>
        <w:rPr>
          <w:rFonts w:ascii="Arial" w:hAnsi="Arial" w:cs="Arial"/>
          <w:color w:val="000000"/>
          <w:sz w:val="18"/>
          <w:szCs w:val="18"/>
          <w:lang w:val="x-none"/>
        </w:rPr>
        <w:t>Hz</w:t>
      </w:r>
      <w:proofErr w:type="spellEnd"/>
      <w:r>
        <w:rPr>
          <w:rFonts w:ascii="Arial" w:hAnsi="Arial" w:cs="Arial"/>
          <w:color w:val="000000"/>
          <w:sz w:val="18"/>
          <w:szCs w:val="18"/>
          <w:lang w:val="x-none"/>
        </w:rPr>
        <w:t>,</w:t>
      </w:r>
    </w:p>
    <w:p w14:paraId="65480925" w14:textId="77777777" w:rsidR="000A3B2B" w:rsidRDefault="000A3B2B" w:rsidP="009E5295">
      <w:pPr>
        <w:autoSpaceDE w:val="0"/>
        <w:autoSpaceDN w:val="0"/>
        <w:adjustRightInd w:val="0"/>
        <w:spacing w:after="30" w:line="240" w:lineRule="auto"/>
        <w:ind w:left="900" w:hanging="285"/>
        <w:jc w:val="both"/>
        <w:rPr>
          <w:rFonts w:ascii="Arial" w:hAnsi="Arial" w:cs="Arial"/>
          <w:color w:val="000000"/>
          <w:sz w:val="18"/>
          <w:szCs w:val="18"/>
          <w:lang w:val="x-none"/>
        </w:rPr>
      </w:pPr>
      <w:r>
        <w:rPr>
          <w:rFonts w:ascii="Arial" w:hAnsi="Arial" w:cs="Arial"/>
          <w:color w:val="000000"/>
          <w:sz w:val="18"/>
          <w:szCs w:val="18"/>
          <w:lang w:val="x-none"/>
        </w:rPr>
        <w:t>– prąd znamionowy: do 10 A,</w:t>
      </w:r>
    </w:p>
    <w:p w14:paraId="1793B3CD" w14:textId="77777777" w:rsidR="000A3B2B" w:rsidRDefault="000A3B2B" w:rsidP="009E5295">
      <w:pPr>
        <w:autoSpaceDE w:val="0"/>
        <w:autoSpaceDN w:val="0"/>
        <w:adjustRightInd w:val="0"/>
        <w:spacing w:after="30" w:line="240" w:lineRule="auto"/>
        <w:ind w:left="900" w:hanging="285"/>
        <w:jc w:val="both"/>
        <w:rPr>
          <w:rFonts w:ascii="Arial" w:hAnsi="Arial" w:cs="Arial"/>
          <w:color w:val="000000"/>
          <w:sz w:val="18"/>
          <w:szCs w:val="18"/>
          <w:lang w:val="x-none"/>
        </w:rPr>
      </w:pPr>
      <w:r>
        <w:rPr>
          <w:rFonts w:ascii="Arial" w:hAnsi="Arial" w:cs="Arial"/>
          <w:color w:val="000000"/>
          <w:sz w:val="18"/>
          <w:szCs w:val="18"/>
          <w:lang w:val="x-none"/>
        </w:rPr>
        <w:t>– stopień ochrony w wykonaniu zwykłym: minimum IP 2X,</w:t>
      </w:r>
    </w:p>
    <w:p w14:paraId="18656D68" w14:textId="77777777" w:rsidR="000A3B2B" w:rsidRDefault="000A3B2B" w:rsidP="009E5295">
      <w:pPr>
        <w:autoSpaceDE w:val="0"/>
        <w:autoSpaceDN w:val="0"/>
        <w:adjustRightInd w:val="0"/>
        <w:spacing w:after="30" w:line="240" w:lineRule="auto"/>
        <w:ind w:left="900" w:hanging="285"/>
        <w:jc w:val="both"/>
        <w:rPr>
          <w:rFonts w:ascii="Arial" w:hAnsi="Arial" w:cs="Arial"/>
          <w:color w:val="000000"/>
          <w:sz w:val="18"/>
          <w:szCs w:val="18"/>
          <w:lang w:val="x-none"/>
        </w:rPr>
      </w:pPr>
      <w:r>
        <w:rPr>
          <w:rFonts w:ascii="Arial" w:hAnsi="Arial" w:cs="Arial"/>
          <w:color w:val="000000"/>
          <w:sz w:val="18"/>
          <w:szCs w:val="18"/>
          <w:lang w:val="x-none"/>
        </w:rPr>
        <w:t>– stopień ochrony w wykonaniu szczelnym: minimum IP 44.</w:t>
      </w:r>
    </w:p>
    <w:p w14:paraId="0622EF86"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2.</w:t>
      </w:r>
      <w:r>
        <w:rPr>
          <w:rFonts w:ascii="Arial" w:hAnsi="Arial" w:cs="Arial"/>
          <w:color w:val="000000"/>
          <w:sz w:val="18"/>
          <w:szCs w:val="18"/>
          <w:lang w:val="x-none"/>
        </w:rPr>
        <w:tab/>
      </w:r>
      <w:r>
        <w:rPr>
          <w:rFonts w:ascii="Arial" w:hAnsi="Arial" w:cs="Arial"/>
          <w:b/>
          <w:bCs/>
          <w:color w:val="000000"/>
          <w:sz w:val="18"/>
          <w:szCs w:val="18"/>
          <w:lang w:val="x-none"/>
        </w:rPr>
        <w:t>Gniazda wtykowe</w:t>
      </w:r>
      <w:r>
        <w:rPr>
          <w:rFonts w:ascii="Arial" w:hAnsi="Arial" w:cs="Arial"/>
          <w:color w:val="000000"/>
          <w:sz w:val="18"/>
          <w:szCs w:val="18"/>
          <w:lang w:val="x-none"/>
        </w:rPr>
        <w:t xml:space="preserve"> ogólnego przeznaczenia do montażu w instalacjach podtynkowych, natynkowych i natynkowo-wtynkowych:</w:t>
      </w:r>
    </w:p>
    <w:p w14:paraId="054B98C3" w14:textId="77777777" w:rsidR="000A3B2B" w:rsidRDefault="000A3B2B" w:rsidP="009E5295">
      <w:pPr>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Gniazda podtynkowe 1-fazowe powinny zostać wyposażone w styk ochronny i przystosowane do instalowania w puszkach ø 60 mm za pomocą wkrętów lub „pazurków”.</w:t>
      </w:r>
    </w:p>
    <w:p w14:paraId="40302358" w14:textId="77777777" w:rsidR="000A3B2B" w:rsidRDefault="000A3B2B" w:rsidP="009E5295">
      <w:pPr>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Gniazda natynkowe i natynkowo-wtynkowe 1-fazowe powinny być wyposażone w styk ochronny i przystosowane do instalowania bezpośredniego na podłożu za pomocą wkrętów lub przyklejane.</w:t>
      </w:r>
    </w:p>
    <w:p w14:paraId="11C8AAC8" w14:textId="77777777" w:rsidR="000A3B2B" w:rsidRDefault="000A3B2B" w:rsidP="009E5295">
      <w:pPr>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Gniazda do montażu w listwach i kanałach instalacyjnych.</w:t>
      </w:r>
    </w:p>
    <w:p w14:paraId="5A4C7CE4"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Gniazda natynkowe 3-fazowe muszą być przystosowane do 5-cio żyłowych przewodów, w tym do podłączenia styku ochronnego oraz neutralnego.</w:t>
      </w:r>
    </w:p>
    <w:p w14:paraId="4360268C"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Zaciski do połączenia przewodów winny umożliwiać wprowadzenie przewodów o przekroju od 1,5÷6,0 mm</w:t>
      </w:r>
      <w:r>
        <w:rPr>
          <w:rFonts w:ascii="Arial" w:hAnsi="Arial" w:cs="Arial"/>
          <w:color w:val="000000"/>
          <w:position w:val="4"/>
          <w:sz w:val="8"/>
          <w:szCs w:val="8"/>
          <w:lang w:val="x-none"/>
        </w:rPr>
        <w:t>2</w:t>
      </w:r>
      <w:r>
        <w:rPr>
          <w:rFonts w:ascii="Arial" w:hAnsi="Arial" w:cs="Arial"/>
          <w:color w:val="000000"/>
          <w:sz w:val="18"/>
          <w:szCs w:val="18"/>
          <w:lang w:val="x-none"/>
        </w:rPr>
        <w:t xml:space="preserve"> w zależności od zainstalowanej mocy i rodzaju gniazda wtykowego.</w:t>
      </w:r>
    </w:p>
    <w:p w14:paraId="5AB39C07"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Obudowy gniazd należy wykonać z materiałów niepalnych lub niepodtrzymujących płomienia.</w:t>
      </w:r>
    </w:p>
    <w:p w14:paraId="3775AA36"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Podstawowe dane techniczne gniazd:</w:t>
      </w:r>
    </w:p>
    <w:p w14:paraId="380FA226"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 xml:space="preserve">– </w:t>
      </w:r>
      <w:r>
        <w:rPr>
          <w:rFonts w:ascii="Arial" w:hAnsi="Arial" w:cs="Arial"/>
          <w:color w:val="000000"/>
          <w:sz w:val="18"/>
          <w:szCs w:val="18"/>
          <w:lang w:val="x-none"/>
        </w:rPr>
        <w:tab/>
        <w:t xml:space="preserve">napięcie znamionowe: 250V lub 250V/400V; 50 </w:t>
      </w:r>
      <w:proofErr w:type="spellStart"/>
      <w:r>
        <w:rPr>
          <w:rFonts w:ascii="Arial" w:hAnsi="Arial" w:cs="Arial"/>
          <w:color w:val="000000"/>
          <w:sz w:val="18"/>
          <w:szCs w:val="18"/>
          <w:lang w:val="x-none"/>
        </w:rPr>
        <w:t>Hz</w:t>
      </w:r>
      <w:proofErr w:type="spellEnd"/>
      <w:r>
        <w:rPr>
          <w:rFonts w:ascii="Arial" w:hAnsi="Arial" w:cs="Arial"/>
          <w:color w:val="000000"/>
          <w:sz w:val="18"/>
          <w:szCs w:val="18"/>
          <w:lang w:val="x-none"/>
        </w:rPr>
        <w:t>,</w:t>
      </w:r>
    </w:p>
    <w:p w14:paraId="4ACC5F0D"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 xml:space="preserve">– </w:t>
      </w:r>
      <w:r>
        <w:rPr>
          <w:rFonts w:ascii="Arial" w:hAnsi="Arial" w:cs="Arial"/>
          <w:color w:val="000000"/>
          <w:sz w:val="18"/>
          <w:szCs w:val="18"/>
          <w:lang w:val="x-none"/>
        </w:rPr>
        <w:tab/>
        <w:t>prąd znamionowy: 10A, 16A dla gniazd 1-fazowych,</w:t>
      </w:r>
    </w:p>
    <w:p w14:paraId="1D6747FF"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 xml:space="preserve">– </w:t>
      </w:r>
      <w:r>
        <w:rPr>
          <w:rFonts w:ascii="Arial" w:hAnsi="Arial" w:cs="Arial"/>
          <w:color w:val="000000"/>
          <w:sz w:val="18"/>
          <w:szCs w:val="18"/>
          <w:lang w:val="x-none"/>
        </w:rPr>
        <w:tab/>
        <w:t>prąd znamionowy: 16A do 63A dla gniazd 3-fazowych,</w:t>
      </w:r>
    </w:p>
    <w:p w14:paraId="1E41C60C"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 xml:space="preserve">– </w:t>
      </w:r>
      <w:r>
        <w:rPr>
          <w:rFonts w:ascii="Arial" w:hAnsi="Arial" w:cs="Arial"/>
          <w:color w:val="000000"/>
          <w:sz w:val="18"/>
          <w:szCs w:val="18"/>
          <w:lang w:val="x-none"/>
        </w:rPr>
        <w:tab/>
        <w:t>stopień ochrony w wykonaniu zwykłym: minimum IP 2X,</w:t>
      </w:r>
    </w:p>
    <w:p w14:paraId="5C578DFA"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 xml:space="preserve">– </w:t>
      </w:r>
      <w:r>
        <w:rPr>
          <w:rFonts w:ascii="Arial" w:hAnsi="Arial" w:cs="Arial"/>
          <w:color w:val="000000"/>
          <w:sz w:val="18"/>
          <w:szCs w:val="18"/>
          <w:lang w:val="x-none"/>
        </w:rPr>
        <w:tab/>
        <w:t>stopień ochrony w wykonaniu szczelnym: minimum IP 44.</w:t>
      </w:r>
    </w:p>
    <w:p w14:paraId="25EEA4EF" w14:textId="77777777" w:rsidR="000A3B2B" w:rsidRDefault="000A3B2B" w:rsidP="009E529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2.2.5. Sprzęt oświetleniowy</w:t>
      </w:r>
    </w:p>
    <w:p w14:paraId="4F3A3AFE"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Montaż opraw oświetleniowych należy wykonywać na podstawie projektu oświetlenia, zawierającego co najmniej:</w:t>
      </w:r>
    </w:p>
    <w:p w14:paraId="07F5F7C5"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dobór opraw i źródeł światła,</w:t>
      </w:r>
    </w:p>
    <w:p w14:paraId="022EFDB6"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plan rozmieszczenia opraw,</w:t>
      </w:r>
    </w:p>
    <w:p w14:paraId="5FC7EAFC"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rysunki sposobu mocowania opraw,</w:t>
      </w:r>
    </w:p>
    <w:p w14:paraId="138EA469"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plan instalacji zasilającej oprawy,</w:t>
      </w:r>
    </w:p>
    <w:p w14:paraId="624618F9"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obliczenie rozkładu natężenia oświetlenia oraz spadków napięcia i obciążeń,</w:t>
      </w:r>
    </w:p>
    <w:p w14:paraId="3638F794"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zasady konserwacji i eksploatacji instalacji oświetleniowej.</w:t>
      </w:r>
    </w:p>
    <w:p w14:paraId="427EAA8E"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Oprawy oświetleniowe należy dobierać z katalogów producentów, odpowiednio do potrzeb oświetleniowych pomieszczenia i warunków środowiskowych – występują w czterech klasach ochronności przed porażeniem elektrycznym oznaczonych 0, I, II, III.</w:t>
      </w:r>
    </w:p>
    <w:p w14:paraId="1061CF7F"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Wypusty sufitowe i ścienne powinny być przystosowane do instalowania opraw oświetleniowych, przy czym przekrój przewodów ułożonych na stałe nie może być mniejszy od 1 mm</w:t>
      </w:r>
      <w:r>
        <w:rPr>
          <w:rFonts w:ascii="Arial" w:hAnsi="Arial" w:cs="Arial"/>
          <w:color w:val="000000"/>
          <w:position w:val="4"/>
          <w:sz w:val="8"/>
          <w:szCs w:val="8"/>
          <w:lang w:val="x-none"/>
        </w:rPr>
        <w:t>2</w:t>
      </w:r>
      <w:r>
        <w:rPr>
          <w:rFonts w:ascii="Arial" w:hAnsi="Arial" w:cs="Arial"/>
          <w:color w:val="000000"/>
          <w:sz w:val="18"/>
          <w:szCs w:val="18"/>
          <w:lang w:val="x-none"/>
        </w:rPr>
        <w:t>, a napięcie izolacji nie może być mniejsze od 750 V jeśli przewody układane są w rurkach stalowych lub otworach prefabrykowanych elementów budowlanych oraz 300 V w pozostałych przypadkach.</w:t>
      </w:r>
    </w:p>
    <w:p w14:paraId="136200AC"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Podział opraw oświetleniowych ze względu na rodzaj źródła światła:</w:t>
      </w:r>
    </w:p>
    <w:p w14:paraId="31C08F8A"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do żarówek,</w:t>
      </w:r>
    </w:p>
    <w:p w14:paraId="434F7ECB"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do lamp fluorescencyjnych (świetlówek),</w:t>
      </w:r>
    </w:p>
    <w:p w14:paraId="5BC00D88"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do lamp rtęciowych wysokoprężnych,</w:t>
      </w:r>
    </w:p>
    <w:p w14:paraId="71D407CD"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do lamp sodowych,</w:t>
      </w:r>
    </w:p>
    <w:p w14:paraId="6E3C24CD"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do lamp ksenonowych,</w:t>
      </w:r>
    </w:p>
    <w:p w14:paraId="145CCAE1"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do lamp </w:t>
      </w:r>
      <w:proofErr w:type="spellStart"/>
      <w:r>
        <w:rPr>
          <w:rFonts w:ascii="Arial" w:hAnsi="Arial" w:cs="Arial"/>
          <w:color w:val="000000"/>
          <w:sz w:val="18"/>
          <w:szCs w:val="18"/>
          <w:lang w:val="x-none"/>
        </w:rPr>
        <w:t>ledowych</w:t>
      </w:r>
      <w:proofErr w:type="spellEnd"/>
      <w:r>
        <w:rPr>
          <w:rFonts w:ascii="Arial" w:hAnsi="Arial" w:cs="Arial"/>
          <w:color w:val="000000"/>
          <w:sz w:val="18"/>
          <w:szCs w:val="18"/>
          <w:lang w:val="x-none"/>
        </w:rPr>
        <w:t xml:space="preserve"> (mocowanych w oprawkach standardowych, wykorzystywanych do lamp wymienionych poprzednio),</w:t>
      </w:r>
    </w:p>
    <w:p w14:paraId="46DFDDB3"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diody LED,</w:t>
      </w:r>
    </w:p>
    <w:p w14:paraId="1548EC34"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żarówki LED,</w:t>
      </w:r>
    </w:p>
    <w:p w14:paraId="299A4801"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naświetlacze LED,</w:t>
      </w:r>
    </w:p>
    <w:p w14:paraId="1EC92249"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świetlówki LED,</w:t>
      </w:r>
    </w:p>
    <w:p w14:paraId="25350EC8"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taśmy i paski LED.</w:t>
      </w:r>
    </w:p>
    <w:p w14:paraId="7F84D456"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Pod względem ochrony przed dotknięciem części opraw będących pod napięciem oraz przedostawaniem się ciał stałych i wody do opraw; nadano oprawom następujące oznaczenie związane ze stopniami ochrony:</w:t>
      </w:r>
    </w:p>
    <w:p w14:paraId="25D2E499"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zwykła</w:t>
      </w:r>
      <w:r>
        <w:rPr>
          <w:rFonts w:ascii="Arial" w:hAnsi="Arial" w:cs="Arial"/>
          <w:color w:val="000000"/>
          <w:sz w:val="18"/>
          <w:szCs w:val="18"/>
          <w:lang w:val="x-none"/>
        </w:rPr>
        <w:tab/>
      </w:r>
      <w:r>
        <w:rPr>
          <w:rFonts w:ascii="Arial" w:hAnsi="Arial" w:cs="Arial"/>
          <w:color w:val="000000"/>
          <w:sz w:val="18"/>
          <w:szCs w:val="18"/>
          <w:lang w:val="x-none"/>
        </w:rPr>
        <w:tab/>
        <w:t>IP 20</w:t>
      </w:r>
    </w:p>
    <w:p w14:paraId="26989714"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zamknięta</w:t>
      </w:r>
      <w:r>
        <w:rPr>
          <w:rFonts w:ascii="Arial" w:hAnsi="Arial" w:cs="Arial"/>
          <w:color w:val="000000"/>
          <w:sz w:val="18"/>
          <w:szCs w:val="18"/>
          <w:lang w:val="x-none"/>
        </w:rPr>
        <w:tab/>
      </w:r>
      <w:r>
        <w:rPr>
          <w:rFonts w:ascii="Arial" w:hAnsi="Arial" w:cs="Arial"/>
          <w:color w:val="000000"/>
          <w:sz w:val="18"/>
          <w:szCs w:val="18"/>
          <w:lang w:val="x-none"/>
        </w:rPr>
        <w:tab/>
        <w:t>IP 4X</w:t>
      </w:r>
    </w:p>
    <w:p w14:paraId="46E89768"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pyłoodporna</w:t>
      </w:r>
      <w:r>
        <w:rPr>
          <w:rFonts w:ascii="Arial" w:hAnsi="Arial" w:cs="Arial"/>
          <w:color w:val="000000"/>
          <w:sz w:val="18"/>
          <w:szCs w:val="18"/>
          <w:lang w:val="x-none"/>
        </w:rPr>
        <w:tab/>
      </w:r>
      <w:r>
        <w:rPr>
          <w:rFonts w:ascii="Arial" w:hAnsi="Arial" w:cs="Arial"/>
          <w:color w:val="000000"/>
          <w:sz w:val="18"/>
          <w:szCs w:val="18"/>
          <w:lang w:val="x-none"/>
        </w:rPr>
        <w:tab/>
        <w:t>IP 5X</w:t>
      </w:r>
    </w:p>
    <w:p w14:paraId="64055303"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pyłoszczelna</w:t>
      </w:r>
      <w:r>
        <w:rPr>
          <w:rFonts w:ascii="Arial" w:hAnsi="Arial" w:cs="Arial"/>
          <w:color w:val="000000"/>
          <w:sz w:val="18"/>
          <w:szCs w:val="18"/>
          <w:lang w:val="x-none"/>
        </w:rPr>
        <w:tab/>
      </w:r>
      <w:r>
        <w:rPr>
          <w:rFonts w:ascii="Arial" w:hAnsi="Arial" w:cs="Arial"/>
          <w:color w:val="000000"/>
          <w:sz w:val="18"/>
          <w:szCs w:val="18"/>
          <w:lang w:val="x-none"/>
        </w:rPr>
        <w:tab/>
        <w:t>IP 6X</w:t>
      </w:r>
    </w:p>
    <w:p w14:paraId="3B4E78F3"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r>
      <w:proofErr w:type="spellStart"/>
      <w:r>
        <w:rPr>
          <w:rFonts w:ascii="Arial" w:hAnsi="Arial" w:cs="Arial"/>
          <w:color w:val="000000"/>
          <w:sz w:val="18"/>
          <w:szCs w:val="18"/>
          <w:lang w:val="x-none"/>
        </w:rPr>
        <w:t>kroploodporna</w:t>
      </w:r>
      <w:proofErr w:type="spellEnd"/>
      <w:r>
        <w:rPr>
          <w:rFonts w:ascii="Arial" w:hAnsi="Arial" w:cs="Arial"/>
          <w:color w:val="000000"/>
          <w:sz w:val="18"/>
          <w:szCs w:val="18"/>
          <w:lang w:val="x-none"/>
        </w:rPr>
        <w:tab/>
      </w:r>
      <w:r>
        <w:rPr>
          <w:rFonts w:ascii="Arial" w:hAnsi="Arial" w:cs="Arial"/>
          <w:color w:val="000000"/>
          <w:sz w:val="18"/>
          <w:szCs w:val="18"/>
          <w:lang w:val="x-none"/>
        </w:rPr>
        <w:tab/>
        <w:t>IP X1</w:t>
      </w:r>
    </w:p>
    <w:p w14:paraId="4C82DA78"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r>
      <w:proofErr w:type="spellStart"/>
      <w:r>
        <w:rPr>
          <w:rFonts w:ascii="Arial" w:hAnsi="Arial" w:cs="Arial"/>
          <w:color w:val="000000"/>
          <w:sz w:val="18"/>
          <w:szCs w:val="18"/>
          <w:lang w:val="x-none"/>
        </w:rPr>
        <w:t>deszczodporna</w:t>
      </w:r>
      <w:proofErr w:type="spellEnd"/>
      <w:r>
        <w:rPr>
          <w:rFonts w:ascii="Arial" w:hAnsi="Arial" w:cs="Arial"/>
          <w:color w:val="000000"/>
          <w:sz w:val="18"/>
          <w:szCs w:val="18"/>
          <w:lang w:val="x-none"/>
        </w:rPr>
        <w:tab/>
        <w:t>IP X3</w:t>
      </w:r>
    </w:p>
    <w:p w14:paraId="5303FF6A"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r>
      <w:proofErr w:type="spellStart"/>
      <w:r>
        <w:rPr>
          <w:rFonts w:ascii="Arial" w:hAnsi="Arial" w:cs="Arial"/>
          <w:color w:val="000000"/>
          <w:sz w:val="18"/>
          <w:szCs w:val="18"/>
          <w:lang w:val="x-none"/>
        </w:rPr>
        <w:t>bryzgoodporna</w:t>
      </w:r>
      <w:proofErr w:type="spellEnd"/>
      <w:r>
        <w:rPr>
          <w:rFonts w:ascii="Arial" w:hAnsi="Arial" w:cs="Arial"/>
          <w:color w:val="000000"/>
          <w:sz w:val="18"/>
          <w:szCs w:val="18"/>
          <w:lang w:val="x-none"/>
        </w:rPr>
        <w:tab/>
        <w:t>IP X4</w:t>
      </w:r>
    </w:p>
    <w:p w14:paraId="5B6A6CD5"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r>
      <w:proofErr w:type="spellStart"/>
      <w:r>
        <w:rPr>
          <w:rFonts w:ascii="Arial" w:hAnsi="Arial" w:cs="Arial"/>
          <w:color w:val="000000"/>
          <w:sz w:val="18"/>
          <w:szCs w:val="18"/>
          <w:lang w:val="x-none"/>
        </w:rPr>
        <w:t>strugoodporna</w:t>
      </w:r>
      <w:proofErr w:type="spellEnd"/>
      <w:r>
        <w:rPr>
          <w:rFonts w:ascii="Arial" w:hAnsi="Arial" w:cs="Arial"/>
          <w:color w:val="000000"/>
          <w:sz w:val="18"/>
          <w:szCs w:val="18"/>
          <w:lang w:val="x-none"/>
        </w:rPr>
        <w:tab/>
        <w:t>IP X5</w:t>
      </w:r>
    </w:p>
    <w:p w14:paraId="1CDE13BA"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wodoodporna</w:t>
      </w:r>
      <w:r>
        <w:rPr>
          <w:rFonts w:ascii="Arial" w:hAnsi="Arial" w:cs="Arial"/>
          <w:color w:val="000000"/>
          <w:sz w:val="18"/>
          <w:szCs w:val="18"/>
          <w:lang w:val="x-none"/>
        </w:rPr>
        <w:tab/>
      </w:r>
      <w:r>
        <w:rPr>
          <w:rFonts w:ascii="Arial" w:hAnsi="Arial" w:cs="Arial"/>
          <w:color w:val="000000"/>
          <w:sz w:val="18"/>
          <w:szCs w:val="18"/>
          <w:lang w:val="x-none"/>
        </w:rPr>
        <w:tab/>
        <w:t>IP X7</w:t>
      </w:r>
    </w:p>
    <w:p w14:paraId="0EA79313"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wodoszczelna</w:t>
      </w:r>
      <w:r>
        <w:rPr>
          <w:rFonts w:ascii="Arial" w:hAnsi="Arial" w:cs="Arial"/>
          <w:color w:val="000000"/>
          <w:sz w:val="18"/>
          <w:szCs w:val="18"/>
          <w:lang w:val="x-none"/>
        </w:rPr>
        <w:tab/>
      </w:r>
      <w:r>
        <w:rPr>
          <w:rFonts w:ascii="Arial" w:hAnsi="Arial" w:cs="Arial"/>
          <w:color w:val="000000"/>
          <w:sz w:val="18"/>
          <w:szCs w:val="18"/>
          <w:lang w:val="x-none"/>
        </w:rPr>
        <w:tab/>
        <w:t>IP X8</w:t>
      </w:r>
    </w:p>
    <w:p w14:paraId="4DC204D6"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 xml:space="preserve">W praktyce zdarza się, że dobrana oprawa oświetleniowa jednocześnie spełnia wymagania dotyczące ochrony przed wnikaniem ciał stałych i wody np. oprawa OUS 250 o stopniu ochrony IP 64/23 jest oprawą pyłoszczelną i </w:t>
      </w:r>
      <w:proofErr w:type="spellStart"/>
      <w:r>
        <w:rPr>
          <w:rFonts w:ascii="Arial" w:hAnsi="Arial" w:cs="Arial"/>
          <w:color w:val="000000"/>
          <w:sz w:val="18"/>
          <w:szCs w:val="18"/>
          <w:lang w:val="x-none"/>
        </w:rPr>
        <w:t>bryzgoodporną</w:t>
      </w:r>
      <w:proofErr w:type="spellEnd"/>
      <w:r>
        <w:rPr>
          <w:rFonts w:ascii="Arial" w:hAnsi="Arial" w:cs="Arial"/>
          <w:color w:val="000000"/>
          <w:sz w:val="18"/>
          <w:szCs w:val="18"/>
          <w:lang w:val="x-none"/>
        </w:rPr>
        <w:t xml:space="preserve"> w części, gdzie znajduje się lampa oraz  zwykłą i </w:t>
      </w:r>
      <w:proofErr w:type="spellStart"/>
      <w:r>
        <w:rPr>
          <w:rFonts w:ascii="Arial" w:hAnsi="Arial" w:cs="Arial"/>
          <w:color w:val="000000"/>
          <w:sz w:val="18"/>
          <w:szCs w:val="18"/>
          <w:lang w:val="x-none"/>
        </w:rPr>
        <w:t>deszczodporną</w:t>
      </w:r>
      <w:proofErr w:type="spellEnd"/>
      <w:r>
        <w:rPr>
          <w:rFonts w:ascii="Arial" w:hAnsi="Arial" w:cs="Arial"/>
          <w:color w:val="000000"/>
          <w:sz w:val="18"/>
          <w:szCs w:val="18"/>
          <w:lang w:val="x-none"/>
        </w:rPr>
        <w:t xml:space="preserve"> w części, gdzie znajduje się osprzęt stabilizacyjno-zapłonowy (minimalny wymóg ochronny dla opraw drogowych). </w:t>
      </w:r>
    </w:p>
    <w:p w14:paraId="274063C7" w14:textId="77777777" w:rsidR="000A3B2B" w:rsidRDefault="000A3B2B" w:rsidP="009E529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 xml:space="preserve">2.2.6. </w:t>
      </w:r>
      <w:r>
        <w:rPr>
          <w:rFonts w:ascii="Arial" w:hAnsi="Arial" w:cs="Arial"/>
          <w:b/>
          <w:bCs/>
          <w:color w:val="000000"/>
          <w:sz w:val="18"/>
          <w:szCs w:val="18"/>
          <w:lang w:val="x-none"/>
        </w:rPr>
        <w:tab/>
        <w:t>Sprzęt do innych instalacji</w:t>
      </w:r>
    </w:p>
    <w:p w14:paraId="6C40A18E"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Należy stosować następujący sprzęt do instalacji:</w:t>
      </w:r>
    </w:p>
    <w:p w14:paraId="0682C3BE"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 xml:space="preserve">– </w:t>
      </w:r>
      <w:r>
        <w:rPr>
          <w:rFonts w:ascii="Arial" w:hAnsi="Arial" w:cs="Arial"/>
          <w:color w:val="000000"/>
          <w:sz w:val="18"/>
          <w:szCs w:val="18"/>
          <w:lang w:val="x-none"/>
        </w:rPr>
        <w:tab/>
      </w:r>
      <w:proofErr w:type="spellStart"/>
      <w:r>
        <w:rPr>
          <w:rFonts w:ascii="Arial" w:hAnsi="Arial" w:cs="Arial"/>
          <w:color w:val="000000"/>
          <w:sz w:val="18"/>
          <w:szCs w:val="18"/>
          <w:lang w:val="x-none"/>
        </w:rPr>
        <w:t>przyzywowej</w:t>
      </w:r>
      <w:proofErr w:type="spellEnd"/>
      <w:r>
        <w:rPr>
          <w:rFonts w:ascii="Arial" w:hAnsi="Arial" w:cs="Arial"/>
          <w:color w:val="000000"/>
          <w:sz w:val="18"/>
          <w:szCs w:val="18"/>
          <w:lang w:val="x-none"/>
        </w:rPr>
        <w:t xml:space="preserve"> (dzwonki, gongi),</w:t>
      </w:r>
    </w:p>
    <w:p w14:paraId="619C0CF0"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 xml:space="preserve">– </w:t>
      </w:r>
      <w:r>
        <w:rPr>
          <w:rFonts w:ascii="Arial" w:hAnsi="Arial" w:cs="Arial"/>
          <w:color w:val="000000"/>
          <w:sz w:val="18"/>
          <w:szCs w:val="18"/>
          <w:lang w:val="x-none"/>
        </w:rPr>
        <w:tab/>
        <w:t>telefonicznej (centrale, rozety, gniazda, wtyczki telefoniczne),</w:t>
      </w:r>
    </w:p>
    <w:p w14:paraId="3AA946E1"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 xml:space="preserve">– </w:t>
      </w:r>
      <w:r>
        <w:rPr>
          <w:rFonts w:ascii="Arial" w:hAnsi="Arial" w:cs="Arial"/>
          <w:color w:val="000000"/>
          <w:sz w:val="18"/>
          <w:szCs w:val="18"/>
          <w:lang w:val="x-none"/>
        </w:rPr>
        <w:tab/>
        <w:t>antenowe (zbiorczej telewizji lub telewizji kablowej).</w:t>
      </w:r>
    </w:p>
    <w:p w14:paraId="0B10EA9A" w14:textId="77777777" w:rsidR="000A3B2B" w:rsidRDefault="000A3B2B" w:rsidP="009E529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2.2.7.</w:t>
      </w:r>
      <w:r>
        <w:rPr>
          <w:rFonts w:ascii="Arial" w:hAnsi="Arial" w:cs="Arial"/>
          <w:b/>
          <w:bCs/>
          <w:color w:val="000000"/>
          <w:sz w:val="18"/>
          <w:szCs w:val="18"/>
          <w:lang w:val="x-none"/>
        </w:rPr>
        <w:tab/>
      </w:r>
      <w:r>
        <w:rPr>
          <w:rFonts w:ascii="Arial" w:hAnsi="Arial" w:cs="Arial"/>
          <w:b/>
          <w:bCs/>
          <w:color w:val="000000"/>
          <w:sz w:val="18"/>
          <w:szCs w:val="18"/>
        </w:rPr>
        <w:t>S</w:t>
      </w:r>
      <w:proofErr w:type="spellStart"/>
      <w:r>
        <w:rPr>
          <w:rFonts w:ascii="Arial" w:hAnsi="Arial" w:cs="Arial"/>
          <w:b/>
          <w:bCs/>
          <w:color w:val="000000"/>
          <w:sz w:val="18"/>
          <w:szCs w:val="18"/>
          <w:lang w:val="x-none"/>
        </w:rPr>
        <w:t>pecyfikacja</w:t>
      </w:r>
      <w:proofErr w:type="spellEnd"/>
      <w:r>
        <w:rPr>
          <w:rFonts w:ascii="Arial" w:hAnsi="Arial" w:cs="Arial"/>
          <w:b/>
          <w:bCs/>
          <w:color w:val="000000"/>
          <w:sz w:val="18"/>
          <w:szCs w:val="18"/>
          <w:lang w:val="x-none"/>
        </w:rPr>
        <w:t xml:space="preserve"> materiałowa</w:t>
      </w:r>
    </w:p>
    <w:p w14:paraId="2304C6A7" w14:textId="77777777" w:rsidR="000A3B2B" w:rsidRPr="0009596C" w:rsidRDefault="000A3B2B" w:rsidP="009E5295">
      <w:pPr>
        <w:autoSpaceDE w:val="0"/>
        <w:autoSpaceDN w:val="0"/>
        <w:adjustRightInd w:val="0"/>
        <w:spacing w:after="30" w:line="240" w:lineRule="auto"/>
        <w:jc w:val="both"/>
        <w:rPr>
          <w:rFonts w:ascii="Arial" w:hAnsi="Arial" w:cs="Arial"/>
          <w:b/>
          <w:bCs/>
          <w:color w:val="000000"/>
          <w:sz w:val="18"/>
          <w:szCs w:val="18"/>
        </w:rPr>
      </w:pPr>
      <w:r>
        <w:rPr>
          <w:rFonts w:ascii="Arial" w:hAnsi="Arial" w:cs="Arial"/>
          <w:b/>
          <w:bCs/>
          <w:color w:val="000000"/>
          <w:sz w:val="18"/>
          <w:szCs w:val="18"/>
        </w:rPr>
        <w:t>Oświetlenie</w:t>
      </w:r>
    </w:p>
    <w:tbl>
      <w:tblPr>
        <w:tblW w:w="0" w:type="auto"/>
        <w:tblCellSpacing w:w="0" w:type="dxa"/>
        <w:tblInd w:w="-8" w:type="dxa"/>
        <w:tblLayout w:type="fixed"/>
        <w:tblCellMar>
          <w:left w:w="0" w:type="dxa"/>
          <w:right w:w="0" w:type="dxa"/>
        </w:tblCellMar>
        <w:tblLook w:val="0000" w:firstRow="0" w:lastRow="0" w:firstColumn="0" w:lastColumn="0" w:noHBand="0" w:noVBand="0"/>
      </w:tblPr>
      <w:tblGrid>
        <w:gridCol w:w="442"/>
        <w:gridCol w:w="3526"/>
        <w:gridCol w:w="690"/>
        <w:gridCol w:w="690"/>
        <w:gridCol w:w="1650"/>
        <w:gridCol w:w="2354"/>
      </w:tblGrid>
      <w:tr w:rsidR="000A3B2B" w14:paraId="5C39091C" w14:textId="77777777">
        <w:trPr>
          <w:trHeight w:val="60"/>
          <w:tblHeader/>
          <w:tblCellSpacing w:w="0" w:type="dxa"/>
        </w:trPr>
        <w:tc>
          <w:tcPr>
            <w:tcW w:w="442" w:type="dxa"/>
            <w:tcBorders>
              <w:top w:val="single" w:sz="6" w:space="0" w:color="000000"/>
              <w:left w:val="single" w:sz="6" w:space="0" w:color="000000"/>
              <w:bottom w:val="single" w:sz="6" w:space="0" w:color="000000"/>
              <w:right w:val="single" w:sz="6" w:space="0" w:color="000000"/>
            </w:tcBorders>
            <w:shd w:val="clear" w:color="auto" w:fill="CBCBCB"/>
            <w:vAlign w:val="center"/>
          </w:tcPr>
          <w:p w14:paraId="0945AAB2"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Lp.</w:t>
            </w:r>
          </w:p>
        </w:tc>
        <w:tc>
          <w:tcPr>
            <w:tcW w:w="3526" w:type="dxa"/>
            <w:tcBorders>
              <w:top w:val="single" w:sz="6" w:space="0" w:color="000000"/>
              <w:left w:val="single" w:sz="6" w:space="0" w:color="000000"/>
              <w:bottom w:val="single" w:sz="6" w:space="0" w:color="000000"/>
              <w:right w:val="single" w:sz="6" w:space="0" w:color="000000"/>
            </w:tcBorders>
            <w:shd w:val="clear" w:color="auto" w:fill="CBCBCB"/>
            <w:vAlign w:val="center"/>
          </w:tcPr>
          <w:p w14:paraId="50B220B7"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Wyszczególnienie</w:t>
            </w:r>
          </w:p>
        </w:tc>
        <w:tc>
          <w:tcPr>
            <w:tcW w:w="690" w:type="dxa"/>
            <w:tcBorders>
              <w:top w:val="single" w:sz="6" w:space="0" w:color="000000"/>
              <w:left w:val="single" w:sz="6" w:space="0" w:color="000000"/>
              <w:bottom w:val="single" w:sz="6" w:space="0" w:color="000000"/>
              <w:right w:val="single" w:sz="6" w:space="0" w:color="000000"/>
            </w:tcBorders>
            <w:shd w:val="clear" w:color="auto" w:fill="CBCBCB"/>
            <w:vAlign w:val="center"/>
          </w:tcPr>
          <w:p w14:paraId="5C9DF335"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Jedn. miary</w:t>
            </w:r>
          </w:p>
        </w:tc>
        <w:tc>
          <w:tcPr>
            <w:tcW w:w="690" w:type="dxa"/>
            <w:tcBorders>
              <w:top w:val="single" w:sz="6" w:space="0" w:color="000000"/>
              <w:left w:val="single" w:sz="6" w:space="0" w:color="000000"/>
              <w:bottom w:val="single" w:sz="6" w:space="0" w:color="000000"/>
              <w:right w:val="single" w:sz="6" w:space="0" w:color="000000"/>
            </w:tcBorders>
            <w:shd w:val="clear" w:color="auto" w:fill="CBCBCB"/>
            <w:vAlign w:val="center"/>
          </w:tcPr>
          <w:p w14:paraId="32881338"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Ilość</w:t>
            </w:r>
          </w:p>
        </w:tc>
        <w:tc>
          <w:tcPr>
            <w:tcW w:w="1650" w:type="dxa"/>
            <w:tcBorders>
              <w:top w:val="single" w:sz="6" w:space="0" w:color="000000"/>
              <w:left w:val="single" w:sz="6" w:space="0" w:color="000000"/>
              <w:bottom w:val="single" w:sz="6" w:space="0" w:color="000000"/>
              <w:right w:val="single" w:sz="6" w:space="0" w:color="000000"/>
            </w:tcBorders>
            <w:shd w:val="clear" w:color="auto" w:fill="CBCBCB"/>
            <w:vAlign w:val="center"/>
          </w:tcPr>
          <w:p w14:paraId="29561274"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Typ,</w:t>
            </w:r>
            <w:r>
              <w:rPr>
                <w:rFonts w:ascii="Arial" w:hAnsi="Arial" w:cs="Arial"/>
                <w:color w:val="000000"/>
                <w:sz w:val="18"/>
                <w:szCs w:val="18"/>
                <w:lang w:val="x-none"/>
              </w:rPr>
              <w:br/>
              <w:t>podstawowe parametry</w:t>
            </w:r>
          </w:p>
        </w:tc>
        <w:tc>
          <w:tcPr>
            <w:tcW w:w="2354" w:type="dxa"/>
            <w:tcBorders>
              <w:top w:val="single" w:sz="6" w:space="0" w:color="000000"/>
              <w:left w:val="single" w:sz="6" w:space="0" w:color="000000"/>
              <w:bottom w:val="single" w:sz="6" w:space="0" w:color="000000"/>
              <w:right w:val="single" w:sz="6" w:space="0" w:color="000000"/>
            </w:tcBorders>
            <w:shd w:val="clear" w:color="auto" w:fill="CBCBCB"/>
            <w:vAlign w:val="center"/>
          </w:tcPr>
          <w:p w14:paraId="660EAE13"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Uwagi</w:t>
            </w:r>
          </w:p>
        </w:tc>
      </w:tr>
      <w:tr w:rsidR="000A3B2B" w14:paraId="71E1B5C5" w14:textId="77777777">
        <w:trPr>
          <w:trHeight w:val="60"/>
          <w:tblHeader/>
          <w:tblCellSpacing w:w="0" w:type="dxa"/>
        </w:trPr>
        <w:tc>
          <w:tcPr>
            <w:tcW w:w="442" w:type="dxa"/>
            <w:tcBorders>
              <w:top w:val="single" w:sz="6" w:space="0" w:color="000000"/>
              <w:left w:val="single" w:sz="6" w:space="0" w:color="000000"/>
              <w:bottom w:val="single" w:sz="6" w:space="0" w:color="000000"/>
              <w:right w:val="single" w:sz="6" w:space="0" w:color="000000"/>
            </w:tcBorders>
            <w:shd w:val="clear" w:color="auto" w:fill="808080"/>
          </w:tcPr>
          <w:p w14:paraId="131F5AD4" w14:textId="77777777" w:rsidR="000A3B2B" w:rsidRDefault="000A3B2B">
            <w:pPr>
              <w:autoSpaceDE w:val="0"/>
              <w:autoSpaceDN w:val="0"/>
              <w:adjustRightInd w:val="0"/>
              <w:spacing w:after="0" w:line="240" w:lineRule="auto"/>
              <w:jc w:val="center"/>
              <w:rPr>
                <w:rFonts w:ascii="Arial" w:hAnsi="Arial" w:cs="Arial"/>
                <w:sz w:val="16"/>
                <w:szCs w:val="16"/>
                <w:lang w:val="x-none"/>
              </w:rPr>
            </w:pPr>
            <w:r>
              <w:rPr>
                <w:rFonts w:ascii="Arial" w:hAnsi="Arial" w:cs="Arial"/>
                <w:sz w:val="16"/>
                <w:szCs w:val="16"/>
                <w:lang w:val="x-none"/>
              </w:rPr>
              <w:t>1</w:t>
            </w:r>
          </w:p>
        </w:tc>
        <w:tc>
          <w:tcPr>
            <w:tcW w:w="3526" w:type="dxa"/>
            <w:tcBorders>
              <w:top w:val="single" w:sz="6" w:space="0" w:color="000000"/>
              <w:left w:val="single" w:sz="6" w:space="0" w:color="000000"/>
              <w:bottom w:val="single" w:sz="6" w:space="0" w:color="000000"/>
              <w:right w:val="single" w:sz="6" w:space="0" w:color="000000"/>
            </w:tcBorders>
            <w:shd w:val="clear" w:color="auto" w:fill="808080"/>
          </w:tcPr>
          <w:p w14:paraId="34EC40D2" w14:textId="77777777" w:rsidR="000A3B2B" w:rsidRDefault="000A3B2B">
            <w:pPr>
              <w:autoSpaceDE w:val="0"/>
              <w:autoSpaceDN w:val="0"/>
              <w:adjustRightInd w:val="0"/>
              <w:spacing w:after="0" w:line="240" w:lineRule="auto"/>
              <w:jc w:val="center"/>
              <w:rPr>
                <w:rFonts w:ascii="Arial" w:hAnsi="Arial" w:cs="Arial"/>
                <w:sz w:val="16"/>
                <w:szCs w:val="16"/>
                <w:lang w:val="x-none"/>
              </w:rPr>
            </w:pPr>
            <w:r>
              <w:rPr>
                <w:rFonts w:ascii="Arial" w:hAnsi="Arial" w:cs="Arial"/>
                <w:sz w:val="16"/>
                <w:szCs w:val="16"/>
                <w:lang w:val="x-none"/>
              </w:rPr>
              <w:t>2</w:t>
            </w:r>
          </w:p>
        </w:tc>
        <w:tc>
          <w:tcPr>
            <w:tcW w:w="690" w:type="dxa"/>
            <w:tcBorders>
              <w:top w:val="single" w:sz="6" w:space="0" w:color="000000"/>
              <w:left w:val="single" w:sz="6" w:space="0" w:color="000000"/>
              <w:bottom w:val="single" w:sz="6" w:space="0" w:color="000000"/>
              <w:right w:val="single" w:sz="6" w:space="0" w:color="000000"/>
            </w:tcBorders>
            <w:shd w:val="clear" w:color="auto" w:fill="808080"/>
          </w:tcPr>
          <w:p w14:paraId="667F8EE7" w14:textId="77777777" w:rsidR="000A3B2B" w:rsidRDefault="000A3B2B">
            <w:pPr>
              <w:autoSpaceDE w:val="0"/>
              <w:autoSpaceDN w:val="0"/>
              <w:adjustRightInd w:val="0"/>
              <w:spacing w:after="0" w:line="240" w:lineRule="auto"/>
              <w:jc w:val="center"/>
              <w:rPr>
                <w:rFonts w:ascii="Arial" w:hAnsi="Arial" w:cs="Arial"/>
                <w:sz w:val="16"/>
                <w:szCs w:val="16"/>
                <w:lang w:val="x-none"/>
              </w:rPr>
            </w:pPr>
            <w:r>
              <w:rPr>
                <w:rFonts w:ascii="Arial" w:hAnsi="Arial" w:cs="Arial"/>
                <w:sz w:val="16"/>
                <w:szCs w:val="16"/>
                <w:lang w:val="x-none"/>
              </w:rPr>
              <w:t>3</w:t>
            </w:r>
          </w:p>
        </w:tc>
        <w:tc>
          <w:tcPr>
            <w:tcW w:w="690" w:type="dxa"/>
            <w:tcBorders>
              <w:top w:val="single" w:sz="6" w:space="0" w:color="000000"/>
              <w:left w:val="single" w:sz="6" w:space="0" w:color="000000"/>
              <w:bottom w:val="single" w:sz="6" w:space="0" w:color="000000"/>
              <w:right w:val="single" w:sz="6" w:space="0" w:color="000000"/>
            </w:tcBorders>
            <w:shd w:val="clear" w:color="auto" w:fill="808080"/>
          </w:tcPr>
          <w:p w14:paraId="469A3339" w14:textId="77777777" w:rsidR="000A3B2B" w:rsidRDefault="000A3B2B">
            <w:pPr>
              <w:autoSpaceDE w:val="0"/>
              <w:autoSpaceDN w:val="0"/>
              <w:adjustRightInd w:val="0"/>
              <w:spacing w:after="0" w:line="240" w:lineRule="auto"/>
              <w:jc w:val="center"/>
              <w:rPr>
                <w:rFonts w:ascii="Arial" w:hAnsi="Arial" w:cs="Arial"/>
                <w:sz w:val="16"/>
                <w:szCs w:val="16"/>
                <w:lang w:val="x-none"/>
              </w:rPr>
            </w:pPr>
            <w:r>
              <w:rPr>
                <w:rFonts w:ascii="Arial" w:hAnsi="Arial" w:cs="Arial"/>
                <w:sz w:val="16"/>
                <w:szCs w:val="16"/>
                <w:lang w:val="x-none"/>
              </w:rPr>
              <w:t>4</w:t>
            </w:r>
          </w:p>
        </w:tc>
        <w:tc>
          <w:tcPr>
            <w:tcW w:w="1650" w:type="dxa"/>
            <w:tcBorders>
              <w:top w:val="single" w:sz="6" w:space="0" w:color="000000"/>
              <w:left w:val="single" w:sz="6" w:space="0" w:color="000000"/>
              <w:bottom w:val="single" w:sz="6" w:space="0" w:color="000000"/>
              <w:right w:val="single" w:sz="6" w:space="0" w:color="000000"/>
            </w:tcBorders>
            <w:shd w:val="clear" w:color="auto" w:fill="808080"/>
          </w:tcPr>
          <w:p w14:paraId="24ABDC7D" w14:textId="77777777" w:rsidR="000A3B2B" w:rsidRDefault="000A3B2B">
            <w:pPr>
              <w:autoSpaceDE w:val="0"/>
              <w:autoSpaceDN w:val="0"/>
              <w:adjustRightInd w:val="0"/>
              <w:spacing w:after="0" w:line="240" w:lineRule="auto"/>
              <w:jc w:val="center"/>
              <w:rPr>
                <w:rFonts w:ascii="Arial" w:hAnsi="Arial" w:cs="Arial"/>
                <w:sz w:val="16"/>
                <w:szCs w:val="16"/>
                <w:lang w:val="x-none"/>
              </w:rPr>
            </w:pPr>
            <w:r>
              <w:rPr>
                <w:rFonts w:ascii="Arial" w:hAnsi="Arial" w:cs="Arial"/>
                <w:sz w:val="16"/>
                <w:szCs w:val="16"/>
                <w:lang w:val="x-none"/>
              </w:rPr>
              <w:t>5</w:t>
            </w:r>
          </w:p>
        </w:tc>
        <w:tc>
          <w:tcPr>
            <w:tcW w:w="2354" w:type="dxa"/>
            <w:tcBorders>
              <w:top w:val="single" w:sz="6" w:space="0" w:color="000000"/>
              <w:left w:val="single" w:sz="6" w:space="0" w:color="000000"/>
              <w:bottom w:val="single" w:sz="6" w:space="0" w:color="000000"/>
              <w:right w:val="single" w:sz="6" w:space="0" w:color="000000"/>
            </w:tcBorders>
            <w:shd w:val="clear" w:color="auto" w:fill="808080"/>
          </w:tcPr>
          <w:p w14:paraId="70366586" w14:textId="77777777" w:rsidR="000A3B2B" w:rsidRDefault="000A3B2B">
            <w:pPr>
              <w:autoSpaceDE w:val="0"/>
              <w:autoSpaceDN w:val="0"/>
              <w:adjustRightInd w:val="0"/>
              <w:spacing w:after="0" w:line="240" w:lineRule="auto"/>
              <w:jc w:val="center"/>
              <w:rPr>
                <w:rFonts w:ascii="Arial" w:hAnsi="Arial" w:cs="Arial"/>
                <w:sz w:val="16"/>
                <w:szCs w:val="16"/>
                <w:lang w:val="x-none"/>
              </w:rPr>
            </w:pPr>
            <w:r>
              <w:rPr>
                <w:rFonts w:ascii="Arial" w:hAnsi="Arial" w:cs="Arial"/>
                <w:sz w:val="16"/>
                <w:szCs w:val="16"/>
                <w:lang w:val="x-none"/>
              </w:rPr>
              <w:t>6</w:t>
            </w:r>
          </w:p>
        </w:tc>
      </w:tr>
      <w:tr w:rsidR="000A3B2B" w14:paraId="456306C1" w14:textId="77777777">
        <w:trPr>
          <w:trHeight w:val="60"/>
          <w:tblCellSpacing w:w="0" w:type="dxa"/>
        </w:trPr>
        <w:tc>
          <w:tcPr>
            <w:tcW w:w="442" w:type="dxa"/>
            <w:tcBorders>
              <w:top w:val="single" w:sz="6" w:space="0" w:color="000000"/>
              <w:left w:val="single" w:sz="6" w:space="0" w:color="000000"/>
              <w:bottom w:val="single" w:sz="6" w:space="0" w:color="000000"/>
              <w:right w:val="single" w:sz="6" w:space="0" w:color="000000"/>
            </w:tcBorders>
          </w:tcPr>
          <w:p w14:paraId="7B073C93"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1</w:t>
            </w:r>
          </w:p>
        </w:tc>
        <w:tc>
          <w:tcPr>
            <w:tcW w:w="3526" w:type="dxa"/>
            <w:tcBorders>
              <w:top w:val="single" w:sz="6" w:space="0" w:color="000000"/>
              <w:left w:val="single" w:sz="6" w:space="0" w:color="000000"/>
              <w:bottom w:val="single" w:sz="6" w:space="0" w:color="000000"/>
              <w:right w:val="single" w:sz="6" w:space="0" w:color="000000"/>
            </w:tcBorders>
          </w:tcPr>
          <w:p w14:paraId="5FABD6E6" w14:textId="77777777" w:rsidR="000A3B2B" w:rsidRPr="00023227" w:rsidRDefault="000A3B2B">
            <w:pPr>
              <w:autoSpaceDE w:val="0"/>
              <w:autoSpaceDN w:val="0"/>
              <w:adjustRightInd w:val="0"/>
              <w:spacing w:after="0" w:line="240" w:lineRule="auto"/>
              <w:rPr>
                <w:rFonts w:ascii="Arial" w:hAnsi="Arial" w:cs="Arial"/>
                <w:color w:val="000000"/>
                <w:sz w:val="18"/>
                <w:szCs w:val="18"/>
              </w:rPr>
            </w:pPr>
            <w:r w:rsidRPr="00023227">
              <w:t>Oprawa MONZA LED MPRM 4000K PX2250248, 4010 lm</w:t>
            </w:r>
          </w:p>
        </w:tc>
        <w:tc>
          <w:tcPr>
            <w:tcW w:w="690" w:type="dxa"/>
            <w:tcBorders>
              <w:top w:val="single" w:sz="6" w:space="0" w:color="000000"/>
              <w:left w:val="single" w:sz="6" w:space="0" w:color="000000"/>
              <w:bottom w:val="single" w:sz="6" w:space="0" w:color="000000"/>
              <w:right w:val="single" w:sz="6" w:space="0" w:color="000000"/>
            </w:tcBorders>
          </w:tcPr>
          <w:p w14:paraId="5E602D5D" w14:textId="77777777" w:rsidR="000A3B2B" w:rsidRPr="00023227" w:rsidRDefault="000A3B2B">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szt.</w:t>
            </w:r>
          </w:p>
        </w:tc>
        <w:tc>
          <w:tcPr>
            <w:tcW w:w="690" w:type="dxa"/>
            <w:tcBorders>
              <w:top w:val="single" w:sz="6" w:space="0" w:color="000000"/>
              <w:left w:val="single" w:sz="6" w:space="0" w:color="000000"/>
              <w:bottom w:val="single" w:sz="6" w:space="0" w:color="000000"/>
              <w:right w:val="single" w:sz="6" w:space="0" w:color="000000"/>
            </w:tcBorders>
          </w:tcPr>
          <w:p w14:paraId="2AB933A2" w14:textId="77777777" w:rsidR="000A3B2B" w:rsidRPr="00023227" w:rsidRDefault="000A3B2B">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149</w:t>
            </w:r>
          </w:p>
        </w:tc>
        <w:tc>
          <w:tcPr>
            <w:tcW w:w="1650" w:type="dxa"/>
            <w:tcBorders>
              <w:top w:val="single" w:sz="6" w:space="0" w:color="000000"/>
              <w:left w:val="single" w:sz="6" w:space="0" w:color="000000"/>
              <w:bottom w:val="single" w:sz="6" w:space="0" w:color="000000"/>
              <w:right w:val="single" w:sz="6" w:space="0" w:color="000000"/>
            </w:tcBorders>
          </w:tcPr>
          <w:p w14:paraId="1DFEA871" w14:textId="77777777" w:rsidR="000A3B2B" w:rsidRPr="00023227" w:rsidRDefault="000A3B2B">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35 W</w:t>
            </w:r>
          </w:p>
        </w:tc>
        <w:tc>
          <w:tcPr>
            <w:tcW w:w="2354" w:type="dxa"/>
            <w:tcBorders>
              <w:top w:val="single" w:sz="6" w:space="0" w:color="000000"/>
              <w:left w:val="single" w:sz="6" w:space="0" w:color="000000"/>
              <w:bottom w:val="single" w:sz="6" w:space="0" w:color="000000"/>
              <w:right w:val="single" w:sz="6" w:space="0" w:color="000000"/>
            </w:tcBorders>
          </w:tcPr>
          <w:p w14:paraId="4D90C1AE" w14:textId="77777777" w:rsidR="000A3B2B" w:rsidRDefault="000A3B2B">
            <w:pPr>
              <w:autoSpaceDE w:val="0"/>
              <w:autoSpaceDN w:val="0"/>
              <w:adjustRightInd w:val="0"/>
              <w:spacing w:after="0" w:line="240" w:lineRule="auto"/>
              <w:jc w:val="center"/>
              <w:rPr>
                <w:rFonts w:ascii="Arial" w:hAnsi="Arial" w:cs="Arial"/>
                <w:b/>
                <w:bCs/>
                <w:color w:val="000000"/>
                <w:sz w:val="18"/>
                <w:szCs w:val="18"/>
                <w:lang w:val="x-none"/>
              </w:rPr>
            </w:pPr>
          </w:p>
        </w:tc>
      </w:tr>
      <w:tr w:rsidR="000A3B2B" w14:paraId="64853FAB" w14:textId="77777777">
        <w:trPr>
          <w:trHeight w:val="60"/>
          <w:tblCellSpacing w:w="0" w:type="dxa"/>
        </w:trPr>
        <w:tc>
          <w:tcPr>
            <w:tcW w:w="442" w:type="dxa"/>
            <w:tcBorders>
              <w:top w:val="single" w:sz="6" w:space="0" w:color="000000"/>
              <w:left w:val="single" w:sz="6" w:space="0" w:color="000000"/>
              <w:bottom w:val="single" w:sz="6" w:space="0" w:color="000000"/>
              <w:right w:val="single" w:sz="6" w:space="0" w:color="000000"/>
            </w:tcBorders>
          </w:tcPr>
          <w:p w14:paraId="0306EC17"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2</w:t>
            </w:r>
          </w:p>
        </w:tc>
        <w:tc>
          <w:tcPr>
            <w:tcW w:w="3526" w:type="dxa"/>
            <w:tcBorders>
              <w:top w:val="single" w:sz="6" w:space="0" w:color="000000"/>
              <w:left w:val="single" w:sz="6" w:space="0" w:color="000000"/>
              <w:bottom w:val="single" w:sz="6" w:space="0" w:color="000000"/>
              <w:right w:val="single" w:sz="6" w:space="0" w:color="000000"/>
            </w:tcBorders>
          </w:tcPr>
          <w:p w14:paraId="3B9BD6E4" w14:textId="77777777" w:rsidR="000A3B2B" w:rsidRPr="00867F1D" w:rsidRDefault="000A3B2B" w:rsidP="00023227">
            <w:pPr>
              <w:spacing w:after="0"/>
              <w:rPr>
                <w:lang w:val="en-US"/>
              </w:rPr>
            </w:pPr>
            <w:proofErr w:type="spellStart"/>
            <w:r>
              <w:rPr>
                <w:lang w:val="en-US"/>
              </w:rPr>
              <w:t>Oprawa</w:t>
            </w:r>
            <w:proofErr w:type="spellEnd"/>
            <w:r>
              <w:rPr>
                <w:lang w:val="en-US"/>
              </w:rPr>
              <w:t xml:space="preserve"> </w:t>
            </w:r>
            <w:r w:rsidRPr="00867F1D">
              <w:rPr>
                <w:lang w:val="en-US"/>
              </w:rPr>
              <w:t>TORINO LED AS 4000K PX4087208, 1600</w:t>
            </w:r>
            <w:r>
              <w:rPr>
                <w:lang w:val="en-US"/>
              </w:rPr>
              <w:t xml:space="preserve"> l</w:t>
            </w:r>
            <w:r w:rsidRPr="00867F1D">
              <w:rPr>
                <w:lang w:val="en-US"/>
              </w:rPr>
              <w:t xml:space="preserve">m </w:t>
            </w:r>
          </w:p>
          <w:p w14:paraId="648FCCEF" w14:textId="77777777" w:rsidR="000A3B2B" w:rsidRPr="00023227" w:rsidRDefault="000A3B2B">
            <w:pPr>
              <w:autoSpaceDE w:val="0"/>
              <w:autoSpaceDN w:val="0"/>
              <w:adjustRightInd w:val="0"/>
              <w:spacing w:after="0" w:line="240" w:lineRule="auto"/>
              <w:rPr>
                <w:rFonts w:ascii="Arial" w:hAnsi="Arial" w:cs="Arial"/>
                <w:color w:val="000000"/>
                <w:position w:val="4"/>
                <w:sz w:val="8"/>
                <w:szCs w:val="8"/>
                <w:lang w:val="en-US"/>
              </w:rPr>
            </w:pPr>
          </w:p>
        </w:tc>
        <w:tc>
          <w:tcPr>
            <w:tcW w:w="690" w:type="dxa"/>
            <w:tcBorders>
              <w:top w:val="single" w:sz="6" w:space="0" w:color="000000"/>
              <w:left w:val="single" w:sz="6" w:space="0" w:color="000000"/>
              <w:bottom w:val="single" w:sz="6" w:space="0" w:color="000000"/>
              <w:right w:val="single" w:sz="6" w:space="0" w:color="000000"/>
            </w:tcBorders>
          </w:tcPr>
          <w:p w14:paraId="7BB5D113" w14:textId="77777777" w:rsidR="000A3B2B" w:rsidRPr="00023227" w:rsidRDefault="000A3B2B">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xml:space="preserve">szt. </w:t>
            </w:r>
          </w:p>
        </w:tc>
        <w:tc>
          <w:tcPr>
            <w:tcW w:w="690" w:type="dxa"/>
            <w:tcBorders>
              <w:top w:val="single" w:sz="6" w:space="0" w:color="000000"/>
              <w:left w:val="single" w:sz="6" w:space="0" w:color="000000"/>
              <w:bottom w:val="single" w:sz="6" w:space="0" w:color="000000"/>
              <w:right w:val="single" w:sz="6" w:space="0" w:color="000000"/>
            </w:tcBorders>
          </w:tcPr>
          <w:p w14:paraId="0922C775" w14:textId="77777777" w:rsidR="000A3B2B" w:rsidRPr="00023227" w:rsidRDefault="000A3B2B">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30</w:t>
            </w:r>
          </w:p>
        </w:tc>
        <w:tc>
          <w:tcPr>
            <w:tcW w:w="1650" w:type="dxa"/>
            <w:tcBorders>
              <w:top w:val="single" w:sz="6" w:space="0" w:color="000000"/>
              <w:left w:val="single" w:sz="6" w:space="0" w:color="000000"/>
              <w:bottom w:val="single" w:sz="6" w:space="0" w:color="000000"/>
              <w:right w:val="single" w:sz="6" w:space="0" w:color="000000"/>
            </w:tcBorders>
          </w:tcPr>
          <w:p w14:paraId="164A893B" w14:textId="77777777" w:rsidR="000A3B2B" w:rsidRPr="00023227" w:rsidRDefault="000A3B2B" w:rsidP="00023227">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17 W</w:t>
            </w:r>
          </w:p>
        </w:tc>
        <w:tc>
          <w:tcPr>
            <w:tcW w:w="2354" w:type="dxa"/>
            <w:tcBorders>
              <w:top w:val="single" w:sz="6" w:space="0" w:color="000000"/>
              <w:left w:val="single" w:sz="6" w:space="0" w:color="000000"/>
              <w:bottom w:val="single" w:sz="6" w:space="0" w:color="000000"/>
              <w:right w:val="single" w:sz="6" w:space="0" w:color="000000"/>
            </w:tcBorders>
          </w:tcPr>
          <w:p w14:paraId="447F58FA" w14:textId="77777777" w:rsidR="000A3B2B" w:rsidRDefault="000A3B2B">
            <w:pPr>
              <w:autoSpaceDE w:val="0"/>
              <w:autoSpaceDN w:val="0"/>
              <w:adjustRightInd w:val="0"/>
              <w:spacing w:after="0" w:line="240" w:lineRule="auto"/>
              <w:rPr>
                <w:rFonts w:ascii="Arial" w:hAnsi="Arial" w:cs="Arial"/>
                <w:sz w:val="24"/>
                <w:szCs w:val="24"/>
                <w:lang w:val="x-none"/>
              </w:rPr>
            </w:pPr>
          </w:p>
        </w:tc>
      </w:tr>
      <w:tr w:rsidR="000A3B2B" w14:paraId="7077FB3C" w14:textId="77777777">
        <w:trPr>
          <w:trHeight w:val="60"/>
          <w:tblCellSpacing w:w="0" w:type="dxa"/>
        </w:trPr>
        <w:tc>
          <w:tcPr>
            <w:tcW w:w="442" w:type="dxa"/>
            <w:tcBorders>
              <w:top w:val="single" w:sz="6" w:space="0" w:color="000000"/>
              <w:left w:val="single" w:sz="6" w:space="0" w:color="000000"/>
              <w:bottom w:val="single" w:sz="6" w:space="0" w:color="000000"/>
              <w:right w:val="single" w:sz="6" w:space="0" w:color="000000"/>
            </w:tcBorders>
          </w:tcPr>
          <w:p w14:paraId="66E85C95" w14:textId="77777777" w:rsidR="000A3B2B" w:rsidRPr="00023227" w:rsidRDefault="000A3B2B">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3</w:t>
            </w:r>
          </w:p>
        </w:tc>
        <w:tc>
          <w:tcPr>
            <w:tcW w:w="3526" w:type="dxa"/>
            <w:tcBorders>
              <w:top w:val="single" w:sz="6" w:space="0" w:color="000000"/>
              <w:left w:val="single" w:sz="6" w:space="0" w:color="000000"/>
              <w:bottom w:val="single" w:sz="6" w:space="0" w:color="000000"/>
              <w:right w:val="single" w:sz="6" w:space="0" w:color="000000"/>
            </w:tcBorders>
          </w:tcPr>
          <w:p w14:paraId="7B34BBAF" w14:textId="77777777" w:rsidR="000A3B2B" w:rsidRPr="00023227" w:rsidRDefault="000A3B2B" w:rsidP="00023227">
            <w:pPr>
              <w:spacing w:after="0"/>
            </w:pPr>
            <w:r w:rsidRPr="00023227">
              <w:t xml:space="preserve">Oprawa LATTE LED 4000K PX1798521 4820 </w:t>
            </w:r>
            <w:r>
              <w:t>l</w:t>
            </w:r>
            <w:r w:rsidRPr="00023227">
              <w:t xml:space="preserve">m </w:t>
            </w:r>
          </w:p>
        </w:tc>
        <w:tc>
          <w:tcPr>
            <w:tcW w:w="690" w:type="dxa"/>
            <w:tcBorders>
              <w:top w:val="single" w:sz="6" w:space="0" w:color="000000"/>
              <w:left w:val="single" w:sz="6" w:space="0" w:color="000000"/>
              <w:bottom w:val="single" w:sz="6" w:space="0" w:color="000000"/>
              <w:right w:val="single" w:sz="6" w:space="0" w:color="000000"/>
            </w:tcBorders>
          </w:tcPr>
          <w:p w14:paraId="31111692" w14:textId="77777777" w:rsidR="000A3B2B" w:rsidRPr="00023227" w:rsidRDefault="000A3B2B" w:rsidP="00023227">
            <w:pPr>
              <w:autoSpaceDE w:val="0"/>
              <w:autoSpaceDN w:val="0"/>
              <w:adjustRightInd w:val="0"/>
              <w:spacing w:after="0" w:line="240" w:lineRule="auto"/>
              <w:jc w:val="center"/>
              <w:rPr>
                <w:rFonts w:ascii="Arial" w:hAnsi="Arial" w:cs="Arial"/>
                <w:sz w:val="24"/>
                <w:szCs w:val="24"/>
              </w:rPr>
            </w:pPr>
            <w:r>
              <w:rPr>
                <w:rFonts w:ascii="Arial" w:hAnsi="Arial" w:cs="Arial"/>
                <w:color w:val="000000"/>
                <w:sz w:val="18"/>
                <w:szCs w:val="18"/>
              </w:rPr>
              <w:t>szt.</w:t>
            </w:r>
          </w:p>
        </w:tc>
        <w:tc>
          <w:tcPr>
            <w:tcW w:w="690" w:type="dxa"/>
            <w:tcBorders>
              <w:top w:val="single" w:sz="6" w:space="0" w:color="000000"/>
              <w:left w:val="single" w:sz="6" w:space="0" w:color="000000"/>
              <w:bottom w:val="single" w:sz="6" w:space="0" w:color="000000"/>
              <w:right w:val="single" w:sz="6" w:space="0" w:color="000000"/>
            </w:tcBorders>
          </w:tcPr>
          <w:p w14:paraId="779BAB63" w14:textId="77777777" w:rsidR="000A3B2B" w:rsidRPr="00023227" w:rsidRDefault="000A3B2B" w:rsidP="00023227">
            <w:pPr>
              <w:autoSpaceDE w:val="0"/>
              <w:autoSpaceDN w:val="0"/>
              <w:adjustRightInd w:val="0"/>
              <w:spacing w:after="0" w:line="240" w:lineRule="auto"/>
              <w:jc w:val="center"/>
              <w:rPr>
                <w:rFonts w:ascii="Arial" w:hAnsi="Arial" w:cs="Arial"/>
                <w:sz w:val="24"/>
                <w:szCs w:val="24"/>
              </w:rPr>
            </w:pPr>
            <w:r w:rsidRPr="00023227">
              <w:rPr>
                <w:rFonts w:ascii="Arial" w:hAnsi="Arial" w:cs="Arial"/>
                <w:color w:val="000000"/>
                <w:sz w:val="18"/>
                <w:szCs w:val="18"/>
              </w:rPr>
              <w:t>79</w:t>
            </w:r>
          </w:p>
        </w:tc>
        <w:tc>
          <w:tcPr>
            <w:tcW w:w="1650" w:type="dxa"/>
            <w:tcBorders>
              <w:top w:val="single" w:sz="6" w:space="0" w:color="000000"/>
              <w:left w:val="single" w:sz="6" w:space="0" w:color="000000"/>
              <w:bottom w:val="single" w:sz="6" w:space="0" w:color="000000"/>
              <w:right w:val="single" w:sz="6" w:space="0" w:color="000000"/>
            </w:tcBorders>
          </w:tcPr>
          <w:p w14:paraId="2A0AF8B1" w14:textId="77777777" w:rsidR="000A3B2B" w:rsidRPr="00023227" w:rsidRDefault="000A3B2B" w:rsidP="00023227">
            <w:pPr>
              <w:autoSpaceDE w:val="0"/>
              <w:autoSpaceDN w:val="0"/>
              <w:adjustRightInd w:val="0"/>
              <w:spacing w:after="0" w:line="240" w:lineRule="auto"/>
              <w:jc w:val="center"/>
              <w:rPr>
                <w:rFonts w:ascii="Arial" w:hAnsi="Arial" w:cs="Arial"/>
                <w:sz w:val="24"/>
                <w:szCs w:val="24"/>
              </w:rPr>
            </w:pPr>
            <w:r>
              <w:rPr>
                <w:rFonts w:ascii="Arial" w:hAnsi="Arial" w:cs="Arial"/>
                <w:color w:val="000000"/>
                <w:sz w:val="18"/>
                <w:szCs w:val="18"/>
              </w:rPr>
              <w:t>35 W</w:t>
            </w:r>
          </w:p>
        </w:tc>
        <w:tc>
          <w:tcPr>
            <w:tcW w:w="2354" w:type="dxa"/>
            <w:tcBorders>
              <w:top w:val="single" w:sz="6" w:space="0" w:color="000000"/>
              <w:left w:val="single" w:sz="6" w:space="0" w:color="000000"/>
              <w:bottom w:val="single" w:sz="6" w:space="0" w:color="000000"/>
              <w:right w:val="single" w:sz="6" w:space="0" w:color="000000"/>
            </w:tcBorders>
          </w:tcPr>
          <w:p w14:paraId="01F35E5E" w14:textId="77777777" w:rsidR="000A3B2B" w:rsidRDefault="000A3B2B">
            <w:pPr>
              <w:autoSpaceDE w:val="0"/>
              <w:autoSpaceDN w:val="0"/>
              <w:adjustRightInd w:val="0"/>
              <w:spacing w:after="0" w:line="240" w:lineRule="auto"/>
              <w:rPr>
                <w:rFonts w:ascii="Arial" w:hAnsi="Arial" w:cs="Arial"/>
                <w:sz w:val="24"/>
                <w:szCs w:val="24"/>
                <w:lang w:val="x-none"/>
              </w:rPr>
            </w:pPr>
          </w:p>
        </w:tc>
      </w:tr>
      <w:tr w:rsidR="000A3B2B" w14:paraId="4BD924E4" w14:textId="77777777">
        <w:trPr>
          <w:trHeight w:val="60"/>
          <w:tblCellSpacing w:w="0" w:type="dxa"/>
        </w:trPr>
        <w:tc>
          <w:tcPr>
            <w:tcW w:w="442" w:type="dxa"/>
            <w:tcBorders>
              <w:top w:val="single" w:sz="6" w:space="0" w:color="000000"/>
              <w:left w:val="single" w:sz="6" w:space="0" w:color="000000"/>
              <w:bottom w:val="single" w:sz="6" w:space="0" w:color="000000"/>
              <w:right w:val="single" w:sz="6" w:space="0" w:color="000000"/>
            </w:tcBorders>
          </w:tcPr>
          <w:p w14:paraId="45EE2AC1" w14:textId="77777777" w:rsidR="000A3B2B" w:rsidRPr="00023227" w:rsidRDefault="000A3B2B" w:rsidP="00023227">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4</w:t>
            </w:r>
          </w:p>
        </w:tc>
        <w:tc>
          <w:tcPr>
            <w:tcW w:w="3526" w:type="dxa"/>
            <w:tcBorders>
              <w:top w:val="single" w:sz="6" w:space="0" w:color="000000"/>
              <w:left w:val="single" w:sz="6" w:space="0" w:color="000000"/>
              <w:bottom w:val="single" w:sz="6" w:space="0" w:color="000000"/>
              <w:right w:val="single" w:sz="6" w:space="0" w:color="000000"/>
            </w:tcBorders>
          </w:tcPr>
          <w:p w14:paraId="5CEB058E" w14:textId="77777777" w:rsidR="000A3B2B" w:rsidRPr="007169ED" w:rsidRDefault="000A3B2B" w:rsidP="00023227">
            <w:pPr>
              <w:spacing w:after="0"/>
              <w:rPr>
                <w:lang w:val="en-US"/>
              </w:rPr>
            </w:pPr>
            <w:proofErr w:type="spellStart"/>
            <w:r w:rsidRPr="007169ED">
              <w:rPr>
                <w:lang w:val="en-US"/>
              </w:rPr>
              <w:t>Oprawa</w:t>
            </w:r>
            <w:proofErr w:type="spellEnd"/>
            <w:r w:rsidRPr="007169ED">
              <w:rPr>
                <w:lang w:val="en-US"/>
              </w:rPr>
              <w:t xml:space="preserve"> LATTE LED PX1798514, 2400 </w:t>
            </w:r>
            <w:proofErr w:type="spellStart"/>
            <w:r w:rsidRPr="007169ED">
              <w:rPr>
                <w:lang w:val="en-US"/>
              </w:rPr>
              <w:t>lm</w:t>
            </w:r>
            <w:proofErr w:type="spellEnd"/>
            <w:r w:rsidRPr="007169ED">
              <w:rPr>
                <w:lang w:val="en-US"/>
              </w:rPr>
              <w:t xml:space="preserve"> </w:t>
            </w:r>
          </w:p>
        </w:tc>
        <w:tc>
          <w:tcPr>
            <w:tcW w:w="690" w:type="dxa"/>
            <w:tcBorders>
              <w:top w:val="single" w:sz="6" w:space="0" w:color="000000"/>
              <w:left w:val="single" w:sz="6" w:space="0" w:color="000000"/>
              <w:bottom w:val="single" w:sz="6" w:space="0" w:color="000000"/>
              <w:right w:val="single" w:sz="6" w:space="0" w:color="000000"/>
            </w:tcBorders>
          </w:tcPr>
          <w:p w14:paraId="3F40F174" w14:textId="77777777" w:rsidR="000A3B2B" w:rsidRDefault="000A3B2B" w:rsidP="00023227">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rPr>
              <w:t>szt.</w:t>
            </w:r>
          </w:p>
        </w:tc>
        <w:tc>
          <w:tcPr>
            <w:tcW w:w="690" w:type="dxa"/>
            <w:tcBorders>
              <w:top w:val="single" w:sz="6" w:space="0" w:color="000000"/>
              <w:left w:val="single" w:sz="6" w:space="0" w:color="000000"/>
              <w:bottom w:val="single" w:sz="6" w:space="0" w:color="000000"/>
              <w:right w:val="single" w:sz="6" w:space="0" w:color="000000"/>
            </w:tcBorders>
          </w:tcPr>
          <w:p w14:paraId="397BB2F4" w14:textId="77777777" w:rsidR="000A3B2B" w:rsidRDefault="000A3B2B" w:rsidP="00023227">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rPr>
              <w:t>58</w:t>
            </w:r>
          </w:p>
        </w:tc>
        <w:tc>
          <w:tcPr>
            <w:tcW w:w="1650" w:type="dxa"/>
            <w:tcBorders>
              <w:top w:val="single" w:sz="6" w:space="0" w:color="000000"/>
              <w:left w:val="single" w:sz="6" w:space="0" w:color="000000"/>
              <w:bottom w:val="single" w:sz="6" w:space="0" w:color="000000"/>
              <w:right w:val="single" w:sz="6" w:space="0" w:color="000000"/>
            </w:tcBorders>
          </w:tcPr>
          <w:p w14:paraId="598CFCE0" w14:textId="77777777" w:rsidR="000A3B2B" w:rsidRDefault="000A3B2B" w:rsidP="00023227">
            <w:pPr>
              <w:autoSpaceDE w:val="0"/>
              <w:autoSpaceDN w:val="0"/>
              <w:adjustRightInd w:val="0"/>
              <w:spacing w:after="0" w:line="240" w:lineRule="auto"/>
              <w:jc w:val="center"/>
              <w:rPr>
                <w:rFonts w:ascii="Arial" w:hAnsi="Arial" w:cs="Arial"/>
                <w:sz w:val="24"/>
                <w:szCs w:val="24"/>
                <w:lang w:val="x-none"/>
              </w:rPr>
            </w:pPr>
            <w:r>
              <w:rPr>
                <w:rFonts w:ascii="Arial" w:hAnsi="Arial" w:cs="Arial"/>
                <w:color w:val="000000"/>
                <w:sz w:val="18"/>
                <w:szCs w:val="18"/>
              </w:rPr>
              <w:t>19 W</w:t>
            </w:r>
          </w:p>
        </w:tc>
        <w:tc>
          <w:tcPr>
            <w:tcW w:w="2354" w:type="dxa"/>
            <w:tcBorders>
              <w:top w:val="single" w:sz="6" w:space="0" w:color="000000"/>
              <w:left w:val="single" w:sz="6" w:space="0" w:color="000000"/>
              <w:bottom w:val="single" w:sz="6" w:space="0" w:color="000000"/>
              <w:right w:val="single" w:sz="6" w:space="0" w:color="000000"/>
            </w:tcBorders>
          </w:tcPr>
          <w:p w14:paraId="10CE0D19" w14:textId="77777777" w:rsidR="000A3B2B" w:rsidRDefault="000A3B2B" w:rsidP="00023227">
            <w:pPr>
              <w:autoSpaceDE w:val="0"/>
              <w:autoSpaceDN w:val="0"/>
              <w:adjustRightInd w:val="0"/>
              <w:spacing w:after="0" w:line="240" w:lineRule="auto"/>
              <w:rPr>
                <w:rFonts w:ascii="Arial" w:hAnsi="Arial" w:cs="Arial"/>
                <w:sz w:val="24"/>
                <w:szCs w:val="24"/>
                <w:lang w:val="x-none"/>
              </w:rPr>
            </w:pPr>
          </w:p>
        </w:tc>
      </w:tr>
      <w:tr w:rsidR="000A3B2B" w14:paraId="09CB96C4" w14:textId="77777777">
        <w:trPr>
          <w:trHeight w:val="60"/>
          <w:tblCellSpacing w:w="0" w:type="dxa"/>
        </w:trPr>
        <w:tc>
          <w:tcPr>
            <w:tcW w:w="442" w:type="dxa"/>
            <w:tcBorders>
              <w:top w:val="single" w:sz="6" w:space="0" w:color="000000"/>
              <w:left w:val="single" w:sz="6" w:space="0" w:color="000000"/>
              <w:bottom w:val="single" w:sz="6" w:space="0" w:color="000000"/>
              <w:right w:val="single" w:sz="6" w:space="0" w:color="000000"/>
            </w:tcBorders>
          </w:tcPr>
          <w:p w14:paraId="64690A21" w14:textId="77777777" w:rsidR="000A3B2B" w:rsidRPr="00023227" w:rsidRDefault="000A3B2B" w:rsidP="008A1584">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5</w:t>
            </w:r>
          </w:p>
        </w:tc>
        <w:tc>
          <w:tcPr>
            <w:tcW w:w="3526" w:type="dxa"/>
            <w:tcBorders>
              <w:top w:val="single" w:sz="6" w:space="0" w:color="000000"/>
              <w:left w:val="single" w:sz="6" w:space="0" w:color="000000"/>
              <w:bottom w:val="single" w:sz="6" w:space="0" w:color="000000"/>
              <w:right w:val="single" w:sz="6" w:space="0" w:color="000000"/>
            </w:tcBorders>
          </w:tcPr>
          <w:p w14:paraId="2CB682E2" w14:textId="77777777" w:rsidR="000A3B2B" w:rsidRPr="008A1584" w:rsidRDefault="000A3B2B" w:rsidP="008A1584">
            <w:pPr>
              <w:spacing w:after="0"/>
            </w:pPr>
            <w:r>
              <w:rPr>
                <w:rFonts w:ascii="Arial" w:hAnsi="Arial" w:cs="Arial"/>
                <w:color w:val="000000"/>
                <w:sz w:val="18"/>
                <w:szCs w:val="18"/>
              </w:rPr>
              <w:t xml:space="preserve">Oprawa </w:t>
            </w:r>
            <w:r>
              <w:t xml:space="preserve">FIBRA LED IP66 4000K PX2040157, 4120 lm </w:t>
            </w:r>
          </w:p>
        </w:tc>
        <w:tc>
          <w:tcPr>
            <w:tcW w:w="690" w:type="dxa"/>
            <w:tcBorders>
              <w:top w:val="single" w:sz="6" w:space="0" w:color="000000"/>
              <w:left w:val="single" w:sz="6" w:space="0" w:color="000000"/>
              <w:bottom w:val="single" w:sz="6" w:space="0" w:color="000000"/>
              <w:right w:val="single" w:sz="6" w:space="0" w:color="000000"/>
            </w:tcBorders>
          </w:tcPr>
          <w:p w14:paraId="70C7EB58" w14:textId="77777777" w:rsidR="000A3B2B" w:rsidRDefault="000A3B2B" w:rsidP="008A158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rPr>
              <w:t>szt.</w:t>
            </w:r>
          </w:p>
        </w:tc>
        <w:tc>
          <w:tcPr>
            <w:tcW w:w="690" w:type="dxa"/>
            <w:tcBorders>
              <w:top w:val="single" w:sz="6" w:space="0" w:color="000000"/>
              <w:left w:val="single" w:sz="6" w:space="0" w:color="000000"/>
              <w:bottom w:val="single" w:sz="6" w:space="0" w:color="000000"/>
              <w:right w:val="single" w:sz="6" w:space="0" w:color="000000"/>
            </w:tcBorders>
          </w:tcPr>
          <w:p w14:paraId="409C879B" w14:textId="77777777" w:rsidR="000A3B2B" w:rsidRDefault="000A3B2B" w:rsidP="008A1584">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rPr>
              <w:t>25</w:t>
            </w:r>
          </w:p>
        </w:tc>
        <w:tc>
          <w:tcPr>
            <w:tcW w:w="1650" w:type="dxa"/>
            <w:tcBorders>
              <w:top w:val="single" w:sz="6" w:space="0" w:color="000000"/>
              <w:left w:val="single" w:sz="6" w:space="0" w:color="000000"/>
              <w:bottom w:val="single" w:sz="6" w:space="0" w:color="000000"/>
              <w:right w:val="single" w:sz="6" w:space="0" w:color="000000"/>
            </w:tcBorders>
          </w:tcPr>
          <w:p w14:paraId="500B09DE" w14:textId="77777777" w:rsidR="000A3B2B" w:rsidRDefault="000A3B2B" w:rsidP="008A1584">
            <w:pPr>
              <w:autoSpaceDE w:val="0"/>
              <w:autoSpaceDN w:val="0"/>
              <w:adjustRightInd w:val="0"/>
              <w:spacing w:after="0" w:line="240" w:lineRule="auto"/>
              <w:jc w:val="center"/>
              <w:rPr>
                <w:rFonts w:ascii="Arial" w:hAnsi="Arial" w:cs="Arial"/>
                <w:sz w:val="24"/>
                <w:szCs w:val="24"/>
                <w:lang w:val="x-none"/>
              </w:rPr>
            </w:pPr>
            <w:r>
              <w:rPr>
                <w:rFonts w:ascii="Arial" w:hAnsi="Arial" w:cs="Arial"/>
                <w:color w:val="000000"/>
                <w:sz w:val="18"/>
                <w:szCs w:val="18"/>
              </w:rPr>
              <w:t>31 W</w:t>
            </w:r>
          </w:p>
        </w:tc>
        <w:tc>
          <w:tcPr>
            <w:tcW w:w="2354" w:type="dxa"/>
            <w:tcBorders>
              <w:top w:val="single" w:sz="6" w:space="0" w:color="000000"/>
              <w:left w:val="single" w:sz="6" w:space="0" w:color="000000"/>
              <w:bottom w:val="single" w:sz="6" w:space="0" w:color="000000"/>
              <w:right w:val="single" w:sz="6" w:space="0" w:color="000000"/>
            </w:tcBorders>
          </w:tcPr>
          <w:p w14:paraId="52866B34" w14:textId="77777777" w:rsidR="000A3B2B" w:rsidRDefault="000A3B2B" w:rsidP="008A1584">
            <w:pPr>
              <w:autoSpaceDE w:val="0"/>
              <w:autoSpaceDN w:val="0"/>
              <w:adjustRightInd w:val="0"/>
              <w:spacing w:after="0" w:line="240" w:lineRule="auto"/>
              <w:rPr>
                <w:rFonts w:ascii="Arial" w:hAnsi="Arial" w:cs="Arial"/>
                <w:sz w:val="24"/>
                <w:szCs w:val="24"/>
                <w:lang w:val="x-none"/>
              </w:rPr>
            </w:pPr>
          </w:p>
        </w:tc>
      </w:tr>
      <w:tr w:rsidR="000A3B2B" w14:paraId="6B5D65AD" w14:textId="77777777">
        <w:trPr>
          <w:trHeight w:val="60"/>
          <w:tblCellSpacing w:w="0" w:type="dxa"/>
        </w:trPr>
        <w:tc>
          <w:tcPr>
            <w:tcW w:w="442" w:type="dxa"/>
            <w:tcBorders>
              <w:top w:val="single" w:sz="6" w:space="0" w:color="000000"/>
              <w:left w:val="single" w:sz="6" w:space="0" w:color="000000"/>
              <w:bottom w:val="single" w:sz="6" w:space="0" w:color="000000"/>
              <w:right w:val="single" w:sz="6" w:space="0" w:color="000000"/>
            </w:tcBorders>
          </w:tcPr>
          <w:p w14:paraId="62638DC1" w14:textId="77777777" w:rsidR="000A3B2B" w:rsidRPr="00443121" w:rsidRDefault="000A3B2B" w:rsidP="00443121">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6</w:t>
            </w:r>
          </w:p>
        </w:tc>
        <w:tc>
          <w:tcPr>
            <w:tcW w:w="3526" w:type="dxa"/>
            <w:tcBorders>
              <w:top w:val="single" w:sz="6" w:space="0" w:color="000000"/>
              <w:left w:val="single" w:sz="6" w:space="0" w:color="000000"/>
              <w:bottom w:val="single" w:sz="6" w:space="0" w:color="000000"/>
              <w:right w:val="single" w:sz="6" w:space="0" w:color="000000"/>
            </w:tcBorders>
          </w:tcPr>
          <w:p w14:paraId="204219EE" w14:textId="77777777" w:rsidR="000A3B2B" w:rsidRDefault="000A3B2B" w:rsidP="00443121">
            <w:pPr>
              <w:spacing w:after="0"/>
            </w:pPr>
            <w:r>
              <w:t xml:space="preserve">Oprawa FIBRA LED IP66 4000K PX2040151, 2060 lm </w:t>
            </w:r>
          </w:p>
          <w:p w14:paraId="22E979C2" w14:textId="77777777" w:rsidR="000A3B2B" w:rsidRDefault="000A3B2B" w:rsidP="00443121">
            <w:pPr>
              <w:autoSpaceDE w:val="0"/>
              <w:autoSpaceDN w:val="0"/>
              <w:adjustRightInd w:val="0"/>
              <w:spacing w:after="0" w:line="240" w:lineRule="auto"/>
              <w:rPr>
                <w:rFonts w:ascii="Arial" w:hAnsi="Arial" w:cs="Arial"/>
                <w:color w:val="000000"/>
                <w:sz w:val="18"/>
                <w:szCs w:val="18"/>
                <w:lang w:val="x-none"/>
              </w:rPr>
            </w:pPr>
          </w:p>
        </w:tc>
        <w:tc>
          <w:tcPr>
            <w:tcW w:w="690" w:type="dxa"/>
            <w:tcBorders>
              <w:top w:val="single" w:sz="6" w:space="0" w:color="000000"/>
              <w:left w:val="single" w:sz="6" w:space="0" w:color="000000"/>
              <w:bottom w:val="single" w:sz="6" w:space="0" w:color="000000"/>
              <w:right w:val="single" w:sz="6" w:space="0" w:color="000000"/>
            </w:tcBorders>
          </w:tcPr>
          <w:p w14:paraId="71F0C717" w14:textId="77777777" w:rsidR="000A3B2B" w:rsidRDefault="000A3B2B" w:rsidP="00443121">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rPr>
              <w:t>szt.</w:t>
            </w:r>
          </w:p>
        </w:tc>
        <w:tc>
          <w:tcPr>
            <w:tcW w:w="690" w:type="dxa"/>
            <w:tcBorders>
              <w:top w:val="single" w:sz="6" w:space="0" w:color="000000"/>
              <w:left w:val="single" w:sz="6" w:space="0" w:color="000000"/>
              <w:bottom w:val="single" w:sz="6" w:space="0" w:color="000000"/>
              <w:right w:val="single" w:sz="6" w:space="0" w:color="000000"/>
            </w:tcBorders>
          </w:tcPr>
          <w:p w14:paraId="3D129F5D" w14:textId="77777777" w:rsidR="000A3B2B" w:rsidRDefault="000A3B2B" w:rsidP="00443121">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rPr>
              <w:t>1</w:t>
            </w:r>
          </w:p>
        </w:tc>
        <w:tc>
          <w:tcPr>
            <w:tcW w:w="1650" w:type="dxa"/>
            <w:tcBorders>
              <w:top w:val="single" w:sz="6" w:space="0" w:color="000000"/>
              <w:left w:val="single" w:sz="6" w:space="0" w:color="000000"/>
              <w:bottom w:val="single" w:sz="6" w:space="0" w:color="000000"/>
              <w:right w:val="single" w:sz="6" w:space="0" w:color="000000"/>
            </w:tcBorders>
          </w:tcPr>
          <w:p w14:paraId="0E787CBE" w14:textId="77777777" w:rsidR="000A3B2B" w:rsidRDefault="000A3B2B" w:rsidP="00443121">
            <w:pPr>
              <w:autoSpaceDE w:val="0"/>
              <w:autoSpaceDN w:val="0"/>
              <w:adjustRightInd w:val="0"/>
              <w:spacing w:after="0" w:line="240" w:lineRule="auto"/>
              <w:jc w:val="center"/>
              <w:rPr>
                <w:rFonts w:ascii="Arial" w:hAnsi="Arial" w:cs="Arial"/>
                <w:sz w:val="24"/>
                <w:szCs w:val="24"/>
                <w:lang w:val="x-none"/>
              </w:rPr>
            </w:pPr>
            <w:r>
              <w:rPr>
                <w:rFonts w:ascii="Arial" w:hAnsi="Arial" w:cs="Arial"/>
                <w:color w:val="000000"/>
                <w:sz w:val="18"/>
                <w:szCs w:val="18"/>
              </w:rPr>
              <w:t>17 W</w:t>
            </w:r>
          </w:p>
        </w:tc>
        <w:tc>
          <w:tcPr>
            <w:tcW w:w="2354" w:type="dxa"/>
            <w:tcBorders>
              <w:top w:val="single" w:sz="6" w:space="0" w:color="000000"/>
              <w:left w:val="single" w:sz="6" w:space="0" w:color="000000"/>
              <w:bottom w:val="single" w:sz="6" w:space="0" w:color="000000"/>
              <w:right w:val="single" w:sz="6" w:space="0" w:color="000000"/>
            </w:tcBorders>
          </w:tcPr>
          <w:p w14:paraId="3F564337" w14:textId="77777777" w:rsidR="000A3B2B" w:rsidRDefault="000A3B2B" w:rsidP="00443121">
            <w:pPr>
              <w:autoSpaceDE w:val="0"/>
              <w:autoSpaceDN w:val="0"/>
              <w:adjustRightInd w:val="0"/>
              <w:spacing w:after="0" w:line="240" w:lineRule="auto"/>
              <w:rPr>
                <w:rFonts w:ascii="Arial" w:hAnsi="Arial" w:cs="Arial"/>
                <w:sz w:val="24"/>
                <w:szCs w:val="24"/>
                <w:lang w:val="x-none"/>
              </w:rPr>
            </w:pPr>
          </w:p>
        </w:tc>
      </w:tr>
      <w:tr w:rsidR="000A3B2B" w14:paraId="6A716610" w14:textId="77777777">
        <w:trPr>
          <w:trHeight w:val="60"/>
          <w:tblCellSpacing w:w="0" w:type="dxa"/>
        </w:trPr>
        <w:tc>
          <w:tcPr>
            <w:tcW w:w="442" w:type="dxa"/>
            <w:tcBorders>
              <w:top w:val="single" w:sz="6" w:space="0" w:color="000000"/>
              <w:left w:val="single" w:sz="6" w:space="0" w:color="000000"/>
              <w:bottom w:val="single" w:sz="6" w:space="0" w:color="000000"/>
              <w:right w:val="single" w:sz="6" w:space="0" w:color="000000"/>
            </w:tcBorders>
          </w:tcPr>
          <w:p w14:paraId="79128FBC" w14:textId="77777777" w:rsidR="000A3B2B" w:rsidRPr="00443121" w:rsidRDefault="000A3B2B">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7</w:t>
            </w:r>
          </w:p>
        </w:tc>
        <w:tc>
          <w:tcPr>
            <w:tcW w:w="3526" w:type="dxa"/>
            <w:tcBorders>
              <w:top w:val="single" w:sz="6" w:space="0" w:color="000000"/>
              <w:left w:val="single" w:sz="6" w:space="0" w:color="000000"/>
              <w:bottom w:val="single" w:sz="6" w:space="0" w:color="000000"/>
              <w:right w:val="single" w:sz="6" w:space="0" w:color="000000"/>
            </w:tcBorders>
          </w:tcPr>
          <w:p w14:paraId="58212318" w14:textId="77777777" w:rsidR="000A3B2B" w:rsidRPr="00867F1D" w:rsidRDefault="000A3B2B" w:rsidP="00443121">
            <w:pPr>
              <w:spacing w:after="0"/>
              <w:rPr>
                <w:lang w:val="en-US"/>
              </w:rPr>
            </w:pPr>
            <w:proofErr w:type="spellStart"/>
            <w:r w:rsidRPr="00443121">
              <w:rPr>
                <w:rFonts w:ascii="Arial" w:hAnsi="Arial" w:cs="Arial"/>
                <w:color w:val="000000"/>
                <w:sz w:val="18"/>
                <w:szCs w:val="18"/>
                <w:lang w:val="en-US"/>
              </w:rPr>
              <w:t>Oprawa</w:t>
            </w:r>
            <w:proofErr w:type="spellEnd"/>
            <w:r w:rsidRPr="00443121">
              <w:rPr>
                <w:rFonts w:ascii="Arial" w:hAnsi="Arial" w:cs="Arial"/>
                <w:color w:val="000000"/>
                <w:sz w:val="18"/>
                <w:szCs w:val="18"/>
                <w:lang w:val="en-US"/>
              </w:rPr>
              <w:t xml:space="preserve"> </w:t>
            </w:r>
            <w:r w:rsidRPr="00867F1D">
              <w:rPr>
                <w:lang w:val="en-US"/>
              </w:rPr>
              <w:t>FINESTRA RING LED OPAL 4000</w:t>
            </w:r>
            <w:r>
              <w:rPr>
                <w:lang w:val="en-US"/>
              </w:rPr>
              <w:t xml:space="preserve">K </w:t>
            </w:r>
            <w:r w:rsidRPr="00867F1D">
              <w:rPr>
                <w:lang w:val="en-US"/>
              </w:rPr>
              <w:t xml:space="preserve"> PX0907495, 81</w:t>
            </w:r>
            <w:r>
              <w:rPr>
                <w:lang w:val="en-US"/>
              </w:rPr>
              <w:t xml:space="preserve">0 </w:t>
            </w:r>
            <w:proofErr w:type="spellStart"/>
            <w:r w:rsidRPr="00867F1D">
              <w:rPr>
                <w:lang w:val="en-US"/>
              </w:rPr>
              <w:t>lm</w:t>
            </w:r>
            <w:proofErr w:type="spellEnd"/>
            <w:r w:rsidRPr="00867F1D">
              <w:rPr>
                <w:lang w:val="en-US"/>
              </w:rPr>
              <w:t xml:space="preserve"> </w:t>
            </w:r>
          </w:p>
          <w:p w14:paraId="0A4C3D0B" w14:textId="77777777" w:rsidR="000A3B2B" w:rsidRDefault="000A3B2B">
            <w:pPr>
              <w:autoSpaceDE w:val="0"/>
              <w:autoSpaceDN w:val="0"/>
              <w:adjustRightInd w:val="0"/>
              <w:spacing w:after="0" w:line="240" w:lineRule="auto"/>
              <w:rPr>
                <w:rFonts w:ascii="Arial" w:hAnsi="Arial" w:cs="Arial"/>
                <w:color w:val="000000"/>
                <w:sz w:val="18"/>
                <w:szCs w:val="18"/>
                <w:lang w:val="x-none"/>
              </w:rPr>
            </w:pPr>
            <w:r>
              <w:rPr>
                <w:rFonts w:ascii="Arial" w:hAnsi="Arial" w:cs="Arial"/>
                <w:color w:val="000000"/>
                <w:sz w:val="18"/>
                <w:szCs w:val="18"/>
                <w:lang w:val="x-none"/>
              </w:rPr>
              <w:t xml:space="preserve"> </w:t>
            </w:r>
          </w:p>
        </w:tc>
        <w:tc>
          <w:tcPr>
            <w:tcW w:w="690" w:type="dxa"/>
            <w:tcBorders>
              <w:top w:val="single" w:sz="6" w:space="0" w:color="000000"/>
              <w:left w:val="single" w:sz="6" w:space="0" w:color="000000"/>
              <w:bottom w:val="single" w:sz="6" w:space="0" w:color="000000"/>
              <w:right w:val="single" w:sz="6" w:space="0" w:color="000000"/>
            </w:tcBorders>
          </w:tcPr>
          <w:p w14:paraId="29CE82FF"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szt.</w:t>
            </w:r>
          </w:p>
        </w:tc>
        <w:tc>
          <w:tcPr>
            <w:tcW w:w="690" w:type="dxa"/>
            <w:tcBorders>
              <w:top w:val="single" w:sz="6" w:space="0" w:color="000000"/>
              <w:left w:val="single" w:sz="6" w:space="0" w:color="000000"/>
              <w:bottom w:val="single" w:sz="6" w:space="0" w:color="000000"/>
              <w:right w:val="single" w:sz="6" w:space="0" w:color="000000"/>
            </w:tcBorders>
          </w:tcPr>
          <w:p w14:paraId="72844CB9" w14:textId="77777777" w:rsidR="000A3B2B" w:rsidRPr="00443121" w:rsidRDefault="000A3B2B">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3</w:t>
            </w:r>
          </w:p>
        </w:tc>
        <w:tc>
          <w:tcPr>
            <w:tcW w:w="1650" w:type="dxa"/>
            <w:tcBorders>
              <w:top w:val="single" w:sz="6" w:space="0" w:color="000000"/>
              <w:left w:val="single" w:sz="6" w:space="0" w:color="000000"/>
              <w:bottom w:val="single" w:sz="6" w:space="0" w:color="000000"/>
              <w:right w:val="single" w:sz="6" w:space="0" w:color="000000"/>
            </w:tcBorders>
          </w:tcPr>
          <w:p w14:paraId="5880381C" w14:textId="77777777" w:rsidR="000A3B2B" w:rsidRPr="00443121" w:rsidRDefault="000A3B2B" w:rsidP="00443121">
            <w:pPr>
              <w:autoSpaceDE w:val="0"/>
              <w:autoSpaceDN w:val="0"/>
              <w:adjustRightInd w:val="0"/>
              <w:spacing w:after="0" w:line="240" w:lineRule="auto"/>
              <w:jc w:val="center"/>
              <w:rPr>
                <w:rFonts w:ascii="Arial" w:hAnsi="Arial" w:cs="Arial"/>
                <w:sz w:val="24"/>
                <w:szCs w:val="24"/>
              </w:rPr>
            </w:pPr>
            <w:r w:rsidRPr="00443121">
              <w:rPr>
                <w:rFonts w:ascii="Arial" w:hAnsi="Arial" w:cs="Arial"/>
                <w:color w:val="000000"/>
                <w:sz w:val="18"/>
                <w:szCs w:val="18"/>
              </w:rPr>
              <w:t>10 W</w:t>
            </w:r>
          </w:p>
        </w:tc>
        <w:tc>
          <w:tcPr>
            <w:tcW w:w="2354" w:type="dxa"/>
            <w:tcBorders>
              <w:top w:val="single" w:sz="6" w:space="0" w:color="000000"/>
              <w:left w:val="single" w:sz="6" w:space="0" w:color="000000"/>
              <w:bottom w:val="single" w:sz="6" w:space="0" w:color="000000"/>
              <w:right w:val="single" w:sz="6" w:space="0" w:color="000000"/>
            </w:tcBorders>
          </w:tcPr>
          <w:p w14:paraId="49F58162" w14:textId="77777777" w:rsidR="000A3B2B" w:rsidRDefault="000A3B2B">
            <w:pPr>
              <w:autoSpaceDE w:val="0"/>
              <w:autoSpaceDN w:val="0"/>
              <w:adjustRightInd w:val="0"/>
              <w:spacing w:after="0" w:line="240" w:lineRule="auto"/>
              <w:rPr>
                <w:rFonts w:ascii="Arial" w:hAnsi="Arial" w:cs="Arial"/>
                <w:sz w:val="24"/>
                <w:szCs w:val="24"/>
                <w:lang w:val="x-none"/>
              </w:rPr>
            </w:pPr>
          </w:p>
        </w:tc>
      </w:tr>
      <w:tr w:rsidR="000A3B2B" w14:paraId="60440C80" w14:textId="77777777">
        <w:trPr>
          <w:trHeight w:val="60"/>
          <w:tblCellSpacing w:w="0" w:type="dxa"/>
        </w:trPr>
        <w:tc>
          <w:tcPr>
            <w:tcW w:w="442" w:type="dxa"/>
            <w:tcBorders>
              <w:top w:val="single" w:sz="6" w:space="0" w:color="000000"/>
              <w:left w:val="single" w:sz="6" w:space="0" w:color="000000"/>
              <w:bottom w:val="single" w:sz="6" w:space="0" w:color="000000"/>
              <w:right w:val="single" w:sz="6" w:space="0" w:color="000000"/>
            </w:tcBorders>
          </w:tcPr>
          <w:p w14:paraId="1B656F5F" w14:textId="77777777" w:rsidR="000A3B2B" w:rsidRPr="00443121" w:rsidRDefault="000A3B2B" w:rsidP="00443121">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8</w:t>
            </w:r>
          </w:p>
        </w:tc>
        <w:tc>
          <w:tcPr>
            <w:tcW w:w="3526" w:type="dxa"/>
            <w:tcBorders>
              <w:top w:val="single" w:sz="6" w:space="0" w:color="000000"/>
              <w:left w:val="single" w:sz="6" w:space="0" w:color="000000"/>
              <w:bottom w:val="single" w:sz="6" w:space="0" w:color="000000"/>
              <w:right w:val="single" w:sz="6" w:space="0" w:color="000000"/>
            </w:tcBorders>
          </w:tcPr>
          <w:p w14:paraId="1D6E5725" w14:textId="77777777" w:rsidR="000A3B2B" w:rsidRPr="00443121" w:rsidRDefault="000A3B2B" w:rsidP="00443121">
            <w:pPr>
              <w:spacing w:after="0"/>
            </w:pPr>
            <w:r>
              <w:rPr>
                <w:rFonts w:ascii="Arial" w:hAnsi="Arial" w:cs="Arial"/>
                <w:color w:val="000000"/>
                <w:sz w:val="18"/>
                <w:szCs w:val="18"/>
              </w:rPr>
              <w:t xml:space="preserve">Oprawa </w:t>
            </w:r>
            <w:r w:rsidRPr="00443121">
              <w:t>FIBRA LED IP66 HP 4000K PX2040478, 6190</w:t>
            </w:r>
            <w:r>
              <w:t xml:space="preserve"> l</w:t>
            </w:r>
            <w:r w:rsidRPr="00443121">
              <w:t xml:space="preserve">m </w:t>
            </w:r>
          </w:p>
          <w:p w14:paraId="2D11F2CB" w14:textId="77777777" w:rsidR="000A3B2B" w:rsidRPr="00443121" w:rsidRDefault="000A3B2B" w:rsidP="00443121">
            <w:pPr>
              <w:autoSpaceDE w:val="0"/>
              <w:autoSpaceDN w:val="0"/>
              <w:adjustRightInd w:val="0"/>
              <w:spacing w:after="0" w:line="240" w:lineRule="auto"/>
              <w:rPr>
                <w:rFonts w:ascii="Arial" w:hAnsi="Arial" w:cs="Arial"/>
                <w:color w:val="000000"/>
                <w:sz w:val="18"/>
                <w:szCs w:val="18"/>
              </w:rPr>
            </w:pPr>
          </w:p>
        </w:tc>
        <w:tc>
          <w:tcPr>
            <w:tcW w:w="690" w:type="dxa"/>
            <w:tcBorders>
              <w:top w:val="single" w:sz="6" w:space="0" w:color="000000"/>
              <w:left w:val="single" w:sz="6" w:space="0" w:color="000000"/>
              <w:bottom w:val="single" w:sz="6" w:space="0" w:color="000000"/>
              <w:right w:val="single" w:sz="6" w:space="0" w:color="000000"/>
            </w:tcBorders>
          </w:tcPr>
          <w:p w14:paraId="249C331C" w14:textId="77777777" w:rsidR="000A3B2B" w:rsidRDefault="000A3B2B" w:rsidP="00443121">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szt.</w:t>
            </w:r>
          </w:p>
        </w:tc>
        <w:tc>
          <w:tcPr>
            <w:tcW w:w="690" w:type="dxa"/>
            <w:tcBorders>
              <w:top w:val="single" w:sz="6" w:space="0" w:color="000000"/>
              <w:left w:val="single" w:sz="6" w:space="0" w:color="000000"/>
              <w:bottom w:val="single" w:sz="6" w:space="0" w:color="000000"/>
              <w:right w:val="single" w:sz="6" w:space="0" w:color="000000"/>
            </w:tcBorders>
          </w:tcPr>
          <w:p w14:paraId="17617917" w14:textId="77777777" w:rsidR="000A3B2B" w:rsidRDefault="000A3B2B" w:rsidP="00443121">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rPr>
              <w:t>30</w:t>
            </w:r>
          </w:p>
        </w:tc>
        <w:tc>
          <w:tcPr>
            <w:tcW w:w="1650" w:type="dxa"/>
            <w:tcBorders>
              <w:top w:val="single" w:sz="6" w:space="0" w:color="000000"/>
              <w:left w:val="single" w:sz="6" w:space="0" w:color="000000"/>
              <w:bottom w:val="single" w:sz="6" w:space="0" w:color="000000"/>
              <w:right w:val="single" w:sz="6" w:space="0" w:color="000000"/>
            </w:tcBorders>
          </w:tcPr>
          <w:p w14:paraId="116F1883" w14:textId="77777777" w:rsidR="000A3B2B" w:rsidRDefault="000A3B2B" w:rsidP="00443121">
            <w:pPr>
              <w:autoSpaceDE w:val="0"/>
              <w:autoSpaceDN w:val="0"/>
              <w:adjustRightInd w:val="0"/>
              <w:spacing w:after="0" w:line="240" w:lineRule="auto"/>
              <w:jc w:val="center"/>
              <w:rPr>
                <w:rFonts w:ascii="Arial" w:hAnsi="Arial" w:cs="Arial"/>
                <w:sz w:val="24"/>
                <w:szCs w:val="24"/>
                <w:lang w:val="x-none"/>
              </w:rPr>
            </w:pPr>
            <w:r>
              <w:rPr>
                <w:rFonts w:ascii="Arial" w:hAnsi="Arial" w:cs="Arial"/>
                <w:color w:val="000000"/>
                <w:sz w:val="18"/>
                <w:szCs w:val="18"/>
              </w:rPr>
              <w:t>43</w:t>
            </w:r>
            <w:r w:rsidRPr="00443121">
              <w:rPr>
                <w:rFonts w:ascii="Arial" w:hAnsi="Arial" w:cs="Arial"/>
                <w:color w:val="000000"/>
                <w:sz w:val="18"/>
                <w:szCs w:val="18"/>
              </w:rPr>
              <w:t xml:space="preserve"> W</w:t>
            </w:r>
          </w:p>
        </w:tc>
        <w:tc>
          <w:tcPr>
            <w:tcW w:w="2354" w:type="dxa"/>
            <w:tcBorders>
              <w:top w:val="single" w:sz="6" w:space="0" w:color="000000"/>
              <w:left w:val="single" w:sz="6" w:space="0" w:color="000000"/>
              <w:bottom w:val="single" w:sz="6" w:space="0" w:color="000000"/>
              <w:right w:val="single" w:sz="6" w:space="0" w:color="000000"/>
            </w:tcBorders>
          </w:tcPr>
          <w:p w14:paraId="6E0C130F" w14:textId="77777777" w:rsidR="000A3B2B" w:rsidRDefault="000A3B2B" w:rsidP="00443121">
            <w:pPr>
              <w:autoSpaceDE w:val="0"/>
              <w:autoSpaceDN w:val="0"/>
              <w:adjustRightInd w:val="0"/>
              <w:spacing w:after="0" w:line="240" w:lineRule="auto"/>
              <w:rPr>
                <w:rFonts w:ascii="Arial" w:hAnsi="Arial" w:cs="Arial"/>
                <w:sz w:val="24"/>
                <w:szCs w:val="24"/>
                <w:lang w:val="x-none"/>
              </w:rPr>
            </w:pPr>
          </w:p>
        </w:tc>
      </w:tr>
      <w:tr w:rsidR="000A3B2B" w14:paraId="35654B8D" w14:textId="77777777">
        <w:trPr>
          <w:trHeight w:val="60"/>
          <w:tblCellSpacing w:w="0" w:type="dxa"/>
        </w:trPr>
        <w:tc>
          <w:tcPr>
            <w:tcW w:w="442" w:type="dxa"/>
            <w:tcBorders>
              <w:top w:val="single" w:sz="6" w:space="0" w:color="000000"/>
              <w:left w:val="single" w:sz="6" w:space="0" w:color="000000"/>
              <w:bottom w:val="single" w:sz="6" w:space="0" w:color="000000"/>
              <w:right w:val="single" w:sz="6" w:space="0" w:color="000000"/>
            </w:tcBorders>
          </w:tcPr>
          <w:p w14:paraId="2DA073A0" w14:textId="77777777" w:rsidR="000A3B2B" w:rsidRPr="00443121" w:rsidRDefault="000A3B2B">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9</w:t>
            </w:r>
          </w:p>
        </w:tc>
        <w:tc>
          <w:tcPr>
            <w:tcW w:w="3526" w:type="dxa"/>
            <w:tcBorders>
              <w:top w:val="single" w:sz="6" w:space="0" w:color="000000"/>
              <w:left w:val="single" w:sz="6" w:space="0" w:color="000000"/>
              <w:bottom w:val="single" w:sz="6" w:space="0" w:color="000000"/>
              <w:right w:val="single" w:sz="6" w:space="0" w:color="000000"/>
            </w:tcBorders>
          </w:tcPr>
          <w:p w14:paraId="7F8094E4" w14:textId="77777777" w:rsidR="000A3B2B" w:rsidRDefault="000A3B2B" w:rsidP="00443121">
            <w:pPr>
              <w:spacing w:after="0"/>
            </w:pPr>
            <w:r>
              <w:rPr>
                <w:rFonts w:ascii="Arial" w:hAnsi="Arial" w:cs="Arial"/>
                <w:color w:val="000000"/>
                <w:sz w:val="18"/>
                <w:szCs w:val="18"/>
              </w:rPr>
              <w:t xml:space="preserve">Oprawa </w:t>
            </w:r>
            <w:r>
              <w:t>RA 16 LED 18W 2450 lm 4000K 250-22</w:t>
            </w:r>
          </w:p>
          <w:p w14:paraId="02DCF1E2" w14:textId="77777777" w:rsidR="000A3B2B" w:rsidRPr="00443121" w:rsidRDefault="000A3B2B">
            <w:pPr>
              <w:autoSpaceDE w:val="0"/>
              <w:autoSpaceDN w:val="0"/>
              <w:adjustRightInd w:val="0"/>
              <w:spacing w:after="0" w:line="240" w:lineRule="auto"/>
              <w:rPr>
                <w:rFonts w:ascii="Arial" w:hAnsi="Arial" w:cs="Arial"/>
                <w:color w:val="000000"/>
                <w:sz w:val="18"/>
                <w:szCs w:val="18"/>
              </w:rPr>
            </w:pPr>
          </w:p>
        </w:tc>
        <w:tc>
          <w:tcPr>
            <w:tcW w:w="690" w:type="dxa"/>
            <w:tcBorders>
              <w:top w:val="single" w:sz="6" w:space="0" w:color="000000"/>
              <w:left w:val="single" w:sz="6" w:space="0" w:color="000000"/>
              <w:bottom w:val="single" w:sz="6" w:space="0" w:color="000000"/>
              <w:right w:val="single" w:sz="6" w:space="0" w:color="000000"/>
            </w:tcBorders>
          </w:tcPr>
          <w:p w14:paraId="713812BC"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lang w:val="x-none"/>
              </w:rPr>
              <w:t>szt.</w:t>
            </w:r>
          </w:p>
        </w:tc>
        <w:tc>
          <w:tcPr>
            <w:tcW w:w="690" w:type="dxa"/>
            <w:tcBorders>
              <w:top w:val="single" w:sz="6" w:space="0" w:color="000000"/>
              <w:left w:val="single" w:sz="6" w:space="0" w:color="000000"/>
              <w:bottom w:val="single" w:sz="6" w:space="0" w:color="000000"/>
              <w:right w:val="single" w:sz="6" w:space="0" w:color="000000"/>
            </w:tcBorders>
          </w:tcPr>
          <w:p w14:paraId="0F33B9E0" w14:textId="77777777" w:rsidR="000A3B2B" w:rsidRPr="00443121" w:rsidRDefault="000A3B2B">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6</w:t>
            </w:r>
          </w:p>
        </w:tc>
        <w:tc>
          <w:tcPr>
            <w:tcW w:w="1650" w:type="dxa"/>
            <w:tcBorders>
              <w:top w:val="single" w:sz="6" w:space="0" w:color="000000"/>
              <w:left w:val="single" w:sz="6" w:space="0" w:color="000000"/>
              <w:bottom w:val="single" w:sz="6" w:space="0" w:color="000000"/>
              <w:right w:val="single" w:sz="6" w:space="0" w:color="000000"/>
            </w:tcBorders>
          </w:tcPr>
          <w:p w14:paraId="4E6E8F6E" w14:textId="77777777" w:rsidR="000A3B2B" w:rsidRDefault="000A3B2B" w:rsidP="00443121">
            <w:pPr>
              <w:autoSpaceDE w:val="0"/>
              <w:autoSpaceDN w:val="0"/>
              <w:adjustRightInd w:val="0"/>
              <w:spacing w:after="0" w:line="240" w:lineRule="auto"/>
              <w:jc w:val="center"/>
              <w:rPr>
                <w:rFonts w:ascii="Arial" w:hAnsi="Arial" w:cs="Arial"/>
                <w:sz w:val="24"/>
                <w:szCs w:val="24"/>
                <w:lang w:val="x-none"/>
              </w:rPr>
            </w:pPr>
            <w:r>
              <w:rPr>
                <w:rFonts w:ascii="Arial" w:hAnsi="Arial" w:cs="Arial"/>
                <w:color w:val="000000"/>
                <w:sz w:val="18"/>
                <w:szCs w:val="18"/>
              </w:rPr>
              <w:t>18</w:t>
            </w:r>
            <w:r w:rsidRPr="00443121">
              <w:rPr>
                <w:rFonts w:ascii="Arial" w:hAnsi="Arial" w:cs="Arial"/>
                <w:color w:val="000000"/>
                <w:sz w:val="18"/>
                <w:szCs w:val="18"/>
              </w:rPr>
              <w:t xml:space="preserve"> W</w:t>
            </w:r>
          </w:p>
        </w:tc>
        <w:tc>
          <w:tcPr>
            <w:tcW w:w="2354" w:type="dxa"/>
            <w:tcBorders>
              <w:top w:val="single" w:sz="6" w:space="0" w:color="000000"/>
              <w:left w:val="single" w:sz="6" w:space="0" w:color="000000"/>
              <w:bottom w:val="single" w:sz="6" w:space="0" w:color="000000"/>
              <w:right w:val="single" w:sz="6" w:space="0" w:color="000000"/>
            </w:tcBorders>
          </w:tcPr>
          <w:p w14:paraId="02814CA0" w14:textId="77777777" w:rsidR="000A3B2B" w:rsidRDefault="000A3B2B">
            <w:pPr>
              <w:autoSpaceDE w:val="0"/>
              <w:autoSpaceDN w:val="0"/>
              <w:adjustRightInd w:val="0"/>
              <w:spacing w:after="0" w:line="240" w:lineRule="auto"/>
              <w:rPr>
                <w:rFonts w:ascii="Arial" w:hAnsi="Arial" w:cs="Arial"/>
                <w:sz w:val="24"/>
                <w:szCs w:val="24"/>
                <w:lang w:val="x-none"/>
              </w:rPr>
            </w:pPr>
          </w:p>
        </w:tc>
      </w:tr>
      <w:tr w:rsidR="000A3B2B" w14:paraId="48B3C470" w14:textId="77777777">
        <w:trPr>
          <w:trHeight w:val="60"/>
          <w:tblCellSpacing w:w="0" w:type="dxa"/>
        </w:trPr>
        <w:tc>
          <w:tcPr>
            <w:tcW w:w="442" w:type="dxa"/>
            <w:tcBorders>
              <w:top w:val="single" w:sz="6" w:space="0" w:color="000000"/>
              <w:left w:val="single" w:sz="6" w:space="0" w:color="000000"/>
              <w:bottom w:val="single" w:sz="6" w:space="0" w:color="000000"/>
              <w:right w:val="single" w:sz="6" w:space="0" w:color="000000"/>
            </w:tcBorders>
          </w:tcPr>
          <w:p w14:paraId="0A102743" w14:textId="77777777" w:rsidR="000A3B2B" w:rsidRPr="00443121" w:rsidRDefault="000A3B2B">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10</w:t>
            </w:r>
          </w:p>
        </w:tc>
        <w:tc>
          <w:tcPr>
            <w:tcW w:w="3526" w:type="dxa"/>
            <w:tcBorders>
              <w:top w:val="single" w:sz="6" w:space="0" w:color="000000"/>
              <w:left w:val="single" w:sz="6" w:space="0" w:color="000000"/>
              <w:bottom w:val="single" w:sz="6" w:space="0" w:color="000000"/>
              <w:right w:val="single" w:sz="6" w:space="0" w:color="000000"/>
            </w:tcBorders>
          </w:tcPr>
          <w:p w14:paraId="28BEE0F3" w14:textId="77777777" w:rsidR="000A3B2B" w:rsidRPr="00443121" w:rsidRDefault="000A3B2B" w:rsidP="00443121">
            <w:pPr>
              <w:spacing w:after="0"/>
            </w:pPr>
            <w:r>
              <w:rPr>
                <w:rFonts w:ascii="Arial" w:hAnsi="Arial" w:cs="Arial"/>
                <w:color w:val="000000"/>
                <w:sz w:val="18"/>
                <w:szCs w:val="18"/>
              </w:rPr>
              <w:t xml:space="preserve">Oprawa </w:t>
            </w:r>
            <w:r w:rsidRPr="00443121">
              <w:t>LATTE IP54 LED 4000K PX1789008, 3010</w:t>
            </w:r>
            <w:r>
              <w:t xml:space="preserve"> l</w:t>
            </w:r>
            <w:r w:rsidRPr="00443121">
              <w:t xml:space="preserve">m </w:t>
            </w:r>
          </w:p>
          <w:p w14:paraId="3DC8992D" w14:textId="77777777" w:rsidR="000A3B2B" w:rsidRPr="00443121" w:rsidRDefault="000A3B2B">
            <w:pPr>
              <w:autoSpaceDE w:val="0"/>
              <w:autoSpaceDN w:val="0"/>
              <w:adjustRightInd w:val="0"/>
              <w:spacing w:after="0" w:line="240" w:lineRule="auto"/>
              <w:rPr>
                <w:rFonts w:ascii="Arial" w:hAnsi="Arial" w:cs="Arial"/>
                <w:color w:val="000000"/>
                <w:sz w:val="18"/>
                <w:szCs w:val="18"/>
              </w:rPr>
            </w:pPr>
          </w:p>
        </w:tc>
        <w:tc>
          <w:tcPr>
            <w:tcW w:w="690" w:type="dxa"/>
            <w:tcBorders>
              <w:top w:val="single" w:sz="6" w:space="0" w:color="000000"/>
              <w:left w:val="single" w:sz="6" w:space="0" w:color="000000"/>
              <w:bottom w:val="single" w:sz="6" w:space="0" w:color="000000"/>
              <w:right w:val="single" w:sz="6" w:space="0" w:color="000000"/>
            </w:tcBorders>
          </w:tcPr>
          <w:p w14:paraId="53A93773" w14:textId="77777777" w:rsidR="000A3B2B" w:rsidRPr="00443121" w:rsidRDefault="000A3B2B">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xml:space="preserve">Szt. </w:t>
            </w:r>
          </w:p>
        </w:tc>
        <w:tc>
          <w:tcPr>
            <w:tcW w:w="690" w:type="dxa"/>
            <w:tcBorders>
              <w:top w:val="single" w:sz="6" w:space="0" w:color="000000"/>
              <w:left w:val="single" w:sz="6" w:space="0" w:color="000000"/>
              <w:bottom w:val="single" w:sz="6" w:space="0" w:color="000000"/>
              <w:right w:val="single" w:sz="6" w:space="0" w:color="000000"/>
            </w:tcBorders>
          </w:tcPr>
          <w:p w14:paraId="1DC12A65" w14:textId="77777777" w:rsidR="000A3B2B" w:rsidRPr="00443121" w:rsidRDefault="000A3B2B">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1</w:t>
            </w:r>
          </w:p>
        </w:tc>
        <w:tc>
          <w:tcPr>
            <w:tcW w:w="1650" w:type="dxa"/>
            <w:tcBorders>
              <w:top w:val="single" w:sz="6" w:space="0" w:color="000000"/>
              <w:left w:val="single" w:sz="6" w:space="0" w:color="000000"/>
              <w:bottom w:val="single" w:sz="6" w:space="0" w:color="000000"/>
              <w:right w:val="single" w:sz="6" w:space="0" w:color="000000"/>
            </w:tcBorders>
          </w:tcPr>
          <w:p w14:paraId="16842296" w14:textId="77777777" w:rsidR="000A3B2B" w:rsidRPr="00443121" w:rsidRDefault="000A3B2B" w:rsidP="00443121">
            <w:pPr>
              <w:autoSpaceDE w:val="0"/>
              <w:autoSpaceDN w:val="0"/>
              <w:adjustRightInd w:val="0"/>
              <w:spacing w:after="0" w:line="240" w:lineRule="auto"/>
              <w:jc w:val="center"/>
              <w:rPr>
                <w:rFonts w:ascii="Arial" w:hAnsi="Arial" w:cs="Arial"/>
                <w:sz w:val="24"/>
                <w:szCs w:val="24"/>
              </w:rPr>
            </w:pPr>
            <w:r w:rsidRPr="00443121">
              <w:rPr>
                <w:rFonts w:ascii="Arial" w:hAnsi="Arial" w:cs="Arial"/>
                <w:color w:val="000000"/>
                <w:sz w:val="18"/>
                <w:szCs w:val="18"/>
              </w:rPr>
              <w:t>24 W</w:t>
            </w:r>
          </w:p>
        </w:tc>
        <w:tc>
          <w:tcPr>
            <w:tcW w:w="2354" w:type="dxa"/>
            <w:tcBorders>
              <w:top w:val="single" w:sz="6" w:space="0" w:color="000000"/>
              <w:left w:val="single" w:sz="6" w:space="0" w:color="000000"/>
              <w:bottom w:val="single" w:sz="6" w:space="0" w:color="000000"/>
              <w:right w:val="single" w:sz="6" w:space="0" w:color="000000"/>
            </w:tcBorders>
          </w:tcPr>
          <w:p w14:paraId="662F8951" w14:textId="77777777" w:rsidR="000A3B2B" w:rsidRDefault="000A3B2B">
            <w:pPr>
              <w:autoSpaceDE w:val="0"/>
              <w:autoSpaceDN w:val="0"/>
              <w:adjustRightInd w:val="0"/>
              <w:spacing w:after="0" w:line="240" w:lineRule="auto"/>
              <w:jc w:val="center"/>
              <w:rPr>
                <w:rFonts w:ascii="Arial" w:hAnsi="Arial" w:cs="Arial"/>
                <w:color w:val="000000"/>
                <w:sz w:val="18"/>
                <w:szCs w:val="18"/>
                <w:lang w:val="x-none"/>
              </w:rPr>
            </w:pPr>
          </w:p>
        </w:tc>
      </w:tr>
      <w:tr w:rsidR="000A3B2B" w14:paraId="5068AFC1" w14:textId="77777777">
        <w:trPr>
          <w:trHeight w:val="60"/>
          <w:tblCellSpacing w:w="0" w:type="dxa"/>
        </w:trPr>
        <w:tc>
          <w:tcPr>
            <w:tcW w:w="442" w:type="dxa"/>
            <w:tcBorders>
              <w:top w:val="single" w:sz="6" w:space="0" w:color="000000"/>
              <w:left w:val="single" w:sz="6" w:space="0" w:color="000000"/>
              <w:bottom w:val="single" w:sz="6" w:space="0" w:color="000000"/>
              <w:right w:val="single" w:sz="6" w:space="0" w:color="000000"/>
            </w:tcBorders>
          </w:tcPr>
          <w:p w14:paraId="3383D8A0" w14:textId="77777777" w:rsidR="000A3B2B" w:rsidRDefault="000A3B2B" w:rsidP="00443121">
            <w:pPr>
              <w:autoSpaceDE w:val="0"/>
              <w:autoSpaceDN w:val="0"/>
              <w:adjustRightInd w:val="0"/>
              <w:spacing w:after="0" w:line="240" w:lineRule="auto"/>
              <w:jc w:val="center"/>
              <w:rPr>
                <w:rFonts w:ascii="Arial" w:hAnsi="Arial" w:cs="Arial"/>
                <w:color w:val="000000"/>
                <w:sz w:val="18"/>
                <w:szCs w:val="18"/>
                <w:lang w:val="x-none"/>
              </w:rPr>
            </w:pPr>
            <w:r>
              <w:rPr>
                <w:rFonts w:ascii="Arial" w:hAnsi="Arial" w:cs="Arial"/>
                <w:color w:val="000000"/>
                <w:sz w:val="18"/>
                <w:szCs w:val="18"/>
              </w:rPr>
              <w:t>11</w:t>
            </w:r>
          </w:p>
        </w:tc>
        <w:tc>
          <w:tcPr>
            <w:tcW w:w="3526" w:type="dxa"/>
            <w:tcBorders>
              <w:top w:val="single" w:sz="6" w:space="0" w:color="000000"/>
              <w:left w:val="single" w:sz="6" w:space="0" w:color="000000"/>
              <w:bottom w:val="single" w:sz="6" w:space="0" w:color="000000"/>
              <w:right w:val="single" w:sz="6" w:space="0" w:color="000000"/>
            </w:tcBorders>
          </w:tcPr>
          <w:p w14:paraId="641A4718" w14:textId="77777777" w:rsidR="000A3B2B" w:rsidRDefault="000A3B2B" w:rsidP="00443121">
            <w:pPr>
              <w:autoSpaceDE w:val="0"/>
              <w:autoSpaceDN w:val="0"/>
              <w:adjustRightInd w:val="0"/>
              <w:spacing w:after="0" w:line="240" w:lineRule="auto"/>
              <w:rPr>
                <w:rFonts w:ascii="Arial" w:hAnsi="Arial" w:cs="Arial"/>
                <w:sz w:val="24"/>
                <w:szCs w:val="24"/>
                <w:lang w:val="x-none"/>
              </w:rPr>
            </w:pPr>
            <w:r>
              <w:t>Naświetlacz LED PIXEL 96W 112801m CL235643.312</w:t>
            </w:r>
          </w:p>
        </w:tc>
        <w:tc>
          <w:tcPr>
            <w:tcW w:w="690" w:type="dxa"/>
            <w:tcBorders>
              <w:top w:val="single" w:sz="6" w:space="0" w:color="000000"/>
              <w:left w:val="single" w:sz="6" w:space="0" w:color="000000"/>
              <w:bottom w:val="single" w:sz="6" w:space="0" w:color="000000"/>
              <w:right w:val="single" w:sz="6" w:space="0" w:color="000000"/>
            </w:tcBorders>
          </w:tcPr>
          <w:p w14:paraId="5F263CCF" w14:textId="77777777" w:rsidR="000A3B2B" w:rsidRDefault="000A3B2B" w:rsidP="00443121">
            <w:pPr>
              <w:autoSpaceDE w:val="0"/>
              <w:autoSpaceDN w:val="0"/>
              <w:adjustRightInd w:val="0"/>
              <w:spacing w:after="0" w:line="240" w:lineRule="auto"/>
              <w:jc w:val="center"/>
              <w:rPr>
                <w:rFonts w:ascii="Arial" w:hAnsi="Arial" w:cs="Arial"/>
                <w:sz w:val="24"/>
                <w:szCs w:val="24"/>
                <w:lang w:val="x-none"/>
              </w:rPr>
            </w:pPr>
            <w:r>
              <w:rPr>
                <w:rFonts w:ascii="Arial" w:hAnsi="Arial" w:cs="Arial"/>
                <w:color w:val="000000"/>
                <w:sz w:val="18"/>
                <w:szCs w:val="18"/>
              </w:rPr>
              <w:t>Szt.</w:t>
            </w:r>
          </w:p>
        </w:tc>
        <w:tc>
          <w:tcPr>
            <w:tcW w:w="690" w:type="dxa"/>
            <w:tcBorders>
              <w:top w:val="single" w:sz="6" w:space="0" w:color="000000"/>
              <w:left w:val="single" w:sz="6" w:space="0" w:color="000000"/>
              <w:bottom w:val="single" w:sz="6" w:space="0" w:color="000000"/>
              <w:right w:val="single" w:sz="6" w:space="0" w:color="000000"/>
            </w:tcBorders>
          </w:tcPr>
          <w:p w14:paraId="58F7A9EA" w14:textId="77777777" w:rsidR="000A3B2B" w:rsidRDefault="000A3B2B" w:rsidP="00443121">
            <w:pPr>
              <w:autoSpaceDE w:val="0"/>
              <w:autoSpaceDN w:val="0"/>
              <w:adjustRightInd w:val="0"/>
              <w:spacing w:after="0" w:line="240" w:lineRule="auto"/>
              <w:jc w:val="center"/>
              <w:rPr>
                <w:rFonts w:ascii="Arial" w:hAnsi="Arial" w:cs="Arial"/>
                <w:sz w:val="24"/>
                <w:szCs w:val="24"/>
                <w:lang w:val="x-none"/>
              </w:rPr>
            </w:pPr>
            <w:r>
              <w:rPr>
                <w:rFonts w:ascii="Arial" w:hAnsi="Arial" w:cs="Arial"/>
                <w:color w:val="000000"/>
                <w:sz w:val="18"/>
                <w:szCs w:val="18"/>
              </w:rPr>
              <w:t>6</w:t>
            </w:r>
          </w:p>
        </w:tc>
        <w:tc>
          <w:tcPr>
            <w:tcW w:w="1650" w:type="dxa"/>
            <w:tcBorders>
              <w:top w:val="single" w:sz="6" w:space="0" w:color="000000"/>
              <w:left w:val="single" w:sz="6" w:space="0" w:color="000000"/>
              <w:bottom w:val="single" w:sz="6" w:space="0" w:color="000000"/>
              <w:right w:val="single" w:sz="6" w:space="0" w:color="000000"/>
            </w:tcBorders>
          </w:tcPr>
          <w:p w14:paraId="303E523F" w14:textId="77777777" w:rsidR="000A3B2B" w:rsidRDefault="000A3B2B" w:rsidP="00443121">
            <w:pPr>
              <w:autoSpaceDE w:val="0"/>
              <w:autoSpaceDN w:val="0"/>
              <w:adjustRightInd w:val="0"/>
              <w:spacing w:after="0" w:line="240" w:lineRule="auto"/>
              <w:jc w:val="center"/>
              <w:rPr>
                <w:rFonts w:ascii="Arial" w:hAnsi="Arial" w:cs="Arial"/>
                <w:sz w:val="24"/>
                <w:szCs w:val="24"/>
                <w:lang w:val="x-none"/>
              </w:rPr>
            </w:pPr>
            <w:r>
              <w:rPr>
                <w:rFonts w:ascii="Arial" w:hAnsi="Arial" w:cs="Arial"/>
                <w:color w:val="000000"/>
                <w:sz w:val="18"/>
                <w:szCs w:val="18"/>
              </w:rPr>
              <w:t>96 W</w:t>
            </w:r>
          </w:p>
        </w:tc>
        <w:tc>
          <w:tcPr>
            <w:tcW w:w="2354" w:type="dxa"/>
            <w:tcBorders>
              <w:top w:val="single" w:sz="6" w:space="0" w:color="000000"/>
              <w:left w:val="single" w:sz="6" w:space="0" w:color="000000"/>
              <w:bottom w:val="single" w:sz="6" w:space="0" w:color="000000"/>
              <w:right w:val="single" w:sz="6" w:space="0" w:color="000000"/>
            </w:tcBorders>
          </w:tcPr>
          <w:p w14:paraId="61E6055D" w14:textId="77777777" w:rsidR="000A3B2B" w:rsidRDefault="000A3B2B" w:rsidP="00443121">
            <w:pPr>
              <w:autoSpaceDE w:val="0"/>
              <w:autoSpaceDN w:val="0"/>
              <w:adjustRightInd w:val="0"/>
              <w:spacing w:after="0" w:line="240" w:lineRule="auto"/>
              <w:rPr>
                <w:rFonts w:ascii="Arial" w:hAnsi="Arial" w:cs="Arial"/>
                <w:sz w:val="24"/>
                <w:szCs w:val="24"/>
                <w:lang w:val="x-none"/>
              </w:rPr>
            </w:pPr>
          </w:p>
        </w:tc>
      </w:tr>
    </w:tbl>
    <w:p w14:paraId="5B2B5953"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290EB9AB"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2.3.</w:t>
      </w:r>
      <w:r>
        <w:rPr>
          <w:rFonts w:ascii="Arial" w:hAnsi="Arial" w:cs="Arial"/>
          <w:b/>
          <w:bCs/>
          <w:color w:val="000000"/>
          <w:sz w:val="18"/>
          <w:szCs w:val="18"/>
          <w:lang w:val="x-none"/>
        </w:rPr>
        <w:tab/>
        <w:t>Warunki przyjęcia na budowę materiałów do robót montażowych</w:t>
      </w:r>
    </w:p>
    <w:p w14:paraId="34F599E8"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Wyroby do robót montażowych mogą być przyjęte na budowę, jeśli spełniają następujące warunki:</w:t>
      </w:r>
    </w:p>
    <w:p w14:paraId="4D1E2961"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są zgodne z ich wyszczególnieniem i charakterystyką podaną w dokumentacji projektowej i specyfikacji technicznej (szczegółowej) SST,</w:t>
      </w:r>
    </w:p>
    <w:p w14:paraId="19264EC0"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są właściwie oznakowane i opakowane,</w:t>
      </w:r>
    </w:p>
    <w:p w14:paraId="6DA7CD6D"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spełniają wymagane właściwości wskazane odpowiednimi dokumentami odniesienia,</w:t>
      </w:r>
    </w:p>
    <w:p w14:paraId="5980B8D8"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producent dostarczył dokumenty świadczące o dopuszczeniu do obrotu i powszechnego lub jednostkowego zastosowania, a w odniesieniu do fabrycznie przygotowanych prefabrykatów również karty katalogowe wyrobów lub firmowe wytyczne stosowania wyrobów.</w:t>
      </w:r>
    </w:p>
    <w:p w14:paraId="3A402630"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Niedopuszczalne jest stosowanie do robót montażowych – wyrobów i materiałów nieznanego pochodzenia.</w:t>
      </w:r>
    </w:p>
    <w:p w14:paraId="4A05D29C"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Przyjęcie materiałów i wyrobów na budowę powinno być potwierdzone wpisem do dziennika budowy.</w:t>
      </w:r>
    </w:p>
    <w:p w14:paraId="5C6D75F9"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p>
    <w:p w14:paraId="6E53C059"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2.4.</w:t>
      </w:r>
      <w:r>
        <w:rPr>
          <w:rFonts w:ascii="Arial" w:hAnsi="Arial" w:cs="Arial"/>
          <w:b/>
          <w:bCs/>
          <w:color w:val="000000"/>
          <w:sz w:val="18"/>
          <w:szCs w:val="18"/>
          <w:lang w:val="x-none"/>
        </w:rPr>
        <w:tab/>
        <w:t>Warunki przechowywania materiałów do montażu instalacji elektrycznych</w:t>
      </w:r>
    </w:p>
    <w:p w14:paraId="1E070FF1"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Wszystkie materiały pakowane powinny być przechowywane i magazynowane zgodnie z instrukcją producenta oraz wymaganiami odpowiednich norm.</w:t>
      </w:r>
    </w:p>
    <w:p w14:paraId="0FFB62E6"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 xml:space="preserve">W szczególności kable i przewody należy przechowywać na bębnach (oznaczenie „B”) lub w krążkach (oznaczenie „K”), końce przewodów producent zabezpiecza przed przedostawaniem się wilgoci do wewnątrz i wyprowadza poza opakowanie dla ułatwienia kontroli parametrów (ciągłość żył, przekrój). </w:t>
      </w:r>
    </w:p>
    <w:p w14:paraId="3A0DDCEF"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Pozostały sprzęt, osprzęt i oprawy oświetleniowe wraz z osprzętem pomocniczym należy przechowywać w oryginalnych opakowaniach, kartonach, opakowaniach foliowych. Szczególnie należy chronić przed wpływami atmosferycznymi: deszczem, mrozem oraz zawilgoceniem.</w:t>
      </w:r>
    </w:p>
    <w:p w14:paraId="40E18C53"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Pomieszczenie magazynowe do przechowywania wyrobów opakowanych powinno być suche i zabezpieczone przed zawilgoceniem.</w:t>
      </w:r>
    </w:p>
    <w:p w14:paraId="27D11B47"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p>
    <w:p w14:paraId="1C104571" w14:textId="77777777" w:rsidR="000A3B2B" w:rsidRDefault="000A3B2B" w:rsidP="009E5295">
      <w:pPr>
        <w:autoSpaceDE w:val="0"/>
        <w:autoSpaceDN w:val="0"/>
        <w:adjustRightInd w:val="0"/>
        <w:spacing w:before="225" w:after="12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3.</w:t>
      </w:r>
      <w:r>
        <w:rPr>
          <w:rFonts w:ascii="Arial" w:hAnsi="Arial" w:cs="Arial"/>
          <w:b/>
          <w:bCs/>
          <w:color w:val="000000"/>
          <w:sz w:val="18"/>
          <w:szCs w:val="18"/>
          <w:lang w:val="x-none"/>
        </w:rPr>
        <w:tab/>
        <w:t>WYMAGANIA DOTYCZĄCE SPRZĘTU, MASZYN I NARZĘDZI</w:t>
      </w:r>
    </w:p>
    <w:p w14:paraId="3744C0F1"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3.1.</w:t>
      </w:r>
      <w:r>
        <w:rPr>
          <w:rFonts w:ascii="Arial" w:hAnsi="Arial" w:cs="Arial"/>
          <w:b/>
          <w:bCs/>
          <w:color w:val="000000"/>
          <w:sz w:val="18"/>
          <w:szCs w:val="18"/>
          <w:lang w:val="x-none"/>
        </w:rPr>
        <w:tab/>
        <w:t>Ogólne wymagania dotyczące sprzętu podano w ST „Wymagania ogólne” Kod CPV 45000000-7, pkt 3</w:t>
      </w:r>
    </w:p>
    <w:p w14:paraId="63AA9C90"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Prace można wykonywać przy pomocy wszelkiego sprzętu zaakceptowanego przez Inspektora nadzoru.</w:t>
      </w:r>
    </w:p>
    <w:p w14:paraId="2345374D"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p>
    <w:p w14:paraId="31674989" w14:textId="77777777" w:rsidR="000A3B2B" w:rsidRDefault="000A3B2B" w:rsidP="009E5295">
      <w:pPr>
        <w:autoSpaceDE w:val="0"/>
        <w:autoSpaceDN w:val="0"/>
        <w:adjustRightInd w:val="0"/>
        <w:spacing w:before="225" w:after="12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4.</w:t>
      </w:r>
      <w:r>
        <w:rPr>
          <w:rFonts w:ascii="Arial" w:hAnsi="Arial" w:cs="Arial"/>
          <w:b/>
          <w:bCs/>
          <w:color w:val="000000"/>
          <w:sz w:val="18"/>
          <w:szCs w:val="18"/>
          <w:lang w:val="x-none"/>
        </w:rPr>
        <w:tab/>
        <w:t>WYMAGANIA DOTYCZĄCE TRANSPORTU</w:t>
      </w:r>
    </w:p>
    <w:p w14:paraId="627CC7F6"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4.1.</w:t>
      </w:r>
      <w:r>
        <w:rPr>
          <w:rFonts w:ascii="Arial" w:hAnsi="Arial" w:cs="Arial"/>
          <w:b/>
          <w:bCs/>
          <w:color w:val="000000"/>
          <w:sz w:val="18"/>
          <w:szCs w:val="18"/>
          <w:lang w:val="x-none"/>
        </w:rPr>
        <w:tab/>
        <w:t>Ogólne wymagania dotyczące transportu podano w ST „Wymagania ogólne” Kod CPV 45000000-7, pkt 4</w:t>
      </w:r>
    </w:p>
    <w:p w14:paraId="6810153C"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p>
    <w:p w14:paraId="4C0B9C14"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4.2.</w:t>
      </w:r>
      <w:r>
        <w:rPr>
          <w:rFonts w:ascii="Arial" w:hAnsi="Arial" w:cs="Arial"/>
          <w:b/>
          <w:bCs/>
          <w:color w:val="000000"/>
          <w:sz w:val="18"/>
          <w:szCs w:val="18"/>
          <w:lang w:val="x-none"/>
        </w:rPr>
        <w:tab/>
        <w:t xml:space="preserve">Transport materiałów </w:t>
      </w:r>
    </w:p>
    <w:p w14:paraId="746F79B6"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Podczas transportu materiałów ze składu </w:t>
      </w:r>
      <w:proofErr w:type="spellStart"/>
      <w:r>
        <w:rPr>
          <w:rFonts w:ascii="Arial" w:hAnsi="Arial" w:cs="Arial"/>
          <w:color w:val="000000"/>
          <w:sz w:val="18"/>
          <w:szCs w:val="18"/>
          <w:lang w:val="x-none"/>
        </w:rPr>
        <w:t>przyobiektowego</w:t>
      </w:r>
      <w:proofErr w:type="spellEnd"/>
      <w:r>
        <w:rPr>
          <w:rFonts w:ascii="Arial" w:hAnsi="Arial" w:cs="Arial"/>
          <w:color w:val="000000"/>
          <w:sz w:val="18"/>
          <w:szCs w:val="18"/>
          <w:lang w:val="x-none"/>
        </w:rPr>
        <w:t xml:space="preserve"> na obiekt należy zachować ostrożność aby nie uszkodzić materiałów do montażu. Minimalne temperatury dopuszczające wykonywanie transportu wynoszą dla bębnów: –15°C i –5°C dla krążków, ze względu na możliwość uszkodzenia izolacji.</w:t>
      </w:r>
    </w:p>
    <w:p w14:paraId="739D4223"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 xml:space="preserve">Należy stosować dodatkowe opakowania w przypadku możliwości uszkodzeń transportowych. </w:t>
      </w:r>
    </w:p>
    <w:p w14:paraId="72FF1ED7"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p>
    <w:p w14:paraId="404F0E20" w14:textId="77777777" w:rsidR="000A3B2B" w:rsidRDefault="000A3B2B" w:rsidP="009E5295">
      <w:pPr>
        <w:autoSpaceDE w:val="0"/>
        <w:autoSpaceDN w:val="0"/>
        <w:adjustRightInd w:val="0"/>
        <w:spacing w:before="225" w:after="12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5.</w:t>
      </w:r>
      <w:r>
        <w:rPr>
          <w:rFonts w:ascii="Arial" w:hAnsi="Arial" w:cs="Arial"/>
          <w:b/>
          <w:bCs/>
          <w:color w:val="000000"/>
          <w:sz w:val="18"/>
          <w:szCs w:val="18"/>
          <w:lang w:val="x-none"/>
        </w:rPr>
        <w:tab/>
        <w:t>WYMAGANIA DOTYCZĄCE WYKONANIA ROBÓT</w:t>
      </w:r>
    </w:p>
    <w:p w14:paraId="33DDAA62"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5.1.</w:t>
      </w:r>
      <w:r>
        <w:rPr>
          <w:rFonts w:ascii="Arial" w:hAnsi="Arial" w:cs="Arial"/>
          <w:b/>
          <w:bCs/>
          <w:color w:val="000000"/>
          <w:sz w:val="18"/>
          <w:szCs w:val="18"/>
          <w:lang w:val="x-none"/>
        </w:rPr>
        <w:tab/>
        <w:t>Ogólne zasady wykonania robót podano w ST „Wymagania ogólne” Kod CPV 45000000-7, pkt 5</w:t>
      </w:r>
    </w:p>
    <w:p w14:paraId="59DE3363"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Wykonawca jest odpowiedzialny za prowadzenie robót zgodnie z dokumentacją techniczną i umową oraz za jakość zastosowanych materiałów i jakość wykonanych robót.</w:t>
      </w:r>
    </w:p>
    <w:p w14:paraId="3C66493D"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Roboty winny być wykonane zgodnie z projektem, wymaganiami SST oraz poleceniami inspektora nadzoru.</w:t>
      </w:r>
    </w:p>
    <w:p w14:paraId="3B146EB2"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p>
    <w:p w14:paraId="19E76BB9"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5.2.</w:t>
      </w:r>
      <w:r>
        <w:rPr>
          <w:rFonts w:ascii="Arial" w:hAnsi="Arial" w:cs="Arial"/>
          <w:b/>
          <w:bCs/>
          <w:color w:val="000000"/>
          <w:sz w:val="18"/>
          <w:szCs w:val="18"/>
          <w:lang w:val="x-none"/>
        </w:rPr>
        <w:tab/>
        <w:t>Montaż przewodów instalacji elektrycznych</w:t>
      </w:r>
    </w:p>
    <w:p w14:paraId="5E1C4F81"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Zakres robót obejmuje: </w:t>
      </w:r>
    </w:p>
    <w:p w14:paraId="7F22E3A6"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przemieszczenie w strefie montażowej,</w:t>
      </w:r>
    </w:p>
    <w:p w14:paraId="788444B2"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złożenie na miejscu montażu wg projektu,</w:t>
      </w:r>
    </w:p>
    <w:p w14:paraId="054C685D"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wyznaczenie miejsca zainstalowania, trasowanie linii przebiegu instalacji i miejsc montażu osprzętu,</w:t>
      </w:r>
    </w:p>
    <w:p w14:paraId="5F4C6976"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roboty przygotowawcze o charakterze ogólnobudowlanym jak: kucie bruzd w podłożu, przekucia ścian i stropów, osadzenie przepustów, zdejmowanie przykryć kanałów instalacyjnych, wykonanie ślepych otworów poprzez podkucie we wnęce albo kucie ręczne lub mechaniczne, wiercenie mechaniczne otworów w sufitach, ścianach lub podłożach,</w:t>
      </w:r>
    </w:p>
    <w:p w14:paraId="1176BE1E"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osadzenie kołków osadczych plastikowych oraz dybli, śrub kotwiących lub wsporników, konsoli, wieszaków wraz z zabetonowaniem,</w:t>
      </w:r>
    </w:p>
    <w:p w14:paraId="13684E1B"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montaż na gotowym podłożu elementów osprzętu instalacyjnego do montażu kabli i przewodów (pkt 2.2.2.),</w:t>
      </w:r>
    </w:p>
    <w:p w14:paraId="2389270B"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łuki z rur sztywnych należy wykonywać przy użyciu gotowych kolanek lub przez wyginanie rur w trakcie ich układania. Przy kształtowaniu łuku spłaszczenie rury nie może być większe niż 15% wewnętrznej średnicy rury. Najmniejsze dopuszczalne promienie łuku podane są w tablicy poniżej.</w:t>
      </w:r>
    </w:p>
    <w:p w14:paraId="5FABA48A" w14:textId="77777777" w:rsidR="000A3B2B" w:rsidRDefault="000A3B2B" w:rsidP="009E5295">
      <w:pPr>
        <w:autoSpaceDE w:val="0"/>
        <w:autoSpaceDN w:val="0"/>
        <w:adjustRightInd w:val="0"/>
        <w:spacing w:after="30" w:line="240" w:lineRule="auto"/>
        <w:ind w:firstLine="285"/>
        <w:jc w:val="both"/>
        <w:rPr>
          <w:rFonts w:ascii="Arial" w:hAnsi="Arial" w:cs="Arial"/>
          <w:b/>
          <w:bCs/>
          <w:color w:val="000000"/>
          <w:sz w:val="18"/>
          <w:szCs w:val="18"/>
          <w:lang w:val="x-none"/>
        </w:rPr>
      </w:pPr>
      <w:r>
        <w:rPr>
          <w:rFonts w:ascii="Arial" w:hAnsi="Arial" w:cs="Arial"/>
          <w:b/>
          <w:bCs/>
          <w:color w:val="000000"/>
          <w:sz w:val="18"/>
          <w:szCs w:val="18"/>
          <w:lang w:val="x-none"/>
        </w:rPr>
        <w:t>Najmniejsze dopuszczalne promienie łuku</w:t>
      </w:r>
    </w:p>
    <w:tbl>
      <w:tblPr>
        <w:tblW w:w="0" w:type="auto"/>
        <w:tblCellSpacing w:w="0" w:type="dxa"/>
        <w:tblInd w:w="-8" w:type="dxa"/>
        <w:tblLayout w:type="fixed"/>
        <w:tblCellMar>
          <w:left w:w="0" w:type="dxa"/>
          <w:right w:w="0" w:type="dxa"/>
        </w:tblCellMar>
        <w:tblLook w:val="0000" w:firstRow="0" w:lastRow="0" w:firstColumn="0" w:lastColumn="0" w:noHBand="0" w:noVBand="0"/>
      </w:tblPr>
      <w:tblGrid>
        <w:gridCol w:w="2768"/>
        <w:gridCol w:w="690"/>
        <w:gridCol w:w="690"/>
        <w:gridCol w:w="690"/>
        <w:gridCol w:w="690"/>
        <w:gridCol w:w="690"/>
        <w:gridCol w:w="690"/>
      </w:tblGrid>
      <w:tr w:rsidR="000A3B2B" w14:paraId="1D9D31C7" w14:textId="77777777">
        <w:trPr>
          <w:trHeight w:val="60"/>
          <w:tblCellSpacing w:w="0" w:type="dxa"/>
        </w:trPr>
        <w:tc>
          <w:tcPr>
            <w:tcW w:w="2768" w:type="dxa"/>
            <w:tcBorders>
              <w:top w:val="single" w:sz="6" w:space="0" w:color="000000"/>
              <w:left w:val="single" w:sz="6" w:space="0" w:color="000000"/>
              <w:bottom w:val="single" w:sz="6" w:space="0" w:color="000000"/>
              <w:right w:val="single" w:sz="6" w:space="0" w:color="000000"/>
            </w:tcBorders>
            <w:vAlign w:val="center"/>
          </w:tcPr>
          <w:p w14:paraId="56D43047"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Średnica znamionowa rury (mm)</w:t>
            </w:r>
          </w:p>
        </w:tc>
        <w:tc>
          <w:tcPr>
            <w:tcW w:w="690" w:type="dxa"/>
            <w:tcBorders>
              <w:top w:val="single" w:sz="6" w:space="0" w:color="000000"/>
              <w:left w:val="single" w:sz="6" w:space="0" w:color="000000"/>
              <w:bottom w:val="single" w:sz="6" w:space="0" w:color="000000"/>
              <w:right w:val="single" w:sz="6" w:space="0" w:color="000000"/>
            </w:tcBorders>
            <w:vAlign w:val="center"/>
          </w:tcPr>
          <w:p w14:paraId="254CEE15"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18</w:t>
            </w:r>
          </w:p>
        </w:tc>
        <w:tc>
          <w:tcPr>
            <w:tcW w:w="690" w:type="dxa"/>
            <w:tcBorders>
              <w:top w:val="single" w:sz="6" w:space="0" w:color="000000"/>
              <w:left w:val="single" w:sz="6" w:space="0" w:color="000000"/>
              <w:bottom w:val="single" w:sz="6" w:space="0" w:color="000000"/>
              <w:right w:val="single" w:sz="6" w:space="0" w:color="000000"/>
            </w:tcBorders>
            <w:vAlign w:val="center"/>
          </w:tcPr>
          <w:p w14:paraId="135670C0"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21</w:t>
            </w:r>
          </w:p>
        </w:tc>
        <w:tc>
          <w:tcPr>
            <w:tcW w:w="690" w:type="dxa"/>
            <w:tcBorders>
              <w:top w:val="single" w:sz="6" w:space="0" w:color="000000"/>
              <w:left w:val="single" w:sz="6" w:space="0" w:color="000000"/>
              <w:bottom w:val="single" w:sz="6" w:space="0" w:color="000000"/>
              <w:right w:val="single" w:sz="6" w:space="0" w:color="000000"/>
            </w:tcBorders>
            <w:vAlign w:val="center"/>
          </w:tcPr>
          <w:p w14:paraId="76303669"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22</w:t>
            </w:r>
          </w:p>
        </w:tc>
        <w:tc>
          <w:tcPr>
            <w:tcW w:w="690" w:type="dxa"/>
            <w:tcBorders>
              <w:top w:val="single" w:sz="6" w:space="0" w:color="000000"/>
              <w:left w:val="single" w:sz="6" w:space="0" w:color="000000"/>
              <w:bottom w:val="single" w:sz="6" w:space="0" w:color="000000"/>
              <w:right w:val="single" w:sz="6" w:space="0" w:color="000000"/>
            </w:tcBorders>
            <w:vAlign w:val="center"/>
          </w:tcPr>
          <w:p w14:paraId="32A450FB"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28</w:t>
            </w:r>
          </w:p>
        </w:tc>
        <w:tc>
          <w:tcPr>
            <w:tcW w:w="690" w:type="dxa"/>
            <w:tcBorders>
              <w:top w:val="single" w:sz="6" w:space="0" w:color="000000"/>
              <w:left w:val="single" w:sz="6" w:space="0" w:color="000000"/>
              <w:bottom w:val="single" w:sz="6" w:space="0" w:color="000000"/>
              <w:right w:val="single" w:sz="6" w:space="0" w:color="000000"/>
            </w:tcBorders>
            <w:vAlign w:val="center"/>
          </w:tcPr>
          <w:p w14:paraId="64C38A51"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37</w:t>
            </w:r>
          </w:p>
        </w:tc>
        <w:tc>
          <w:tcPr>
            <w:tcW w:w="690" w:type="dxa"/>
            <w:tcBorders>
              <w:top w:val="single" w:sz="6" w:space="0" w:color="000000"/>
              <w:left w:val="single" w:sz="6" w:space="0" w:color="000000"/>
              <w:bottom w:val="single" w:sz="6" w:space="0" w:color="000000"/>
              <w:right w:val="single" w:sz="6" w:space="0" w:color="000000"/>
            </w:tcBorders>
            <w:vAlign w:val="center"/>
          </w:tcPr>
          <w:p w14:paraId="3C9E3D29"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47</w:t>
            </w:r>
          </w:p>
        </w:tc>
      </w:tr>
      <w:tr w:rsidR="000A3B2B" w14:paraId="6DF664A9" w14:textId="77777777">
        <w:trPr>
          <w:trHeight w:val="60"/>
          <w:tblCellSpacing w:w="0" w:type="dxa"/>
        </w:trPr>
        <w:tc>
          <w:tcPr>
            <w:tcW w:w="2768" w:type="dxa"/>
            <w:tcBorders>
              <w:top w:val="single" w:sz="6" w:space="0" w:color="000000"/>
              <w:left w:val="single" w:sz="6" w:space="0" w:color="000000"/>
              <w:bottom w:val="single" w:sz="6" w:space="0" w:color="000000"/>
              <w:right w:val="single" w:sz="6" w:space="0" w:color="000000"/>
            </w:tcBorders>
            <w:vAlign w:val="center"/>
          </w:tcPr>
          <w:p w14:paraId="328B57A4"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Promień łuku (mm)</w:t>
            </w:r>
          </w:p>
        </w:tc>
        <w:tc>
          <w:tcPr>
            <w:tcW w:w="690" w:type="dxa"/>
            <w:tcBorders>
              <w:top w:val="single" w:sz="6" w:space="0" w:color="000000"/>
              <w:left w:val="single" w:sz="6" w:space="0" w:color="000000"/>
              <w:bottom w:val="single" w:sz="6" w:space="0" w:color="000000"/>
              <w:right w:val="single" w:sz="6" w:space="0" w:color="000000"/>
            </w:tcBorders>
            <w:vAlign w:val="center"/>
          </w:tcPr>
          <w:p w14:paraId="26ADF8D5"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190</w:t>
            </w:r>
          </w:p>
        </w:tc>
        <w:tc>
          <w:tcPr>
            <w:tcW w:w="690" w:type="dxa"/>
            <w:tcBorders>
              <w:top w:val="single" w:sz="6" w:space="0" w:color="000000"/>
              <w:left w:val="single" w:sz="6" w:space="0" w:color="000000"/>
              <w:bottom w:val="single" w:sz="6" w:space="0" w:color="000000"/>
              <w:right w:val="single" w:sz="6" w:space="0" w:color="000000"/>
            </w:tcBorders>
            <w:vAlign w:val="center"/>
          </w:tcPr>
          <w:p w14:paraId="7B2FDD70"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190</w:t>
            </w:r>
          </w:p>
        </w:tc>
        <w:tc>
          <w:tcPr>
            <w:tcW w:w="690" w:type="dxa"/>
            <w:tcBorders>
              <w:top w:val="single" w:sz="6" w:space="0" w:color="000000"/>
              <w:left w:val="single" w:sz="6" w:space="0" w:color="000000"/>
              <w:bottom w:val="single" w:sz="6" w:space="0" w:color="000000"/>
              <w:right w:val="single" w:sz="6" w:space="0" w:color="000000"/>
            </w:tcBorders>
            <w:vAlign w:val="center"/>
          </w:tcPr>
          <w:p w14:paraId="764F1EA0"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250</w:t>
            </w:r>
          </w:p>
        </w:tc>
        <w:tc>
          <w:tcPr>
            <w:tcW w:w="690" w:type="dxa"/>
            <w:tcBorders>
              <w:top w:val="single" w:sz="6" w:space="0" w:color="000000"/>
              <w:left w:val="single" w:sz="6" w:space="0" w:color="000000"/>
              <w:bottom w:val="single" w:sz="6" w:space="0" w:color="000000"/>
              <w:right w:val="single" w:sz="6" w:space="0" w:color="000000"/>
            </w:tcBorders>
            <w:vAlign w:val="center"/>
          </w:tcPr>
          <w:p w14:paraId="5456D397"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250</w:t>
            </w:r>
          </w:p>
        </w:tc>
        <w:tc>
          <w:tcPr>
            <w:tcW w:w="690" w:type="dxa"/>
            <w:tcBorders>
              <w:top w:val="single" w:sz="6" w:space="0" w:color="000000"/>
              <w:left w:val="single" w:sz="6" w:space="0" w:color="000000"/>
              <w:bottom w:val="single" w:sz="6" w:space="0" w:color="000000"/>
              <w:right w:val="single" w:sz="6" w:space="0" w:color="000000"/>
            </w:tcBorders>
            <w:vAlign w:val="center"/>
          </w:tcPr>
          <w:p w14:paraId="22001E40"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350</w:t>
            </w:r>
          </w:p>
        </w:tc>
        <w:tc>
          <w:tcPr>
            <w:tcW w:w="690" w:type="dxa"/>
            <w:tcBorders>
              <w:top w:val="single" w:sz="6" w:space="0" w:color="000000"/>
              <w:left w:val="single" w:sz="6" w:space="0" w:color="000000"/>
              <w:bottom w:val="single" w:sz="6" w:space="0" w:color="000000"/>
              <w:right w:val="single" w:sz="6" w:space="0" w:color="000000"/>
            </w:tcBorders>
            <w:vAlign w:val="center"/>
          </w:tcPr>
          <w:p w14:paraId="79954148"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450</w:t>
            </w:r>
          </w:p>
        </w:tc>
      </w:tr>
    </w:tbl>
    <w:p w14:paraId="20808AD4"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łączenie rur należy wykonać za pomocą przewidzianych do tego celu złączek (lub przez </w:t>
      </w:r>
      <w:proofErr w:type="spellStart"/>
      <w:r>
        <w:rPr>
          <w:rFonts w:ascii="Arial" w:hAnsi="Arial" w:cs="Arial"/>
          <w:color w:val="000000"/>
          <w:sz w:val="18"/>
          <w:szCs w:val="18"/>
          <w:lang w:val="x-none"/>
        </w:rPr>
        <w:t>kielichowanie</w:t>
      </w:r>
      <w:proofErr w:type="spellEnd"/>
      <w:r>
        <w:rPr>
          <w:rFonts w:ascii="Arial" w:hAnsi="Arial" w:cs="Arial"/>
          <w:color w:val="000000"/>
          <w:sz w:val="18"/>
          <w:szCs w:val="18"/>
          <w:lang w:val="x-none"/>
        </w:rPr>
        <w:t>),</w:t>
      </w:r>
    </w:p>
    <w:p w14:paraId="7E5A9BFD"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puszki powinny być osadzone na takiej głębokości, aby ich górna (zewnętrzna) krawędź po otynkowaniu ściany była zrównana (zlicowana) z tynkiem,</w:t>
      </w:r>
    </w:p>
    <w:p w14:paraId="751F22DB"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przed zainstalowaniem należy w puszce wyciąć wymaganą liczbę otworów dostosowanych do średnicy wprowadzanych rur,</w:t>
      </w:r>
    </w:p>
    <w:p w14:paraId="468925C4"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koniec rury powinien wchodzić do środka puszki na głębokość do 5 mm,</w:t>
      </w:r>
    </w:p>
    <w:p w14:paraId="167AB3EF"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wciąganie do rur instalacyjnych i kanałów zakrytych drutu stalowego o średnicy 1,0 do 1,2 mm dla ułatwienia wciągania kabli i przewodów wg dokumentacji projektowej i specyfikacji technicznej (szczegółowej) SST, układanie (montaż) kabli i przewodów zgodne z ich wyszczególnieniem i charakterystyką podaną w dokumentacji projektowej i specyfikacji technicznej (szczegółowej) SST. W przypadku łatwości wciągania kabli i przewodów, wciąganie drutu prowadzącego, stalowego nie jest konieczne. Przewody muszą być ułożone swobodnie i nie mogą być narażone na naciągi i dodatkowe naprężenia,</w:t>
      </w:r>
    </w:p>
    <w:p w14:paraId="7C55A898"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oznakowanie zgodne wytycznymi z dokumentacji projektowej i specyfikacji technicznej (szczegółowej) SST lub normami (PN-EN 60446:2008 wersja angielska Zasady podstawowe i bezpieczeństwa przy współdziałaniu człowieka z maszyną, oznaczanie i identyfikacja. Oznaczenia identyfikacyjne przewodów barwami albo cyframi, w przypadku braku takich wytycznych),</w:t>
      </w:r>
    </w:p>
    <w:p w14:paraId="7D31C813"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roboty o charakterze ogólnobudowlanym po montażu kabli i przewodów jak: zaprawianie bruzd, naprawa ścian i stropów po przekuciach i osadzeniu przepustów, montaż przykryć kanałów instalacyjnych,</w:t>
      </w:r>
    </w:p>
    <w:p w14:paraId="79D580A7"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przeprowadzenie prób i badań zgodnie z PN-HD 60364 oraz PN-E-04700:1998/Az1:2000. </w:t>
      </w:r>
    </w:p>
    <w:p w14:paraId="0EB57B56"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63493EAC"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5.3.</w:t>
      </w:r>
      <w:r>
        <w:rPr>
          <w:rFonts w:ascii="Arial" w:hAnsi="Arial" w:cs="Arial"/>
          <w:b/>
          <w:bCs/>
          <w:color w:val="000000"/>
          <w:sz w:val="18"/>
          <w:szCs w:val="18"/>
          <w:lang w:val="x-none"/>
        </w:rPr>
        <w:tab/>
        <w:t>Montaż opraw oświetleniowych i sprzętu instalacyjnego, urządzeń i odbiorników energii elektrycznej</w:t>
      </w:r>
    </w:p>
    <w:p w14:paraId="0BF641AD"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Te elementy instalacji montować w końcowej fazie robót, aby uniknąć niepotrzebnych zniszczeń i zabrudzeń. Oprawy do stropu montować wkrętami zabezpieczonymi antykorozyjnie na kołkach rozporowych plastikowych. Ta sama uwaga dotyczy sprzętu instalacyjnego, urządzeń i odbiorników energii elektrycznej montowanego na ścianach.</w:t>
      </w:r>
    </w:p>
    <w:p w14:paraId="014240A0"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Przed zamocowaniem opraw należy dokonać kompletacji oraz sprawdzić ich działanie i prawidłowość połączeń.</w:t>
      </w:r>
    </w:p>
    <w:p w14:paraId="65B5E522"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Źródła światła i zapłonniki do opraw należy zamontować po całkowitym zainstalowaniu opraw.</w:t>
      </w:r>
    </w:p>
    <w:p w14:paraId="0E242D3C"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Należy zapewnić równomierne obciążenie faz linii zasilających przez odpowiednie przyłączanie odbiorów 1-fazowych.</w:t>
      </w:r>
    </w:p>
    <w:p w14:paraId="1CE81A9C"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Mocowanie puszek w ścianach i gniazd wtykowych w puszkach powinno zapewniać niezbędną wytrzymałość na wyciąganie wtyczki i gniazda.</w:t>
      </w:r>
    </w:p>
    <w:p w14:paraId="0F5194E9"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Gniazda wtykowe i wyłączniki należy instalować w sposób nie kolidujący z wyposażeniem pomieszczenia.</w:t>
      </w:r>
    </w:p>
    <w:p w14:paraId="47CA7800"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 sanitariatach należy przestrzegać zasady poprawnego rozmieszczania sprzętu z uwzględnieniem przestrzeni ochronnych.</w:t>
      </w:r>
    </w:p>
    <w:p w14:paraId="3D6A6B2C"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Położenie wyłączników klawiszowych należy przyjmować takie, aby w całym pomieszczeniu było jednakowe.</w:t>
      </w:r>
    </w:p>
    <w:p w14:paraId="369E424A"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Gniazda wtykowe ze stykiem ochronnym należy instalować w takim położeniu, aby styk ten występował u góry.</w:t>
      </w:r>
    </w:p>
    <w:p w14:paraId="7061D969"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Przewody do gniazd wtykowych 2-biegunowych należy podłączać w taki sposób, aby przewód fazowy dochodził do lewego bieguna, a przewód neutralny do prawego bieguna.</w:t>
      </w:r>
    </w:p>
    <w:p w14:paraId="74DE8AC0"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Przewód ochronny będący żyłą przewodu wielożyłowego powinien mieć izolację będącą kombinacją barwy zielonej i żółtej.</w:t>
      </w:r>
    </w:p>
    <w:p w14:paraId="187DE076"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Typy opraw, trasy przewodów oraz sposób ich prowadzenia wykonać zgodnie z planami instalacji i schematami.</w:t>
      </w:r>
    </w:p>
    <w:p w14:paraId="3018DA52"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447C5242"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5.4. Instalacja połączeń wyrównawczych</w:t>
      </w:r>
    </w:p>
    <w:p w14:paraId="706C78FA"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Zespół połączeń ochrony uzupełniającej dla części przewodzących, chroniących przed niebezpiecznym napięciem dotykowym (np. zwarcie L-PE, zwarcie L-PEN, przerwanie przewodu PE czy zamianie przewodów L i PEN. Zespół połączeń wyrównawczych tworzą: instalacje połączeń wyrównawczych głównych i miejscowych; może dodatkowo spełniać rolę ochrony: </w:t>
      </w:r>
    </w:p>
    <w:p w14:paraId="0C6A0835"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odgromowej i przeciwprzepięciowej, </w:t>
      </w:r>
    </w:p>
    <w:p w14:paraId="5AC9969E"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przeciwzakłóceniowej,</w:t>
      </w:r>
    </w:p>
    <w:p w14:paraId="02A4228A"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przeciwwybuchowej i przeciwpożarowej,</w:t>
      </w:r>
    </w:p>
    <w:p w14:paraId="6DCDB443"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przeciwkorozyjnej (niweluje różnice potencjałów styku różnych metali)</w:t>
      </w:r>
    </w:p>
    <w:p w14:paraId="07896E06"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przed elektryzacją statyczną</w:t>
      </w:r>
    </w:p>
    <w:p w14:paraId="3E4E9427"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 xml:space="preserve">Wytyczne projektowania instalacji połączeń wyrównawczych zawiera obowiązująca norma PN-HD 60364-5-54:2010 „Instalacje elektryczne niskiego napięcia – Część 5-54: Dobór i montaż wyposażenia elektrycznego – Uziemienia, przewody ochronne i przewody połączeń ochronnych”. </w:t>
      </w:r>
    </w:p>
    <w:p w14:paraId="679669F1"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Połączenia wyrównawcze główne i miejscowe należy wybrać łącząc przewody ochronne z częściami przewodzącymi innych instalacji.</w:t>
      </w:r>
    </w:p>
    <w:p w14:paraId="106B3139"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Połączenia wyrównawcze główne należy wykonać na najniższej kondygnacji budynku tj. na parterze.</w:t>
      </w:r>
    </w:p>
    <w:p w14:paraId="7B4C160B"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 xml:space="preserve">Do głównej szyny uziemiającej podłączyć rury ciepłej i zimnej wody, centralnego ogrzewania itp., sprowadzając je do wspólnego punktu – głównej szyny uziemiającej. </w:t>
      </w:r>
    </w:p>
    <w:p w14:paraId="30F6A8FF"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 xml:space="preserve">W przypadku niemożności dokonania połączenia bezpośredniego, pomiędzy elementami metalowymi, należy stosować iskierniki. </w:t>
      </w:r>
    </w:p>
    <w:p w14:paraId="01BE0200"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Dla instalacji połączeń wyrównawczych w rozdzielnicach zasilających zewnętrzne obwody oświetleniowe należy stosować odgromniki zaworowe pomiędzy przewodami fazowymi a uziemieniem instalacji piorunochronnej.</w:t>
      </w:r>
    </w:p>
    <w:p w14:paraId="715F78CA"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76A9BF77" w14:textId="77777777" w:rsidR="000A3B2B" w:rsidRDefault="000A3B2B" w:rsidP="009E5295">
      <w:pPr>
        <w:autoSpaceDE w:val="0"/>
        <w:autoSpaceDN w:val="0"/>
        <w:adjustRightInd w:val="0"/>
        <w:spacing w:before="225" w:after="12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6. KONTROLA JAKOŚCI ROBÓT</w:t>
      </w:r>
    </w:p>
    <w:p w14:paraId="69232027"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6.1.</w:t>
      </w:r>
      <w:r>
        <w:rPr>
          <w:rFonts w:ascii="Arial" w:hAnsi="Arial" w:cs="Arial"/>
          <w:b/>
          <w:bCs/>
          <w:color w:val="000000"/>
          <w:sz w:val="18"/>
          <w:szCs w:val="18"/>
          <w:lang w:val="x-none"/>
        </w:rPr>
        <w:tab/>
        <w:t>Ogólne zasady kontroli jakości robót podano w ST „Wymagania ogólne” Kod CPV 45000000-7, pkt 6</w:t>
      </w:r>
    </w:p>
    <w:p w14:paraId="039575FA"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17DBAA53"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6.2.</w:t>
      </w:r>
      <w:r>
        <w:rPr>
          <w:rFonts w:ascii="Arial" w:hAnsi="Arial" w:cs="Arial"/>
          <w:b/>
          <w:bCs/>
          <w:color w:val="000000"/>
          <w:sz w:val="18"/>
          <w:szCs w:val="18"/>
          <w:lang w:val="x-none"/>
        </w:rPr>
        <w:tab/>
        <w:t xml:space="preserve">Szczegółowy wykaz oraz zakres </w:t>
      </w:r>
      <w:proofErr w:type="spellStart"/>
      <w:r>
        <w:rPr>
          <w:rFonts w:ascii="Arial" w:hAnsi="Arial" w:cs="Arial"/>
          <w:b/>
          <w:bCs/>
          <w:color w:val="000000"/>
          <w:sz w:val="18"/>
          <w:szCs w:val="18"/>
          <w:lang w:val="x-none"/>
        </w:rPr>
        <w:t>pomontażowych</w:t>
      </w:r>
      <w:proofErr w:type="spellEnd"/>
      <w:r>
        <w:rPr>
          <w:rFonts w:ascii="Arial" w:hAnsi="Arial" w:cs="Arial"/>
          <w:b/>
          <w:bCs/>
          <w:color w:val="000000"/>
          <w:sz w:val="18"/>
          <w:szCs w:val="18"/>
          <w:lang w:val="x-none"/>
        </w:rPr>
        <w:t xml:space="preserve"> badań kabli i przewodów zawarty jest w PN-EN 60446:2008 wersja angielska i PN-E-4700:1998/Az1:2000</w:t>
      </w:r>
    </w:p>
    <w:p w14:paraId="6121F5F6"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6EE5C6F7"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6.3.</w:t>
      </w:r>
      <w:r>
        <w:rPr>
          <w:rFonts w:ascii="Arial" w:hAnsi="Arial" w:cs="Arial"/>
          <w:b/>
          <w:bCs/>
          <w:color w:val="000000"/>
          <w:sz w:val="18"/>
          <w:szCs w:val="18"/>
          <w:lang w:val="x-none"/>
        </w:rPr>
        <w:tab/>
        <w:t>Ponadto należy wykonać sprawdzenia odbiorcze składające się z oględzin częściowych i końcowych polegających na kontroli:</w:t>
      </w:r>
    </w:p>
    <w:p w14:paraId="000EE174"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zgodności dokumentacji powykonawczej z projektem i ze stanem faktycznym,</w:t>
      </w:r>
    </w:p>
    <w:p w14:paraId="55EBCC06"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zgodności połączeń z podanymi w dokumentacji powykonawczej,</w:t>
      </w:r>
    </w:p>
    <w:p w14:paraId="51FED474"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stanu kanałów i listew kablowych, kabli i przewodów, osprzętu instalacyjnego do kabli i przewodów, stanu i kompletności dokumentacji dotyczącej zastosowanych materiałów,</w:t>
      </w:r>
    </w:p>
    <w:p w14:paraId="38293830"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sprawdzenie ciągłości wszelkich przewodów występujących w danej instalacji,</w:t>
      </w:r>
    </w:p>
    <w:p w14:paraId="205D5F4F"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poprawności wykonania i zabezpieczenia połączeń śrubowych instalacji elektrycznej potwierdzonych protokołem przez wykonawcę montażu,</w:t>
      </w:r>
    </w:p>
    <w:p w14:paraId="391E1352"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poprawności wykonania montażu sprzętu instalacyjnego, urządzeń i odbiorników energii elektrycznej,</w:t>
      </w:r>
    </w:p>
    <w:p w14:paraId="51D7FE6A"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poprawności zamontowania i dokonanej kompletacji opraw oświetleniowych,</w:t>
      </w:r>
    </w:p>
    <w:p w14:paraId="6648093D"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pomiarach rezystancji izolacji,</w:t>
      </w:r>
    </w:p>
    <w:p w14:paraId="7497561A"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 xml:space="preserve">Rezystancja izolacji obwodów nie powinna być mniejsza niż 50 MΩ. Rezystancja izolacji poszczególnych obwodów wraz z urządzeniami nie powinna być mniejsza niż 20 MΩ. Pomiaru należy dokonać miernikiem rezystancji instalacji o napięciu 1 </w:t>
      </w:r>
      <w:proofErr w:type="spellStart"/>
      <w:r>
        <w:rPr>
          <w:rFonts w:ascii="Arial" w:hAnsi="Arial" w:cs="Arial"/>
          <w:color w:val="000000"/>
          <w:sz w:val="18"/>
          <w:szCs w:val="18"/>
          <w:lang w:val="x-none"/>
        </w:rPr>
        <w:t>kV</w:t>
      </w:r>
      <w:proofErr w:type="spellEnd"/>
      <w:r>
        <w:rPr>
          <w:rFonts w:ascii="Arial" w:hAnsi="Arial" w:cs="Arial"/>
          <w:color w:val="000000"/>
          <w:sz w:val="18"/>
          <w:szCs w:val="18"/>
          <w:lang w:val="x-none"/>
        </w:rPr>
        <w:t>.</w:t>
      </w:r>
    </w:p>
    <w:p w14:paraId="6CCF27B1"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 xml:space="preserve">Po wykonaniu oględzin należy sporządzić </w:t>
      </w:r>
      <w:proofErr w:type="spellStart"/>
      <w:r>
        <w:rPr>
          <w:rFonts w:ascii="Arial" w:hAnsi="Arial" w:cs="Arial"/>
          <w:color w:val="000000"/>
          <w:sz w:val="18"/>
          <w:szCs w:val="18"/>
          <w:lang w:val="x-none"/>
        </w:rPr>
        <w:t>protokóły</w:t>
      </w:r>
      <w:proofErr w:type="spellEnd"/>
      <w:r>
        <w:rPr>
          <w:rFonts w:ascii="Arial" w:hAnsi="Arial" w:cs="Arial"/>
          <w:color w:val="000000"/>
          <w:sz w:val="18"/>
          <w:szCs w:val="18"/>
          <w:lang w:val="x-none"/>
        </w:rPr>
        <w:t xml:space="preserve"> z przeprowadzonych badań zgodnie z wymogami zawartymi w normie PN-EN 60446:2008 wersja angielska </w:t>
      </w:r>
    </w:p>
    <w:p w14:paraId="6232A211"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4B804E40"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6.4. Zasady postępowania z wadliwie wykonanymi robotami i materiałami</w:t>
      </w:r>
    </w:p>
    <w:p w14:paraId="1446D28E"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Wszystkie materiały, urządzenia i aparaty nie spełniające wymagań podanych w odpowiednich punktach specyfikacji, zostaną odrzucone. Jeśli materiały nie spełniające wymagań zostały wbudowane lub zastosowane, to na polecenie Inspektora nadzoru Wykonawca wymieni je na właściwe, na własny koszt.</w:t>
      </w:r>
    </w:p>
    <w:p w14:paraId="7C085B3D"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Na pisemne wystąpienie Wykonawcy Inspektor nadzoru może uznać wadę za niemającą zasadniczego wpływu na jakość funkcjonowania instalacji i ustalić zakres i wielkość potrąceń za obniżoną jakość.</w:t>
      </w:r>
    </w:p>
    <w:p w14:paraId="67A12234"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p>
    <w:p w14:paraId="2BAA0639" w14:textId="77777777" w:rsidR="000A3B2B" w:rsidRDefault="000A3B2B" w:rsidP="009E5295">
      <w:pPr>
        <w:autoSpaceDE w:val="0"/>
        <w:autoSpaceDN w:val="0"/>
        <w:adjustRightInd w:val="0"/>
        <w:spacing w:before="225" w:after="12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7. WYMAGANIA DOTYCZĄCE PRZEDMIARU I OBMIARU ROBÓT</w:t>
      </w:r>
    </w:p>
    <w:p w14:paraId="34BD90AD"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7.1.</w:t>
      </w:r>
      <w:r>
        <w:rPr>
          <w:rFonts w:ascii="Arial" w:hAnsi="Arial" w:cs="Arial"/>
          <w:b/>
          <w:bCs/>
          <w:color w:val="000000"/>
          <w:sz w:val="18"/>
          <w:szCs w:val="18"/>
          <w:lang w:val="x-none"/>
        </w:rPr>
        <w:tab/>
        <w:t>Ogólne zasady przedmiaru i obmiaru podano w ST „Wymagania ogólne” Kod CPV 45000000-7, pkt 7</w:t>
      </w:r>
    </w:p>
    <w:p w14:paraId="6763F9C3"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0171A189"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7.2.</w:t>
      </w:r>
      <w:r>
        <w:rPr>
          <w:rFonts w:ascii="Arial" w:hAnsi="Arial" w:cs="Arial"/>
          <w:b/>
          <w:bCs/>
          <w:color w:val="000000"/>
          <w:sz w:val="18"/>
          <w:szCs w:val="18"/>
          <w:lang w:val="x-none"/>
        </w:rPr>
        <w:tab/>
        <w:t>Szczegółowe zasady przedmiaru i obmiaru robót montażowych instalacji elektrycznej</w:t>
      </w:r>
    </w:p>
    <w:p w14:paraId="7F4EA343"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Obmiaru robót dokonuje się z natury (wykonanej roboty) przyjmując jednostki miary odpowiadające zawartym w dokumentacji i tak:</w:t>
      </w:r>
    </w:p>
    <w:p w14:paraId="06DA3EC6"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dla osprzętu montażowego dla kabli i przewodów: szt., </w:t>
      </w:r>
      <w:proofErr w:type="spellStart"/>
      <w:r>
        <w:rPr>
          <w:rFonts w:ascii="Arial" w:hAnsi="Arial" w:cs="Arial"/>
          <w:color w:val="000000"/>
          <w:sz w:val="18"/>
          <w:szCs w:val="18"/>
          <w:lang w:val="x-none"/>
        </w:rPr>
        <w:t>kpl</w:t>
      </w:r>
      <w:proofErr w:type="spellEnd"/>
      <w:r>
        <w:rPr>
          <w:rFonts w:ascii="Arial" w:hAnsi="Arial" w:cs="Arial"/>
          <w:color w:val="000000"/>
          <w:sz w:val="18"/>
          <w:szCs w:val="18"/>
          <w:lang w:val="x-none"/>
        </w:rPr>
        <w:t>., m,</w:t>
      </w:r>
    </w:p>
    <w:p w14:paraId="7DA6F37D"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dla kabli i przewodów: m, </w:t>
      </w:r>
    </w:p>
    <w:p w14:paraId="08D80025"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dla sprzętu łącznikowego: szt., </w:t>
      </w:r>
      <w:proofErr w:type="spellStart"/>
      <w:r>
        <w:rPr>
          <w:rFonts w:ascii="Arial" w:hAnsi="Arial" w:cs="Arial"/>
          <w:color w:val="000000"/>
          <w:sz w:val="18"/>
          <w:szCs w:val="18"/>
          <w:lang w:val="x-none"/>
        </w:rPr>
        <w:t>kpl</w:t>
      </w:r>
      <w:proofErr w:type="spellEnd"/>
      <w:r>
        <w:rPr>
          <w:rFonts w:ascii="Arial" w:hAnsi="Arial" w:cs="Arial"/>
          <w:color w:val="000000"/>
          <w:sz w:val="18"/>
          <w:szCs w:val="18"/>
          <w:lang w:val="x-none"/>
        </w:rPr>
        <w:t>.,</w:t>
      </w:r>
    </w:p>
    <w:p w14:paraId="618A371F"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dla opraw oświetleniowych: szt., </w:t>
      </w:r>
      <w:proofErr w:type="spellStart"/>
      <w:r>
        <w:rPr>
          <w:rFonts w:ascii="Arial" w:hAnsi="Arial" w:cs="Arial"/>
          <w:color w:val="000000"/>
          <w:sz w:val="18"/>
          <w:szCs w:val="18"/>
          <w:lang w:val="x-none"/>
        </w:rPr>
        <w:t>kpl</w:t>
      </w:r>
      <w:proofErr w:type="spellEnd"/>
      <w:r>
        <w:rPr>
          <w:rFonts w:ascii="Arial" w:hAnsi="Arial" w:cs="Arial"/>
          <w:color w:val="000000"/>
          <w:sz w:val="18"/>
          <w:szCs w:val="18"/>
          <w:lang w:val="x-none"/>
        </w:rPr>
        <w:t>.,</w:t>
      </w:r>
    </w:p>
    <w:p w14:paraId="0E719C7F"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dla urządzeń i odbiorników energii elektrycznej: szt., </w:t>
      </w:r>
      <w:proofErr w:type="spellStart"/>
      <w:r>
        <w:rPr>
          <w:rFonts w:ascii="Arial" w:hAnsi="Arial" w:cs="Arial"/>
          <w:color w:val="000000"/>
          <w:sz w:val="18"/>
          <w:szCs w:val="18"/>
          <w:lang w:val="x-none"/>
        </w:rPr>
        <w:t>kpl</w:t>
      </w:r>
      <w:proofErr w:type="spellEnd"/>
      <w:r>
        <w:rPr>
          <w:rFonts w:ascii="Arial" w:hAnsi="Arial" w:cs="Arial"/>
          <w:color w:val="000000"/>
          <w:sz w:val="18"/>
          <w:szCs w:val="18"/>
          <w:lang w:val="x-none"/>
        </w:rPr>
        <w:t>.</w:t>
      </w:r>
    </w:p>
    <w:p w14:paraId="378D6DC2"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47B8791A"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7.3.</w:t>
      </w:r>
      <w:r>
        <w:rPr>
          <w:rFonts w:ascii="Arial" w:hAnsi="Arial" w:cs="Arial"/>
          <w:b/>
          <w:bCs/>
          <w:color w:val="000000"/>
          <w:sz w:val="18"/>
          <w:szCs w:val="18"/>
          <w:lang w:val="x-none"/>
        </w:rPr>
        <w:tab/>
        <w:t xml:space="preserve">W specyfikacji technicznej szczegółowej dla robót montażowych instalacji elektrycznej opracowanej dla konkretnego przedmiotu zamówienia, można ustalić inne szczegółowe zasady przedmiaru i obmiaru przedmiotowych robót </w:t>
      </w:r>
    </w:p>
    <w:p w14:paraId="0B0ABB2E"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 szczególności można przyjąć zasady podane w katalogach zawierających jednostkowe nakłady rzeczowe dla odpowiednich robót.</w:t>
      </w:r>
    </w:p>
    <w:p w14:paraId="35BB9A4B"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791B0D21" w14:textId="77777777" w:rsidR="000A3B2B" w:rsidRDefault="000A3B2B" w:rsidP="009E5295">
      <w:pPr>
        <w:autoSpaceDE w:val="0"/>
        <w:autoSpaceDN w:val="0"/>
        <w:adjustRightInd w:val="0"/>
        <w:spacing w:before="225" w:after="12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8.</w:t>
      </w:r>
      <w:r>
        <w:rPr>
          <w:rFonts w:ascii="Arial" w:hAnsi="Arial" w:cs="Arial"/>
          <w:b/>
          <w:bCs/>
          <w:color w:val="000000"/>
          <w:sz w:val="18"/>
          <w:szCs w:val="18"/>
          <w:lang w:val="x-none"/>
        </w:rPr>
        <w:tab/>
        <w:t xml:space="preserve">SPOSÓB ODBIORU ROBÓT </w:t>
      </w:r>
    </w:p>
    <w:p w14:paraId="1DD39BAF"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8.1.</w:t>
      </w:r>
      <w:r>
        <w:rPr>
          <w:rFonts w:ascii="Arial" w:hAnsi="Arial" w:cs="Arial"/>
          <w:b/>
          <w:bCs/>
          <w:color w:val="000000"/>
          <w:sz w:val="18"/>
          <w:szCs w:val="18"/>
          <w:lang w:val="x-none"/>
        </w:rPr>
        <w:tab/>
        <w:t>Ogólne zasady odbioru robót podano w ST „Wymagania ogólne” Kod CPV 45000000-7, pkt 8</w:t>
      </w:r>
    </w:p>
    <w:p w14:paraId="5A08433E"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0A0883FC"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8.2.</w:t>
      </w:r>
      <w:r>
        <w:rPr>
          <w:rFonts w:ascii="Arial" w:hAnsi="Arial" w:cs="Arial"/>
          <w:b/>
          <w:bCs/>
          <w:color w:val="000000"/>
          <w:sz w:val="18"/>
          <w:szCs w:val="18"/>
          <w:lang w:val="x-none"/>
        </w:rPr>
        <w:tab/>
        <w:t>Warunki odbioru instalacji i urządzeń zasilających</w:t>
      </w:r>
    </w:p>
    <w:p w14:paraId="03BC0197" w14:textId="77777777" w:rsidR="000A3B2B" w:rsidRDefault="000A3B2B" w:rsidP="009E529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8.2.1.</w:t>
      </w:r>
      <w:r>
        <w:rPr>
          <w:rFonts w:ascii="Arial" w:hAnsi="Arial" w:cs="Arial"/>
          <w:b/>
          <w:bCs/>
          <w:color w:val="000000"/>
          <w:sz w:val="18"/>
          <w:szCs w:val="18"/>
          <w:lang w:val="x-none"/>
        </w:rPr>
        <w:tab/>
        <w:t>Odbiór międzyoperacyjny</w:t>
      </w:r>
    </w:p>
    <w:p w14:paraId="5E95A351"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Odbiór międzyoperacyjny przeprowadzany jest po zakończeniu danego etapu robót mających wpływ na wykonanie dalszych prac.</w:t>
      </w:r>
    </w:p>
    <w:p w14:paraId="2DA753BC"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Odbiorowi takiemu mogą podlegać m.in.:</w:t>
      </w:r>
    </w:p>
    <w:p w14:paraId="07443010"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przygotowanie podłoża do montażu kabli i przewodów, łączników, gniazd, opraw oświetleniowych, urządzeń i odbiorników energii elektrycznej oraz innego osprzętu,</w:t>
      </w:r>
    </w:p>
    <w:p w14:paraId="5DF48457"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instalacja, której pełne wykonanie uwarunkowane jest wykonaniem robót przez inne branże lub odwrotnie, gdy prace innych branż wymagają zakończenia robót instalacji elektrycznej np. zasilanie pomp.</w:t>
      </w:r>
    </w:p>
    <w:p w14:paraId="0885F618" w14:textId="77777777" w:rsidR="000A3B2B" w:rsidRDefault="000A3B2B" w:rsidP="009E529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8.2.2.</w:t>
      </w:r>
      <w:r>
        <w:rPr>
          <w:rFonts w:ascii="Arial" w:hAnsi="Arial" w:cs="Arial"/>
          <w:b/>
          <w:bCs/>
          <w:color w:val="000000"/>
          <w:sz w:val="18"/>
          <w:szCs w:val="18"/>
          <w:lang w:val="x-none"/>
        </w:rPr>
        <w:tab/>
        <w:t>Odbiór częściowy</w:t>
      </w:r>
    </w:p>
    <w:p w14:paraId="163EAD32"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Należy przeprowadzić badanie </w:t>
      </w:r>
      <w:proofErr w:type="spellStart"/>
      <w:r>
        <w:rPr>
          <w:rFonts w:ascii="Arial" w:hAnsi="Arial" w:cs="Arial"/>
          <w:color w:val="000000"/>
          <w:sz w:val="18"/>
          <w:szCs w:val="18"/>
          <w:lang w:val="x-none"/>
        </w:rPr>
        <w:t>pomontażowe</w:t>
      </w:r>
      <w:proofErr w:type="spellEnd"/>
      <w:r>
        <w:rPr>
          <w:rFonts w:ascii="Arial" w:hAnsi="Arial" w:cs="Arial"/>
          <w:color w:val="000000"/>
          <w:sz w:val="18"/>
          <w:szCs w:val="18"/>
          <w:lang w:val="x-none"/>
        </w:rPr>
        <w:t xml:space="preserve"> częściowe robót zanikających oraz elementów urządzeń, które ulegają zakryciu (np. wszelkie roboty zanikające), uniemożliwiając ocenę prawidłowości ich wykonania po całkowitym ukończeniu prac.</w:t>
      </w:r>
    </w:p>
    <w:p w14:paraId="7D870CA9"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Podczas odbioru należy sprawdzić prawidłowość montażu oraz zgodność z obowiązującymi przepisami i projektem:</w:t>
      </w:r>
    </w:p>
    <w:p w14:paraId="40FDA3C2"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wydzielonych instalacji wtynkowych i podtynkowych,</w:t>
      </w:r>
    </w:p>
    <w:p w14:paraId="5D8026C3" w14:textId="77777777" w:rsidR="000A3B2B" w:rsidRDefault="000A3B2B" w:rsidP="009E529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8.2.3.</w:t>
      </w:r>
      <w:r>
        <w:rPr>
          <w:rFonts w:ascii="Arial" w:hAnsi="Arial" w:cs="Arial"/>
          <w:b/>
          <w:bCs/>
          <w:color w:val="000000"/>
          <w:sz w:val="18"/>
          <w:szCs w:val="18"/>
          <w:lang w:val="x-none"/>
        </w:rPr>
        <w:tab/>
        <w:t>Odbiór końcowy</w:t>
      </w:r>
    </w:p>
    <w:p w14:paraId="185BE627"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Badania </w:t>
      </w:r>
      <w:proofErr w:type="spellStart"/>
      <w:r>
        <w:rPr>
          <w:rFonts w:ascii="Arial" w:hAnsi="Arial" w:cs="Arial"/>
          <w:color w:val="000000"/>
          <w:sz w:val="18"/>
          <w:szCs w:val="18"/>
          <w:lang w:val="x-none"/>
        </w:rPr>
        <w:t>pomontażowe</w:t>
      </w:r>
      <w:proofErr w:type="spellEnd"/>
      <w:r>
        <w:rPr>
          <w:rFonts w:ascii="Arial" w:hAnsi="Arial" w:cs="Arial"/>
          <w:color w:val="000000"/>
          <w:sz w:val="18"/>
          <w:szCs w:val="18"/>
          <w:lang w:val="x-none"/>
        </w:rPr>
        <w:t xml:space="preserve"> jako techniczne sprawdzenie jakości wykonanych robót należy przeprowadzić po zakończeniu robót elektrycznych przed przekazaniem użytkownikowi urządzeń zasilających.</w:t>
      </w:r>
    </w:p>
    <w:p w14:paraId="18991B72"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Zakres badań obejmuje sprawdzenie:</w:t>
      </w:r>
    </w:p>
    <w:p w14:paraId="44BE9D82"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dla napięć do 1 </w:t>
      </w:r>
      <w:proofErr w:type="spellStart"/>
      <w:r>
        <w:rPr>
          <w:rFonts w:ascii="Arial" w:hAnsi="Arial" w:cs="Arial"/>
          <w:color w:val="000000"/>
          <w:sz w:val="18"/>
          <w:szCs w:val="18"/>
          <w:lang w:val="x-none"/>
        </w:rPr>
        <w:t>kV</w:t>
      </w:r>
      <w:proofErr w:type="spellEnd"/>
      <w:r>
        <w:rPr>
          <w:rFonts w:ascii="Arial" w:hAnsi="Arial" w:cs="Arial"/>
          <w:color w:val="000000"/>
          <w:sz w:val="18"/>
          <w:szCs w:val="18"/>
          <w:lang w:val="x-none"/>
        </w:rPr>
        <w:t xml:space="preserve"> pomiar rezystancji izolacji instalacji,</w:t>
      </w:r>
    </w:p>
    <w:p w14:paraId="5FAD6DCD"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dla napięć powyżej 1 </w:t>
      </w:r>
      <w:proofErr w:type="spellStart"/>
      <w:r>
        <w:rPr>
          <w:rFonts w:ascii="Arial" w:hAnsi="Arial" w:cs="Arial"/>
          <w:color w:val="000000"/>
          <w:sz w:val="18"/>
          <w:szCs w:val="18"/>
          <w:lang w:val="x-none"/>
        </w:rPr>
        <w:t>kV</w:t>
      </w:r>
      <w:proofErr w:type="spellEnd"/>
      <w:r>
        <w:rPr>
          <w:rFonts w:ascii="Arial" w:hAnsi="Arial" w:cs="Arial"/>
          <w:color w:val="000000"/>
          <w:sz w:val="18"/>
          <w:szCs w:val="18"/>
          <w:lang w:val="x-none"/>
        </w:rPr>
        <w:t xml:space="preserve"> pomiar rezystancji izolacji instalacji oraz sprawdzenie oznaczenia kabla, ciągłości żył i zgodności faz, próba napięciowa kabla. Badania napięciem probierczym wykonuje się tylko jeden raz.</w:t>
      </w:r>
    </w:p>
    <w:p w14:paraId="1B5A28B1"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Parametry badań oraz sposób przeprowadzenia badań są określone w normach PN-EN 60446:2008 wersja angielska i PN-E-04700:1998/Az1:2000.</w:t>
      </w:r>
    </w:p>
    <w:p w14:paraId="6CD7D242"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Wyniki badań trzeba zamieścić w protokole odbioru końcowego.</w:t>
      </w:r>
    </w:p>
    <w:p w14:paraId="2EAA2484"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50479D37" w14:textId="77777777" w:rsidR="000A3B2B" w:rsidRDefault="000A3B2B" w:rsidP="009E5295">
      <w:pPr>
        <w:autoSpaceDE w:val="0"/>
        <w:autoSpaceDN w:val="0"/>
        <w:adjustRightInd w:val="0"/>
        <w:spacing w:before="225" w:after="12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9.</w:t>
      </w:r>
      <w:r>
        <w:rPr>
          <w:rFonts w:ascii="Arial" w:hAnsi="Arial" w:cs="Arial"/>
          <w:b/>
          <w:bCs/>
          <w:color w:val="000000"/>
          <w:sz w:val="18"/>
          <w:szCs w:val="18"/>
          <w:lang w:val="x-none"/>
        </w:rPr>
        <w:tab/>
        <w:t>PODSTAWA ROZLICZENIA ROBÓT</w:t>
      </w:r>
    </w:p>
    <w:p w14:paraId="666728D6"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9.1.</w:t>
      </w:r>
      <w:r>
        <w:rPr>
          <w:rFonts w:ascii="Arial" w:hAnsi="Arial" w:cs="Arial"/>
          <w:b/>
          <w:bCs/>
          <w:color w:val="000000"/>
          <w:sz w:val="18"/>
          <w:szCs w:val="18"/>
          <w:lang w:val="x-none"/>
        </w:rPr>
        <w:tab/>
        <w:t>Ogólne ustalenia dotyczące podstawy rozliczenia robót podano w ST „Wymagania ogólne” Kod CPV 45000000-7, pkt 9</w:t>
      </w:r>
    </w:p>
    <w:p w14:paraId="1E967C20"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0E249E10"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9.2.</w:t>
      </w:r>
      <w:r>
        <w:rPr>
          <w:rFonts w:ascii="Arial" w:hAnsi="Arial" w:cs="Arial"/>
          <w:b/>
          <w:bCs/>
          <w:color w:val="000000"/>
          <w:sz w:val="18"/>
          <w:szCs w:val="18"/>
          <w:lang w:val="x-none"/>
        </w:rPr>
        <w:tab/>
        <w:t>Zasady rozliczenia i płatności</w:t>
      </w:r>
    </w:p>
    <w:p w14:paraId="2DD07566"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Rozliczenie robót montażowych instalacji elektrycznych może być dokonane jednorazowo po wykonaniu pełnego zakresu robót i ich końcowym odbiorze lub etapami określonymi w umowie, po dokonaniu odbiorów częściowych robót.</w:t>
      </w:r>
    </w:p>
    <w:p w14:paraId="31349CA0"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 xml:space="preserve">Ostateczne rozliczenie umowy pomiędzy zamawiającym a wykonawcą następuje po dokonaniu odbioru pogwarancyjnego. </w:t>
      </w:r>
    </w:p>
    <w:p w14:paraId="4A698668"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Podstawę rozliczenia oraz płatności wykonanego i odebranego zakresu robót stanowi wartość tych robót obliczona na podstawie:</w:t>
      </w:r>
    </w:p>
    <w:p w14:paraId="4D562D48"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określonych w dokumentach umownych (ofercie) cen jednostkowych i ilości robót zaakceptowanych przez zamawiającego lub</w:t>
      </w:r>
    </w:p>
    <w:p w14:paraId="7E13F367"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ustalonej w umowie kwoty ryczałtowej za określony zakres robót.</w:t>
      </w:r>
    </w:p>
    <w:p w14:paraId="5E6DA4DC"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Ceny jednostkowe wykonania, robót instalacji elektrycznych lub kwoty ryczałtowe obejmujące roboty instalacyjne uwzględniają również:</w:t>
      </w:r>
    </w:p>
    <w:p w14:paraId="2F5A823C"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przygotowanie stanowiska roboczego,</w:t>
      </w:r>
    </w:p>
    <w:p w14:paraId="3E430A5E"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dostarczenie do stanowiska roboczego materiałów, narzędzi i sprzętu,</w:t>
      </w:r>
    </w:p>
    <w:p w14:paraId="2CF1986F"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obsługę sprzętu nie posiadającego etatowej obsługi,</w:t>
      </w:r>
    </w:p>
    <w:p w14:paraId="4B719D76"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ustawienie i przestawienie drabin oraz lekkich rusztowań przestawnych umożliwiających wykonanie robót na wysokości do 4 m (jeśli taka konieczność występuje), </w:t>
      </w:r>
    </w:p>
    <w:p w14:paraId="60B2881D"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usunięcie wad i usterek oraz naprawienie uszkodzeń powstałych w czasie robót,</w:t>
      </w:r>
    </w:p>
    <w:p w14:paraId="3C1CAEFB"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uporządkowanie miejsca wykonywania robót,</w:t>
      </w:r>
    </w:p>
    <w:p w14:paraId="3371A2FC"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usunięcie pozostałości, resztek i odpadów materiałów w sposób podany w specyfikacji technicznej szczegółowej,</w:t>
      </w:r>
    </w:p>
    <w:p w14:paraId="2986622F"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likwidację stanowiska roboczego.</w:t>
      </w:r>
    </w:p>
    <w:p w14:paraId="2371673D"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 kwotach ryczałtowych ujęte są również koszty montażu, demontażu i pracy rusztowań niezbędnych do wykonania robót na wysokości do 4 m od poziomu terenu.</w:t>
      </w:r>
    </w:p>
    <w:p w14:paraId="5092518C"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Przy rozliczaniu robót według uzgodnionych cen jednostkowych koszty niezbędnych rusztowań mogą być uwzględnione w tych cenach lub stanowić podstawę oddzielnej płatności. Sposób rozliczenia kosztów montażu, demontażu i pracy rusztowań koniecznych do wykonywania robót na wysokości powyżej 4 m, należy ustalić w postanowieniach pkt. 9 specyfikacji technicznej (szczegółowej) SST robót w zakresie instalacji oraz opraw elektrycznych opracowanej dla realizowanego przedmiotu zamówienia.</w:t>
      </w:r>
    </w:p>
    <w:p w14:paraId="184F3F27"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p>
    <w:p w14:paraId="33368619" w14:textId="77777777" w:rsidR="000A3B2B" w:rsidRDefault="000A3B2B" w:rsidP="009E5295">
      <w:pPr>
        <w:autoSpaceDE w:val="0"/>
        <w:autoSpaceDN w:val="0"/>
        <w:adjustRightInd w:val="0"/>
        <w:spacing w:before="225" w:after="12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10. DOKUMENTY ODNIESIENIA</w:t>
      </w:r>
    </w:p>
    <w:p w14:paraId="4DC33922"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 xml:space="preserve">10.1. </w:t>
      </w:r>
      <w:r>
        <w:rPr>
          <w:rFonts w:ascii="Arial" w:hAnsi="Arial" w:cs="Arial"/>
          <w:b/>
          <w:bCs/>
          <w:color w:val="000000"/>
          <w:sz w:val="18"/>
          <w:szCs w:val="18"/>
          <w:lang w:val="x-none"/>
        </w:rPr>
        <w:tab/>
        <w:t>Normy</w:t>
      </w:r>
    </w:p>
    <w:tbl>
      <w:tblPr>
        <w:tblW w:w="0" w:type="auto"/>
        <w:tblCellSpacing w:w="0" w:type="dxa"/>
        <w:tblLayout w:type="fixed"/>
        <w:tblCellMar>
          <w:left w:w="0" w:type="dxa"/>
          <w:right w:w="0" w:type="dxa"/>
        </w:tblCellMar>
        <w:tblLook w:val="0000" w:firstRow="0" w:lastRow="0" w:firstColumn="0" w:lastColumn="0" w:noHBand="0" w:noVBand="0"/>
      </w:tblPr>
      <w:tblGrid>
        <w:gridCol w:w="382"/>
        <w:gridCol w:w="3360"/>
        <w:gridCol w:w="5566"/>
      </w:tblGrid>
      <w:tr w:rsidR="000A3B2B" w14:paraId="5E2F5D79" w14:textId="77777777">
        <w:trPr>
          <w:trHeight w:val="60"/>
          <w:tblCellSpacing w:w="0" w:type="dxa"/>
        </w:trPr>
        <w:tc>
          <w:tcPr>
            <w:tcW w:w="382" w:type="dxa"/>
            <w:tcBorders>
              <w:top w:val="nil"/>
              <w:left w:val="nil"/>
              <w:bottom w:val="nil"/>
              <w:right w:val="nil"/>
            </w:tcBorders>
          </w:tcPr>
          <w:p w14:paraId="5573B534"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1.</w:t>
            </w:r>
          </w:p>
        </w:tc>
        <w:tc>
          <w:tcPr>
            <w:tcW w:w="3360" w:type="dxa"/>
            <w:tcBorders>
              <w:top w:val="nil"/>
              <w:left w:val="nil"/>
              <w:bottom w:val="nil"/>
              <w:right w:val="nil"/>
            </w:tcBorders>
          </w:tcPr>
          <w:p w14:paraId="52FB5C4A"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PN-E-04700:1998/Az1:2000</w:t>
            </w:r>
          </w:p>
        </w:tc>
        <w:tc>
          <w:tcPr>
            <w:tcW w:w="5566" w:type="dxa"/>
            <w:tcBorders>
              <w:top w:val="nil"/>
              <w:left w:val="nil"/>
              <w:bottom w:val="nil"/>
              <w:right w:val="nil"/>
            </w:tcBorders>
          </w:tcPr>
          <w:p w14:paraId="101058E7"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Urządzenia i układy elektryczne w obiektach elektroenergetycznych. Wytyczne przeprowadzania </w:t>
            </w:r>
            <w:proofErr w:type="spellStart"/>
            <w:r>
              <w:rPr>
                <w:rFonts w:ascii="Arial" w:hAnsi="Arial" w:cs="Arial"/>
                <w:color w:val="000000"/>
                <w:sz w:val="18"/>
                <w:szCs w:val="18"/>
                <w:lang w:val="x-none"/>
              </w:rPr>
              <w:t>pomontażowych</w:t>
            </w:r>
            <w:proofErr w:type="spellEnd"/>
            <w:r>
              <w:rPr>
                <w:rFonts w:ascii="Arial" w:hAnsi="Arial" w:cs="Arial"/>
                <w:color w:val="000000"/>
                <w:sz w:val="18"/>
                <w:szCs w:val="18"/>
                <w:lang w:val="x-none"/>
              </w:rPr>
              <w:t xml:space="preserve"> badań odbiorczych (Zmiana Az1).</w:t>
            </w:r>
          </w:p>
        </w:tc>
      </w:tr>
      <w:tr w:rsidR="000A3B2B" w14:paraId="52F8540B" w14:textId="77777777">
        <w:trPr>
          <w:trHeight w:val="60"/>
          <w:tblCellSpacing w:w="0" w:type="dxa"/>
        </w:trPr>
        <w:tc>
          <w:tcPr>
            <w:tcW w:w="382" w:type="dxa"/>
            <w:tcBorders>
              <w:top w:val="nil"/>
              <w:left w:val="nil"/>
              <w:bottom w:val="nil"/>
              <w:right w:val="nil"/>
            </w:tcBorders>
          </w:tcPr>
          <w:p w14:paraId="5A21D6B4"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2.</w:t>
            </w:r>
          </w:p>
        </w:tc>
        <w:tc>
          <w:tcPr>
            <w:tcW w:w="3360" w:type="dxa"/>
            <w:tcBorders>
              <w:top w:val="nil"/>
              <w:left w:val="nil"/>
              <w:bottom w:val="nil"/>
              <w:right w:val="nil"/>
            </w:tcBorders>
          </w:tcPr>
          <w:p w14:paraId="5F3698DF"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 xml:space="preserve">PN-EN 62275:2015-03 </w:t>
            </w:r>
          </w:p>
        </w:tc>
        <w:tc>
          <w:tcPr>
            <w:tcW w:w="5566" w:type="dxa"/>
            <w:tcBorders>
              <w:top w:val="nil"/>
              <w:left w:val="nil"/>
              <w:bottom w:val="nil"/>
              <w:right w:val="nil"/>
            </w:tcBorders>
          </w:tcPr>
          <w:p w14:paraId="4C9388EA" w14:textId="77777777" w:rsidR="000A3B2B" w:rsidRDefault="000A3B2B">
            <w:pPr>
              <w:autoSpaceDE w:val="0"/>
              <w:autoSpaceDN w:val="0"/>
              <w:adjustRightInd w:val="0"/>
              <w:spacing w:after="30" w:line="240" w:lineRule="auto"/>
              <w:jc w:val="both"/>
              <w:rPr>
                <w:rFonts w:ascii="Arial" w:hAnsi="Arial" w:cs="Arial"/>
                <w:i/>
                <w:iCs/>
                <w:color w:val="000000"/>
                <w:sz w:val="18"/>
                <w:szCs w:val="18"/>
                <w:lang w:val="x-none"/>
              </w:rPr>
            </w:pPr>
            <w:r>
              <w:rPr>
                <w:rFonts w:ascii="Arial" w:hAnsi="Arial" w:cs="Arial"/>
                <w:color w:val="000000"/>
                <w:sz w:val="18"/>
                <w:szCs w:val="18"/>
                <w:lang w:val="x-none"/>
              </w:rPr>
              <w:t>Systemy prowadzenia przewodów – Opaski przewodów do instalacji elektrycznych</w:t>
            </w:r>
            <w:r>
              <w:rPr>
                <w:rFonts w:ascii="Arial" w:hAnsi="Arial" w:cs="Arial"/>
                <w:i/>
                <w:iCs/>
                <w:color w:val="000000"/>
                <w:sz w:val="18"/>
                <w:szCs w:val="18"/>
                <w:lang w:val="x-none"/>
              </w:rPr>
              <w:t xml:space="preserve"> (wersja angielska).</w:t>
            </w:r>
          </w:p>
        </w:tc>
      </w:tr>
      <w:tr w:rsidR="000A3B2B" w14:paraId="5012B6C3" w14:textId="77777777">
        <w:trPr>
          <w:trHeight w:val="60"/>
          <w:tblCellSpacing w:w="0" w:type="dxa"/>
        </w:trPr>
        <w:tc>
          <w:tcPr>
            <w:tcW w:w="382" w:type="dxa"/>
            <w:tcBorders>
              <w:top w:val="nil"/>
              <w:left w:val="nil"/>
              <w:bottom w:val="nil"/>
              <w:right w:val="nil"/>
            </w:tcBorders>
          </w:tcPr>
          <w:p w14:paraId="1BBD1E70"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3.</w:t>
            </w:r>
          </w:p>
        </w:tc>
        <w:tc>
          <w:tcPr>
            <w:tcW w:w="3360" w:type="dxa"/>
            <w:tcBorders>
              <w:top w:val="nil"/>
              <w:left w:val="nil"/>
              <w:bottom w:val="nil"/>
              <w:right w:val="nil"/>
            </w:tcBorders>
          </w:tcPr>
          <w:p w14:paraId="41456C81"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 xml:space="preserve">PN-EN 60445:2011 </w:t>
            </w:r>
          </w:p>
        </w:tc>
        <w:tc>
          <w:tcPr>
            <w:tcW w:w="5566" w:type="dxa"/>
            <w:tcBorders>
              <w:top w:val="nil"/>
              <w:left w:val="nil"/>
              <w:bottom w:val="nil"/>
              <w:right w:val="nil"/>
            </w:tcBorders>
          </w:tcPr>
          <w:p w14:paraId="1F606516" w14:textId="77777777" w:rsidR="000A3B2B" w:rsidRDefault="000A3B2B">
            <w:pPr>
              <w:autoSpaceDE w:val="0"/>
              <w:autoSpaceDN w:val="0"/>
              <w:adjustRightInd w:val="0"/>
              <w:spacing w:after="30" w:line="240" w:lineRule="auto"/>
              <w:jc w:val="both"/>
              <w:rPr>
                <w:rFonts w:ascii="Arial" w:hAnsi="Arial" w:cs="Arial"/>
                <w:i/>
                <w:iCs/>
                <w:color w:val="000000"/>
                <w:sz w:val="18"/>
                <w:szCs w:val="18"/>
                <w:lang w:val="x-none"/>
              </w:rPr>
            </w:pPr>
            <w:r>
              <w:rPr>
                <w:rFonts w:ascii="Arial" w:hAnsi="Arial" w:cs="Arial"/>
                <w:color w:val="000000"/>
                <w:sz w:val="18"/>
                <w:szCs w:val="18"/>
                <w:lang w:val="x-none"/>
              </w:rPr>
              <w:t>Zasady podstawowe i bezpieczeństwa przy współdziałaniu człowieka z maszyną, oznaczanie i identyfikacja – Identyfikacja zacisków urządzeń i zakończeń przewodów</w:t>
            </w:r>
            <w:r>
              <w:rPr>
                <w:rFonts w:ascii="Arial" w:hAnsi="Arial" w:cs="Arial"/>
                <w:i/>
                <w:iCs/>
                <w:color w:val="000000"/>
                <w:sz w:val="18"/>
                <w:szCs w:val="18"/>
                <w:lang w:val="x-none"/>
              </w:rPr>
              <w:t xml:space="preserve"> (wersja angielska).</w:t>
            </w:r>
          </w:p>
        </w:tc>
      </w:tr>
      <w:tr w:rsidR="000A3B2B" w14:paraId="3C603389" w14:textId="77777777">
        <w:trPr>
          <w:trHeight w:val="60"/>
          <w:tblCellSpacing w:w="0" w:type="dxa"/>
        </w:trPr>
        <w:tc>
          <w:tcPr>
            <w:tcW w:w="382" w:type="dxa"/>
            <w:tcBorders>
              <w:top w:val="nil"/>
              <w:left w:val="nil"/>
              <w:bottom w:val="nil"/>
              <w:right w:val="nil"/>
            </w:tcBorders>
          </w:tcPr>
          <w:p w14:paraId="78FA3266"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4.</w:t>
            </w:r>
          </w:p>
        </w:tc>
        <w:tc>
          <w:tcPr>
            <w:tcW w:w="3360" w:type="dxa"/>
            <w:tcBorders>
              <w:top w:val="nil"/>
              <w:left w:val="nil"/>
              <w:bottom w:val="nil"/>
              <w:right w:val="nil"/>
            </w:tcBorders>
          </w:tcPr>
          <w:p w14:paraId="316C71E9"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PN-HD 60364-1:2010</w:t>
            </w:r>
          </w:p>
        </w:tc>
        <w:tc>
          <w:tcPr>
            <w:tcW w:w="5566" w:type="dxa"/>
            <w:tcBorders>
              <w:top w:val="nil"/>
              <w:left w:val="nil"/>
              <w:bottom w:val="nil"/>
              <w:right w:val="nil"/>
            </w:tcBorders>
          </w:tcPr>
          <w:p w14:paraId="285ABF0E"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Instalacje elektryczne niskiego napięcia Część 1: Wymagania podstawowe, ustalanie ogólnych charakterystyk, definicje.</w:t>
            </w:r>
          </w:p>
        </w:tc>
      </w:tr>
      <w:tr w:rsidR="000A3B2B" w14:paraId="374AA9D1" w14:textId="77777777">
        <w:trPr>
          <w:trHeight w:val="60"/>
          <w:tblCellSpacing w:w="0" w:type="dxa"/>
        </w:trPr>
        <w:tc>
          <w:tcPr>
            <w:tcW w:w="382" w:type="dxa"/>
            <w:tcBorders>
              <w:top w:val="nil"/>
              <w:left w:val="nil"/>
              <w:bottom w:val="nil"/>
              <w:right w:val="nil"/>
            </w:tcBorders>
          </w:tcPr>
          <w:p w14:paraId="51A5D221"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5.</w:t>
            </w:r>
          </w:p>
        </w:tc>
        <w:tc>
          <w:tcPr>
            <w:tcW w:w="3360" w:type="dxa"/>
            <w:tcBorders>
              <w:top w:val="nil"/>
              <w:left w:val="nil"/>
              <w:bottom w:val="nil"/>
              <w:right w:val="nil"/>
            </w:tcBorders>
          </w:tcPr>
          <w:p w14:paraId="617B2124"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PN-HD 60364-4-41:2009</w:t>
            </w:r>
          </w:p>
        </w:tc>
        <w:tc>
          <w:tcPr>
            <w:tcW w:w="5566" w:type="dxa"/>
            <w:tcBorders>
              <w:top w:val="nil"/>
              <w:left w:val="nil"/>
              <w:bottom w:val="nil"/>
              <w:right w:val="nil"/>
            </w:tcBorders>
          </w:tcPr>
          <w:p w14:paraId="4BB34429"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Instalacje elektryczne niskiego napięcia – Część 4.41. Ochrona dla zapewnienia bezpieczeństwa – Ochrona przed porażeniem elektrycznym.</w:t>
            </w:r>
          </w:p>
        </w:tc>
      </w:tr>
      <w:tr w:rsidR="000A3B2B" w14:paraId="12F5C146" w14:textId="77777777">
        <w:trPr>
          <w:trHeight w:val="60"/>
          <w:tblCellSpacing w:w="0" w:type="dxa"/>
        </w:trPr>
        <w:tc>
          <w:tcPr>
            <w:tcW w:w="382" w:type="dxa"/>
            <w:tcBorders>
              <w:top w:val="nil"/>
              <w:left w:val="nil"/>
              <w:bottom w:val="nil"/>
              <w:right w:val="nil"/>
            </w:tcBorders>
          </w:tcPr>
          <w:p w14:paraId="4661975C"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6.</w:t>
            </w:r>
          </w:p>
        </w:tc>
        <w:tc>
          <w:tcPr>
            <w:tcW w:w="3360" w:type="dxa"/>
            <w:tcBorders>
              <w:top w:val="nil"/>
              <w:left w:val="nil"/>
              <w:bottom w:val="nil"/>
              <w:right w:val="nil"/>
            </w:tcBorders>
          </w:tcPr>
          <w:p w14:paraId="28F8757F"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PN-IEC 60364-4-42:2011</w:t>
            </w:r>
          </w:p>
        </w:tc>
        <w:tc>
          <w:tcPr>
            <w:tcW w:w="5566" w:type="dxa"/>
            <w:tcBorders>
              <w:top w:val="nil"/>
              <w:left w:val="nil"/>
              <w:bottom w:val="nil"/>
              <w:right w:val="nil"/>
            </w:tcBorders>
          </w:tcPr>
          <w:p w14:paraId="5EC05124"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Instalacje elektryczne w obiektach budowlanych. Ochrona dla zapewnienia bezpieczeństwa. Ochrona przed skutkami oddziaływania cieplnego.</w:t>
            </w:r>
          </w:p>
        </w:tc>
      </w:tr>
      <w:tr w:rsidR="000A3B2B" w14:paraId="4F06BA75" w14:textId="77777777">
        <w:trPr>
          <w:trHeight w:val="60"/>
          <w:tblCellSpacing w:w="0" w:type="dxa"/>
        </w:trPr>
        <w:tc>
          <w:tcPr>
            <w:tcW w:w="382" w:type="dxa"/>
            <w:tcBorders>
              <w:top w:val="nil"/>
              <w:left w:val="nil"/>
              <w:bottom w:val="nil"/>
              <w:right w:val="nil"/>
            </w:tcBorders>
          </w:tcPr>
          <w:p w14:paraId="7904632F"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7.</w:t>
            </w:r>
          </w:p>
        </w:tc>
        <w:tc>
          <w:tcPr>
            <w:tcW w:w="3360" w:type="dxa"/>
            <w:tcBorders>
              <w:top w:val="nil"/>
              <w:left w:val="nil"/>
              <w:bottom w:val="nil"/>
              <w:right w:val="nil"/>
            </w:tcBorders>
          </w:tcPr>
          <w:p w14:paraId="385DEA3A"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 xml:space="preserve">PN-HD 60364-4-442:2012 </w:t>
            </w:r>
          </w:p>
        </w:tc>
        <w:tc>
          <w:tcPr>
            <w:tcW w:w="5566" w:type="dxa"/>
            <w:tcBorders>
              <w:top w:val="nil"/>
              <w:left w:val="nil"/>
              <w:bottom w:val="nil"/>
              <w:right w:val="nil"/>
            </w:tcBorders>
          </w:tcPr>
          <w:p w14:paraId="05EF7922" w14:textId="77777777" w:rsidR="000A3B2B" w:rsidRDefault="000A3B2B">
            <w:pPr>
              <w:autoSpaceDE w:val="0"/>
              <w:autoSpaceDN w:val="0"/>
              <w:adjustRightInd w:val="0"/>
              <w:spacing w:after="30" w:line="240" w:lineRule="auto"/>
              <w:jc w:val="both"/>
              <w:rPr>
                <w:rFonts w:ascii="Arial" w:hAnsi="Arial" w:cs="Arial"/>
                <w:i/>
                <w:iCs/>
                <w:color w:val="000000"/>
                <w:sz w:val="18"/>
                <w:szCs w:val="18"/>
                <w:lang w:val="x-none"/>
              </w:rPr>
            </w:pPr>
            <w:r>
              <w:rPr>
                <w:rFonts w:ascii="Arial" w:hAnsi="Arial" w:cs="Arial"/>
                <w:color w:val="000000"/>
                <w:sz w:val="18"/>
                <w:szCs w:val="18"/>
                <w:lang w:val="x-none"/>
              </w:rPr>
              <w:t>Instalacje elektryczne niskiego napięcia – Część 4-442: Ochrona dla zapewnienia bezpieczeństwa – Ochrona instalacji niskiego napięcia przed przepięciami dorywczymi powstającymi wskutek zwarć doziemnych w układach po stronie wysokiego i niskiego napięcia</w:t>
            </w:r>
            <w:r>
              <w:rPr>
                <w:rFonts w:ascii="Arial" w:hAnsi="Arial" w:cs="Arial"/>
                <w:i/>
                <w:iCs/>
                <w:color w:val="000000"/>
                <w:sz w:val="18"/>
                <w:szCs w:val="18"/>
                <w:lang w:val="x-none"/>
              </w:rPr>
              <w:t xml:space="preserve"> (wersja angielska).</w:t>
            </w:r>
          </w:p>
        </w:tc>
      </w:tr>
      <w:tr w:rsidR="000A3B2B" w14:paraId="0D85856A" w14:textId="77777777">
        <w:trPr>
          <w:trHeight w:val="60"/>
          <w:tblCellSpacing w:w="0" w:type="dxa"/>
        </w:trPr>
        <w:tc>
          <w:tcPr>
            <w:tcW w:w="382" w:type="dxa"/>
            <w:tcBorders>
              <w:top w:val="nil"/>
              <w:left w:val="nil"/>
              <w:bottom w:val="nil"/>
              <w:right w:val="nil"/>
            </w:tcBorders>
          </w:tcPr>
          <w:p w14:paraId="502C01AE"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8.</w:t>
            </w:r>
          </w:p>
        </w:tc>
        <w:tc>
          <w:tcPr>
            <w:tcW w:w="3360" w:type="dxa"/>
            <w:tcBorders>
              <w:top w:val="nil"/>
              <w:left w:val="nil"/>
              <w:bottom w:val="nil"/>
              <w:right w:val="nil"/>
            </w:tcBorders>
          </w:tcPr>
          <w:p w14:paraId="43494E9F"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PN-IEC 60364-4-473:1999</w:t>
            </w:r>
          </w:p>
        </w:tc>
        <w:tc>
          <w:tcPr>
            <w:tcW w:w="5566" w:type="dxa"/>
            <w:tcBorders>
              <w:top w:val="nil"/>
              <w:left w:val="nil"/>
              <w:bottom w:val="nil"/>
              <w:right w:val="nil"/>
            </w:tcBorders>
          </w:tcPr>
          <w:p w14:paraId="6E59FE81"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Instalacje elektryczne w obiektach budowlanych – Ochrona dla zapewnienia bezpieczeństwa. Stosowanie środków ochrony zapewniających bezpieczeństwo – Postanowienia ogólne – Środki ochrony przed prądem przetężeniowym.</w:t>
            </w:r>
          </w:p>
        </w:tc>
      </w:tr>
      <w:tr w:rsidR="000A3B2B" w14:paraId="79713D57" w14:textId="77777777">
        <w:trPr>
          <w:trHeight w:val="60"/>
          <w:tblCellSpacing w:w="0" w:type="dxa"/>
        </w:trPr>
        <w:tc>
          <w:tcPr>
            <w:tcW w:w="382" w:type="dxa"/>
            <w:tcBorders>
              <w:top w:val="nil"/>
              <w:left w:val="nil"/>
              <w:bottom w:val="nil"/>
              <w:right w:val="nil"/>
            </w:tcBorders>
          </w:tcPr>
          <w:p w14:paraId="565BF25F"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9.</w:t>
            </w:r>
          </w:p>
        </w:tc>
        <w:tc>
          <w:tcPr>
            <w:tcW w:w="3360" w:type="dxa"/>
            <w:tcBorders>
              <w:top w:val="nil"/>
              <w:left w:val="nil"/>
              <w:bottom w:val="nil"/>
              <w:right w:val="nil"/>
            </w:tcBorders>
          </w:tcPr>
          <w:p w14:paraId="206E0F90"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PN-HD 60364-5-51:2011</w:t>
            </w:r>
          </w:p>
        </w:tc>
        <w:tc>
          <w:tcPr>
            <w:tcW w:w="5566" w:type="dxa"/>
            <w:tcBorders>
              <w:top w:val="nil"/>
              <w:left w:val="nil"/>
              <w:bottom w:val="nil"/>
              <w:right w:val="nil"/>
            </w:tcBorders>
          </w:tcPr>
          <w:p w14:paraId="3957D41D" w14:textId="77777777" w:rsidR="000A3B2B" w:rsidRDefault="000A3B2B">
            <w:pPr>
              <w:autoSpaceDE w:val="0"/>
              <w:autoSpaceDN w:val="0"/>
              <w:adjustRightInd w:val="0"/>
              <w:spacing w:after="30" w:line="240" w:lineRule="auto"/>
              <w:jc w:val="both"/>
              <w:rPr>
                <w:rFonts w:ascii="Arial" w:hAnsi="Arial" w:cs="Arial"/>
                <w:i/>
                <w:iCs/>
                <w:color w:val="000000"/>
                <w:sz w:val="18"/>
                <w:szCs w:val="18"/>
                <w:lang w:val="x-none"/>
              </w:rPr>
            </w:pPr>
            <w:r>
              <w:rPr>
                <w:rFonts w:ascii="Arial" w:hAnsi="Arial" w:cs="Arial"/>
                <w:color w:val="000000"/>
                <w:sz w:val="18"/>
                <w:szCs w:val="18"/>
                <w:lang w:val="x-none"/>
              </w:rPr>
              <w:t xml:space="preserve">Instalacje elektryczne w obiektach budowlanych – Część 5-51: Dobór i montaż wyposażenia elektrycznego – Postanowienia ogólne </w:t>
            </w:r>
            <w:r>
              <w:rPr>
                <w:rFonts w:ascii="Arial" w:hAnsi="Arial" w:cs="Arial"/>
                <w:i/>
                <w:iCs/>
                <w:color w:val="000000"/>
                <w:sz w:val="18"/>
                <w:szCs w:val="18"/>
                <w:lang w:val="x-none"/>
              </w:rPr>
              <w:t>(oryg.).</w:t>
            </w:r>
          </w:p>
        </w:tc>
      </w:tr>
      <w:tr w:rsidR="000A3B2B" w14:paraId="2556FA48" w14:textId="77777777">
        <w:trPr>
          <w:trHeight w:val="60"/>
          <w:tblCellSpacing w:w="0" w:type="dxa"/>
        </w:trPr>
        <w:tc>
          <w:tcPr>
            <w:tcW w:w="382" w:type="dxa"/>
            <w:tcBorders>
              <w:top w:val="nil"/>
              <w:left w:val="nil"/>
              <w:bottom w:val="nil"/>
              <w:right w:val="nil"/>
            </w:tcBorders>
          </w:tcPr>
          <w:p w14:paraId="084B2686"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10.</w:t>
            </w:r>
          </w:p>
        </w:tc>
        <w:tc>
          <w:tcPr>
            <w:tcW w:w="3360" w:type="dxa"/>
            <w:tcBorders>
              <w:top w:val="nil"/>
              <w:left w:val="nil"/>
              <w:bottom w:val="nil"/>
              <w:right w:val="nil"/>
            </w:tcBorders>
          </w:tcPr>
          <w:p w14:paraId="46119628"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PN-HD 60364-5-52:2011</w:t>
            </w:r>
          </w:p>
        </w:tc>
        <w:tc>
          <w:tcPr>
            <w:tcW w:w="5566" w:type="dxa"/>
            <w:tcBorders>
              <w:top w:val="nil"/>
              <w:left w:val="nil"/>
              <w:bottom w:val="nil"/>
              <w:right w:val="nil"/>
            </w:tcBorders>
          </w:tcPr>
          <w:p w14:paraId="2BBA4E34"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Instalacje elektryczne w obiektach budowlanych. Dobór i montaż wyposażenia elektrycznego. </w:t>
            </w:r>
            <w:proofErr w:type="spellStart"/>
            <w:r>
              <w:rPr>
                <w:rFonts w:ascii="Arial" w:hAnsi="Arial" w:cs="Arial"/>
                <w:color w:val="000000"/>
                <w:sz w:val="18"/>
                <w:szCs w:val="18"/>
                <w:lang w:val="x-none"/>
              </w:rPr>
              <w:t>Oprzewodowanie</w:t>
            </w:r>
            <w:proofErr w:type="spellEnd"/>
            <w:r>
              <w:rPr>
                <w:rFonts w:ascii="Arial" w:hAnsi="Arial" w:cs="Arial"/>
                <w:color w:val="000000"/>
                <w:sz w:val="18"/>
                <w:szCs w:val="18"/>
                <w:lang w:val="x-none"/>
              </w:rPr>
              <w:t>.</w:t>
            </w:r>
          </w:p>
        </w:tc>
      </w:tr>
      <w:tr w:rsidR="000A3B2B" w14:paraId="30533227" w14:textId="77777777">
        <w:trPr>
          <w:trHeight w:val="60"/>
          <w:tblCellSpacing w:w="0" w:type="dxa"/>
        </w:trPr>
        <w:tc>
          <w:tcPr>
            <w:tcW w:w="382" w:type="dxa"/>
            <w:tcBorders>
              <w:top w:val="nil"/>
              <w:left w:val="nil"/>
              <w:bottom w:val="nil"/>
              <w:right w:val="nil"/>
            </w:tcBorders>
          </w:tcPr>
          <w:p w14:paraId="14CC6A62"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11.</w:t>
            </w:r>
          </w:p>
        </w:tc>
        <w:tc>
          <w:tcPr>
            <w:tcW w:w="3360" w:type="dxa"/>
            <w:tcBorders>
              <w:top w:val="nil"/>
              <w:left w:val="nil"/>
              <w:bottom w:val="nil"/>
              <w:right w:val="nil"/>
            </w:tcBorders>
          </w:tcPr>
          <w:p w14:paraId="0119FD5C"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 xml:space="preserve">PN-IEC 60364-5-523:2001 </w:t>
            </w:r>
          </w:p>
        </w:tc>
        <w:tc>
          <w:tcPr>
            <w:tcW w:w="5566" w:type="dxa"/>
            <w:tcBorders>
              <w:top w:val="nil"/>
              <w:left w:val="nil"/>
              <w:bottom w:val="nil"/>
              <w:right w:val="nil"/>
            </w:tcBorders>
          </w:tcPr>
          <w:p w14:paraId="5D195809"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Instalacje elektryczne w obiektach budowlanych. Dobór i montaż wyposażenia elektrycznego. Obciążalność prądowa długotrwała przewodów.</w:t>
            </w:r>
          </w:p>
        </w:tc>
      </w:tr>
      <w:tr w:rsidR="000A3B2B" w14:paraId="03BDDF46" w14:textId="77777777">
        <w:trPr>
          <w:trHeight w:val="60"/>
          <w:tblCellSpacing w:w="0" w:type="dxa"/>
        </w:trPr>
        <w:tc>
          <w:tcPr>
            <w:tcW w:w="382" w:type="dxa"/>
            <w:tcBorders>
              <w:top w:val="nil"/>
              <w:left w:val="nil"/>
              <w:bottom w:val="nil"/>
              <w:right w:val="nil"/>
            </w:tcBorders>
          </w:tcPr>
          <w:p w14:paraId="02B7E228"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12.</w:t>
            </w:r>
          </w:p>
        </w:tc>
        <w:tc>
          <w:tcPr>
            <w:tcW w:w="3360" w:type="dxa"/>
            <w:tcBorders>
              <w:top w:val="nil"/>
              <w:left w:val="nil"/>
              <w:bottom w:val="nil"/>
              <w:right w:val="nil"/>
            </w:tcBorders>
          </w:tcPr>
          <w:p w14:paraId="636BBFCB"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PN-IEC 60364-5-53:2016-02</w:t>
            </w:r>
          </w:p>
        </w:tc>
        <w:tc>
          <w:tcPr>
            <w:tcW w:w="5566" w:type="dxa"/>
            <w:tcBorders>
              <w:top w:val="nil"/>
              <w:left w:val="nil"/>
              <w:bottom w:val="nil"/>
              <w:right w:val="nil"/>
            </w:tcBorders>
          </w:tcPr>
          <w:p w14:paraId="37A9AF7B"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Instalacje elektryczne w obiektach budowlanych. Dobór i montaż wyposażenia elektrycznego. Aparatura rozdzielcza i sterownicza.</w:t>
            </w:r>
          </w:p>
        </w:tc>
      </w:tr>
      <w:tr w:rsidR="000A3B2B" w14:paraId="20D1818C" w14:textId="77777777">
        <w:trPr>
          <w:trHeight w:val="60"/>
          <w:tblCellSpacing w:w="0" w:type="dxa"/>
        </w:trPr>
        <w:tc>
          <w:tcPr>
            <w:tcW w:w="382" w:type="dxa"/>
            <w:tcBorders>
              <w:top w:val="nil"/>
              <w:left w:val="nil"/>
              <w:bottom w:val="nil"/>
              <w:right w:val="nil"/>
            </w:tcBorders>
          </w:tcPr>
          <w:p w14:paraId="262B2EE3"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13.</w:t>
            </w:r>
          </w:p>
        </w:tc>
        <w:tc>
          <w:tcPr>
            <w:tcW w:w="3360" w:type="dxa"/>
            <w:tcBorders>
              <w:top w:val="nil"/>
              <w:left w:val="nil"/>
              <w:bottom w:val="nil"/>
              <w:right w:val="nil"/>
            </w:tcBorders>
          </w:tcPr>
          <w:p w14:paraId="61B2859E"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PN-IEC 60364-5-54:2011</w:t>
            </w:r>
          </w:p>
        </w:tc>
        <w:tc>
          <w:tcPr>
            <w:tcW w:w="5566" w:type="dxa"/>
            <w:tcBorders>
              <w:top w:val="nil"/>
              <w:left w:val="nil"/>
              <w:bottom w:val="nil"/>
              <w:right w:val="nil"/>
            </w:tcBorders>
          </w:tcPr>
          <w:p w14:paraId="18BCDF5C"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Instalacje elektryczne niskiego napięcia – Część 5-54: Dobór i montaż wyposażenia elektrycznego. Układy uziemiające i przewody ochronne.</w:t>
            </w:r>
          </w:p>
        </w:tc>
      </w:tr>
      <w:tr w:rsidR="000A3B2B" w14:paraId="4765C597" w14:textId="77777777">
        <w:trPr>
          <w:trHeight w:val="60"/>
          <w:tblCellSpacing w:w="0" w:type="dxa"/>
        </w:trPr>
        <w:tc>
          <w:tcPr>
            <w:tcW w:w="382" w:type="dxa"/>
            <w:tcBorders>
              <w:top w:val="nil"/>
              <w:left w:val="nil"/>
              <w:bottom w:val="nil"/>
              <w:right w:val="nil"/>
            </w:tcBorders>
          </w:tcPr>
          <w:p w14:paraId="2063A962"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14.</w:t>
            </w:r>
          </w:p>
        </w:tc>
        <w:tc>
          <w:tcPr>
            <w:tcW w:w="3360" w:type="dxa"/>
            <w:tcBorders>
              <w:top w:val="nil"/>
              <w:left w:val="nil"/>
              <w:bottom w:val="nil"/>
              <w:right w:val="nil"/>
            </w:tcBorders>
          </w:tcPr>
          <w:p w14:paraId="2A65E00E"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PN-HD 60364-5-559:2012</w:t>
            </w:r>
          </w:p>
        </w:tc>
        <w:tc>
          <w:tcPr>
            <w:tcW w:w="5566" w:type="dxa"/>
            <w:tcBorders>
              <w:top w:val="nil"/>
              <w:left w:val="nil"/>
              <w:bottom w:val="nil"/>
              <w:right w:val="nil"/>
            </w:tcBorders>
          </w:tcPr>
          <w:p w14:paraId="21514F8E" w14:textId="77777777" w:rsidR="000A3B2B" w:rsidRDefault="000A3B2B">
            <w:pPr>
              <w:autoSpaceDE w:val="0"/>
              <w:autoSpaceDN w:val="0"/>
              <w:adjustRightInd w:val="0"/>
              <w:spacing w:after="30" w:line="240" w:lineRule="auto"/>
              <w:jc w:val="both"/>
              <w:rPr>
                <w:rFonts w:ascii="Arial" w:hAnsi="Arial" w:cs="Arial"/>
                <w:i/>
                <w:iCs/>
                <w:color w:val="000000"/>
                <w:sz w:val="18"/>
                <w:szCs w:val="18"/>
                <w:lang w:val="x-none"/>
              </w:rPr>
            </w:pPr>
            <w:r>
              <w:rPr>
                <w:rFonts w:ascii="Arial" w:hAnsi="Arial" w:cs="Arial"/>
                <w:color w:val="000000"/>
                <w:sz w:val="18"/>
                <w:szCs w:val="18"/>
                <w:lang w:val="x-none"/>
              </w:rPr>
              <w:t>Instalacje elektryczne w obiektach budowlanych – Dobór i montaż wyposażenia elektrycznego – Inne wyposażenie – Oprawy oświetleniowe i instalacje oświetleniowe</w:t>
            </w:r>
            <w:r>
              <w:rPr>
                <w:rFonts w:ascii="Arial" w:hAnsi="Arial" w:cs="Arial"/>
                <w:i/>
                <w:iCs/>
                <w:color w:val="000000"/>
                <w:sz w:val="18"/>
                <w:szCs w:val="18"/>
                <w:lang w:val="x-none"/>
              </w:rPr>
              <w:t xml:space="preserve"> (wersja angielska).</w:t>
            </w:r>
          </w:p>
        </w:tc>
      </w:tr>
      <w:tr w:rsidR="000A3B2B" w14:paraId="3EA803A0" w14:textId="77777777">
        <w:trPr>
          <w:trHeight w:val="60"/>
          <w:tblCellSpacing w:w="0" w:type="dxa"/>
        </w:trPr>
        <w:tc>
          <w:tcPr>
            <w:tcW w:w="382" w:type="dxa"/>
            <w:tcBorders>
              <w:top w:val="nil"/>
              <w:left w:val="nil"/>
              <w:bottom w:val="nil"/>
              <w:right w:val="nil"/>
            </w:tcBorders>
          </w:tcPr>
          <w:p w14:paraId="265A04E1"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15.</w:t>
            </w:r>
          </w:p>
        </w:tc>
        <w:tc>
          <w:tcPr>
            <w:tcW w:w="3360" w:type="dxa"/>
            <w:tcBorders>
              <w:top w:val="nil"/>
              <w:left w:val="nil"/>
              <w:bottom w:val="nil"/>
              <w:right w:val="nil"/>
            </w:tcBorders>
          </w:tcPr>
          <w:p w14:paraId="6679E91A"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PN-IEC 60364-5-56:2010</w:t>
            </w:r>
          </w:p>
        </w:tc>
        <w:tc>
          <w:tcPr>
            <w:tcW w:w="5566" w:type="dxa"/>
            <w:tcBorders>
              <w:top w:val="nil"/>
              <w:left w:val="nil"/>
              <w:bottom w:val="nil"/>
              <w:right w:val="nil"/>
            </w:tcBorders>
          </w:tcPr>
          <w:p w14:paraId="6DF08194"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Instalacje elektryczne niskiego napięcia- Dobór i montaż wyposażenia elektrycznego – Instalacje bezpieczeństwa.</w:t>
            </w:r>
          </w:p>
        </w:tc>
      </w:tr>
      <w:tr w:rsidR="000A3B2B" w14:paraId="78A8E934" w14:textId="77777777">
        <w:trPr>
          <w:trHeight w:val="60"/>
          <w:tblCellSpacing w:w="0" w:type="dxa"/>
        </w:trPr>
        <w:tc>
          <w:tcPr>
            <w:tcW w:w="382" w:type="dxa"/>
            <w:tcBorders>
              <w:top w:val="nil"/>
              <w:left w:val="nil"/>
              <w:bottom w:val="nil"/>
              <w:right w:val="nil"/>
            </w:tcBorders>
          </w:tcPr>
          <w:p w14:paraId="4E9FEA84"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16.</w:t>
            </w:r>
          </w:p>
        </w:tc>
        <w:tc>
          <w:tcPr>
            <w:tcW w:w="3360" w:type="dxa"/>
            <w:tcBorders>
              <w:top w:val="nil"/>
              <w:left w:val="nil"/>
              <w:bottom w:val="nil"/>
              <w:right w:val="nil"/>
            </w:tcBorders>
          </w:tcPr>
          <w:p w14:paraId="67F4982D"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 xml:space="preserve">PN-HD 60364-7-701:2010 </w:t>
            </w:r>
          </w:p>
        </w:tc>
        <w:tc>
          <w:tcPr>
            <w:tcW w:w="5566" w:type="dxa"/>
            <w:tcBorders>
              <w:top w:val="nil"/>
              <w:left w:val="nil"/>
              <w:bottom w:val="nil"/>
              <w:right w:val="nil"/>
            </w:tcBorders>
          </w:tcPr>
          <w:p w14:paraId="2D7EE877"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Instalacje elektryczne w obiektach budowlanych – Część 7-701: Wymagania dotyczące specjalnych instalacji lub lokalizacji – Pomieszczenia wyposażone w wannę lub prysznic.</w:t>
            </w:r>
          </w:p>
        </w:tc>
      </w:tr>
      <w:tr w:rsidR="000A3B2B" w14:paraId="5CF92005" w14:textId="77777777">
        <w:trPr>
          <w:trHeight w:val="60"/>
          <w:tblCellSpacing w:w="0" w:type="dxa"/>
        </w:trPr>
        <w:tc>
          <w:tcPr>
            <w:tcW w:w="382" w:type="dxa"/>
            <w:tcBorders>
              <w:top w:val="nil"/>
              <w:left w:val="nil"/>
              <w:bottom w:val="nil"/>
              <w:right w:val="nil"/>
            </w:tcBorders>
          </w:tcPr>
          <w:p w14:paraId="03077724"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17.</w:t>
            </w:r>
          </w:p>
        </w:tc>
        <w:tc>
          <w:tcPr>
            <w:tcW w:w="3360" w:type="dxa"/>
            <w:tcBorders>
              <w:top w:val="nil"/>
              <w:left w:val="nil"/>
              <w:bottom w:val="nil"/>
              <w:right w:val="nil"/>
            </w:tcBorders>
          </w:tcPr>
          <w:p w14:paraId="50724E4F"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PN-IEC 60364-7-702:2010</w:t>
            </w:r>
          </w:p>
        </w:tc>
        <w:tc>
          <w:tcPr>
            <w:tcW w:w="5566" w:type="dxa"/>
            <w:tcBorders>
              <w:top w:val="nil"/>
              <w:left w:val="nil"/>
              <w:bottom w:val="nil"/>
              <w:right w:val="nil"/>
            </w:tcBorders>
          </w:tcPr>
          <w:p w14:paraId="4C330950" w14:textId="77777777" w:rsidR="000A3B2B" w:rsidRDefault="000A3B2B">
            <w:pPr>
              <w:autoSpaceDE w:val="0"/>
              <w:autoSpaceDN w:val="0"/>
              <w:adjustRightInd w:val="0"/>
              <w:spacing w:after="30" w:line="240" w:lineRule="auto"/>
              <w:jc w:val="both"/>
              <w:rPr>
                <w:rFonts w:ascii="Arial" w:hAnsi="Arial" w:cs="Arial"/>
                <w:i/>
                <w:iCs/>
                <w:color w:val="000000"/>
                <w:sz w:val="18"/>
                <w:szCs w:val="18"/>
                <w:lang w:val="x-none"/>
              </w:rPr>
            </w:pPr>
            <w:r>
              <w:rPr>
                <w:rFonts w:ascii="Arial" w:hAnsi="Arial" w:cs="Arial"/>
                <w:color w:val="000000"/>
                <w:sz w:val="18"/>
                <w:szCs w:val="18"/>
                <w:lang w:val="x-none"/>
              </w:rPr>
              <w:t>Instalacje elektryczne niskiego napięcia – Wymagania dotyczące specjalnych instalacji lub lokalizacji – Baseny pływackie i fontanny</w:t>
            </w:r>
            <w:r>
              <w:rPr>
                <w:rFonts w:ascii="Arial" w:hAnsi="Arial" w:cs="Arial"/>
                <w:i/>
                <w:iCs/>
                <w:color w:val="000000"/>
                <w:sz w:val="18"/>
                <w:szCs w:val="18"/>
                <w:lang w:val="x-none"/>
              </w:rPr>
              <w:t xml:space="preserve"> (wersja angielska).</w:t>
            </w:r>
          </w:p>
        </w:tc>
      </w:tr>
      <w:tr w:rsidR="000A3B2B" w14:paraId="46DC4C95" w14:textId="77777777">
        <w:trPr>
          <w:trHeight w:val="60"/>
          <w:tblCellSpacing w:w="0" w:type="dxa"/>
        </w:trPr>
        <w:tc>
          <w:tcPr>
            <w:tcW w:w="382" w:type="dxa"/>
            <w:tcBorders>
              <w:top w:val="nil"/>
              <w:left w:val="nil"/>
              <w:bottom w:val="nil"/>
              <w:right w:val="nil"/>
            </w:tcBorders>
          </w:tcPr>
          <w:p w14:paraId="5C4E577A"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18.</w:t>
            </w:r>
          </w:p>
        </w:tc>
        <w:tc>
          <w:tcPr>
            <w:tcW w:w="3360" w:type="dxa"/>
            <w:tcBorders>
              <w:top w:val="nil"/>
              <w:left w:val="nil"/>
              <w:bottom w:val="nil"/>
              <w:right w:val="nil"/>
            </w:tcBorders>
          </w:tcPr>
          <w:p w14:paraId="447EC03B"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PN-IEC 60364-4-482:1999</w:t>
            </w:r>
          </w:p>
        </w:tc>
        <w:tc>
          <w:tcPr>
            <w:tcW w:w="5566" w:type="dxa"/>
            <w:tcBorders>
              <w:top w:val="nil"/>
              <w:left w:val="nil"/>
              <w:bottom w:val="nil"/>
              <w:right w:val="nil"/>
            </w:tcBorders>
          </w:tcPr>
          <w:p w14:paraId="4DA17A43" w14:textId="77777777" w:rsidR="000A3B2B" w:rsidRDefault="000A3B2B">
            <w:pPr>
              <w:autoSpaceDE w:val="0"/>
              <w:autoSpaceDN w:val="0"/>
              <w:adjustRightInd w:val="0"/>
              <w:spacing w:after="30" w:line="240" w:lineRule="auto"/>
              <w:jc w:val="both"/>
              <w:rPr>
                <w:rFonts w:ascii="Arial" w:hAnsi="Arial" w:cs="Arial"/>
                <w:i/>
                <w:iCs/>
                <w:color w:val="000000"/>
                <w:sz w:val="18"/>
                <w:szCs w:val="18"/>
                <w:lang w:val="x-none"/>
              </w:rPr>
            </w:pPr>
            <w:r>
              <w:rPr>
                <w:rFonts w:ascii="Arial" w:hAnsi="Arial" w:cs="Arial"/>
                <w:color w:val="000000"/>
                <w:sz w:val="18"/>
                <w:szCs w:val="18"/>
                <w:lang w:val="x-none"/>
              </w:rPr>
              <w:t xml:space="preserve">Instalacje elektryczne w obiektach budowlanych – Ochrona dla zapewnienia bezpieczeństwa – Dobór środków ochrony w zależności od wpływów zewnętrznych – Ochrona przeciwpożarowa </w:t>
            </w:r>
            <w:r>
              <w:rPr>
                <w:rFonts w:ascii="Arial" w:hAnsi="Arial" w:cs="Arial"/>
                <w:i/>
                <w:iCs/>
                <w:color w:val="000000"/>
                <w:sz w:val="18"/>
                <w:szCs w:val="18"/>
                <w:lang w:val="x-none"/>
              </w:rPr>
              <w:t>(norma wycofana).</w:t>
            </w:r>
          </w:p>
        </w:tc>
      </w:tr>
      <w:tr w:rsidR="000A3B2B" w14:paraId="7E849794" w14:textId="77777777">
        <w:trPr>
          <w:trHeight w:val="60"/>
          <w:tblCellSpacing w:w="0" w:type="dxa"/>
        </w:trPr>
        <w:tc>
          <w:tcPr>
            <w:tcW w:w="382" w:type="dxa"/>
            <w:tcBorders>
              <w:top w:val="nil"/>
              <w:left w:val="nil"/>
              <w:bottom w:val="nil"/>
              <w:right w:val="nil"/>
            </w:tcBorders>
          </w:tcPr>
          <w:p w14:paraId="0C72CDB8"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19.</w:t>
            </w:r>
          </w:p>
        </w:tc>
        <w:tc>
          <w:tcPr>
            <w:tcW w:w="3360" w:type="dxa"/>
            <w:tcBorders>
              <w:top w:val="nil"/>
              <w:left w:val="nil"/>
              <w:bottom w:val="nil"/>
              <w:right w:val="nil"/>
            </w:tcBorders>
          </w:tcPr>
          <w:p w14:paraId="2B4ABA4D"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PN-HD 60364-7-704:2010</w:t>
            </w:r>
          </w:p>
        </w:tc>
        <w:tc>
          <w:tcPr>
            <w:tcW w:w="5566" w:type="dxa"/>
            <w:tcBorders>
              <w:top w:val="nil"/>
              <w:left w:val="nil"/>
              <w:bottom w:val="nil"/>
              <w:right w:val="nil"/>
            </w:tcBorders>
          </w:tcPr>
          <w:p w14:paraId="6CD9E720"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Instalacje elektryczne niskiego napięcia – Część 7-704: Wymagania dotyczące specjalnych instalacji lub lokalizacji – Instalacje na terenie budowy i rozbiórki.</w:t>
            </w:r>
          </w:p>
        </w:tc>
      </w:tr>
      <w:tr w:rsidR="000A3B2B" w14:paraId="1D9D1734" w14:textId="77777777">
        <w:trPr>
          <w:trHeight w:val="60"/>
          <w:tblCellSpacing w:w="0" w:type="dxa"/>
        </w:trPr>
        <w:tc>
          <w:tcPr>
            <w:tcW w:w="382" w:type="dxa"/>
            <w:tcBorders>
              <w:top w:val="nil"/>
              <w:left w:val="nil"/>
              <w:bottom w:val="nil"/>
              <w:right w:val="nil"/>
            </w:tcBorders>
          </w:tcPr>
          <w:p w14:paraId="3FB80AC4"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20.</w:t>
            </w:r>
          </w:p>
        </w:tc>
        <w:tc>
          <w:tcPr>
            <w:tcW w:w="3360" w:type="dxa"/>
            <w:tcBorders>
              <w:top w:val="nil"/>
              <w:left w:val="nil"/>
              <w:bottom w:val="nil"/>
              <w:right w:val="nil"/>
            </w:tcBorders>
          </w:tcPr>
          <w:p w14:paraId="1281E0BD"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 xml:space="preserve">PN-HD 60364-7-705:2007/A11:2013-03 </w:t>
            </w:r>
          </w:p>
        </w:tc>
        <w:tc>
          <w:tcPr>
            <w:tcW w:w="5566" w:type="dxa"/>
            <w:tcBorders>
              <w:top w:val="nil"/>
              <w:left w:val="nil"/>
              <w:bottom w:val="nil"/>
              <w:right w:val="nil"/>
            </w:tcBorders>
          </w:tcPr>
          <w:p w14:paraId="1B977CD7" w14:textId="77777777" w:rsidR="000A3B2B" w:rsidRDefault="000A3B2B">
            <w:pPr>
              <w:autoSpaceDE w:val="0"/>
              <w:autoSpaceDN w:val="0"/>
              <w:adjustRightInd w:val="0"/>
              <w:spacing w:after="30" w:line="240" w:lineRule="auto"/>
              <w:jc w:val="both"/>
              <w:rPr>
                <w:rFonts w:ascii="Arial" w:hAnsi="Arial" w:cs="Arial"/>
                <w:i/>
                <w:iCs/>
                <w:color w:val="000000"/>
                <w:sz w:val="18"/>
                <w:szCs w:val="18"/>
                <w:lang w:val="x-none"/>
              </w:rPr>
            </w:pPr>
            <w:r>
              <w:rPr>
                <w:rFonts w:ascii="Arial" w:hAnsi="Arial" w:cs="Arial"/>
                <w:color w:val="000000"/>
                <w:sz w:val="18"/>
                <w:szCs w:val="18"/>
                <w:lang w:val="x-none"/>
              </w:rPr>
              <w:t xml:space="preserve">Instalacje elektryczne niskiego napięcia – Część 7-705: Wymagania dotyczące specjalnych instalacji lub lokalizacji – Gospodarstwa rolnicze i ogrodnicze </w:t>
            </w:r>
            <w:r>
              <w:rPr>
                <w:rFonts w:ascii="Arial" w:hAnsi="Arial" w:cs="Arial"/>
                <w:i/>
                <w:iCs/>
                <w:color w:val="000000"/>
                <w:sz w:val="18"/>
                <w:szCs w:val="18"/>
                <w:lang w:val="x-none"/>
              </w:rPr>
              <w:t>(wersja angielska).</w:t>
            </w:r>
          </w:p>
        </w:tc>
      </w:tr>
      <w:tr w:rsidR="000A3B2B" w14:paraId="175A6810" w14:textId="77777777">
        <w:trPr>
          <w:trHeight w:val="60"/>
          <w:tblCellSpacing w:w="0" w:type="dxa"/>
        </w:trPr>
        <w:tc>
          <w:tcPr>
            <w:tcW w:w="382" w:type="dxa"/>
            <w:tcBorders>
              <w:top w:val="nil"/>
              <w:left w:val="nil"/>
              <w:bottom w:val="nil"/>
              <w:right w:val="nil"/>
            </w:tcBorders>
          </w:tcPr>
          <w:p w14:paraId="2E8FEA3A"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21.</w:t>
            </w:r>
          </w:p>
        </w:tc>
        <w:tc>
          <w:tcPr>
            <w:tcW w:w="3360" w:type="dxa"/>
            <w:tcBorders>
              <w:top w:val="nil"/>
              <w:left w:val="nil"/>
              <w:bottom w:val="nil"/>
              <w:right w:val="nil"/>
            </w:tcBorders>
          </w:tcPr>
          <w:p w14:paraId="62197FB8"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PN-HD 60364-7-714:2012</w:t>
            </w:r>
          </w:p>
        </w:tc>
        <w:tc>
          <w:tcPr>
            <w:tcW w:w="5566" w:type="dxa"/>
            <w:tcBorders>
              <w:top w:val="nil"/>
              <w:left w:val="nil"/>
              <w:bottom w:val="nil"/>
              <w:right w:val="nil"/>
            </w:tcBorders>
          </w:tcPr>
          <w:p w14:paraId="0745AF15" w14:textId="77777777" w:rsidR="000A3B2B" w:rsidRDefault="000A3B2B">
            <w:pPr>
              <w:autoSpaceDE w:val="0"/>
              <w:autoSpaceDN w:val="0"/>
              <w:adjustRightInd w:val="0"/>
              <w:spacing w:after="30" w:line="240" w:lineRule="auto"/>
              <w:jc w:val="both"/>
              <w:rPr>
                <w:rFonts w:ascii="Arial" w:hAnsi="Arial" w:cs="Arial"/>
                <w:i/>
                <w:iCs/>
                <w:color w:val="000000"/>
                <w:sz w:val="18"/>
                <w:szCs w:val="18"/>
                <w:lang w:val="x-none"/>
              </w:rPr>
            </w:pPr>
            <w:r>
              <w:rPr>
                <w:rFonts w:ascii="Arial" w:hAnsi="Arial" w:cs="Arial"/>
                <w:color w:val="000000"/>
                <w:sz w:val="18"/>
                <w:szCs w:val="18"/>
                <w:lang w:val="x-none"/>
              </w:rPr>
              <w:t xml:space="preserve">Instalacje elektryczne w obiektach budowlanych – Wymagania dotyczące specjalnych instalacji lub lokalizacji – Instalacje oświetlenia zewnętrznego </w:t>
            </w:r>
            <w:r>
              <w:rPr>
                <w:rFonts w:ascii="Arial" w:hAnsi="Arial" w:cs="Arial"/>
                <w:i/>
                <w:iCs/>
                <w:color w:val="000000"/>
                <w:sz w:val="18"/>
                <w:szCs w:val="18"/>
                <w:lang w:val="x-none"/>
              </w:rPr>
              <w:t>(wersja angielska).</w:t>
            </w:r>
          </w:p>
        </w:tc>
      </w:tr>
      <w:tr w:rsidR="000A3B2B" w14:paraId="459816D1" w14:textId="77777777">
        <w:trPr>
          <w:trHeight w:val="765"/>
          <w:tblCellSpacing w:w="0" w:type="dxa"/>
        </w:trPr>
        <w:tc>
          <w:tcPr>
            <w:tcW w:w="382" w:type="dxa"/>
            <w:tcBorders>
              <w:top w:val="nil"/>
              <w:left w:val="nil"/>
              <w:bottom w:val="nil"/>
              <w:right w:val="nil"/>
            </w:tcBorders>
          </w:tcPr>
          <w:p w14:paraId="0256E078"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22.</w:t>
            </w:r>
          </w:p>
        </w:tc>
        <w:tc>
          <w:tcPr>
            <w:tcW w:w="3360" w:type="dxa"/>
            <w:tcBorders>
              <w:top w:val="nil"/>
              <w:left w:val="nil"/>
              <w:bottom w:val="nil"/>
              <w:right w:val="nil"/>
            </w:tcBorders>
          </w:tcPr>
          <w:p w14:paraId="59EE06FA"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 xml:space="preserve">PN-EN 60529:2003/A2:2014-07 </w:t>
            </w:r>
          </w:p>
        </w:tc>
        <w:tc>
          <w:tcPr>
            <w:tcW w:w="5566" w:type="dxa"/>
            <w:tcBorders>
              <w:top w:val="nil"/>
              <w:left w:val="nil"/>
              <w:bottom w:val="nil"/>
              <w:right w:val="nil"/>
            </w:tcBorders>
          </w:tcPr>
          <w:p w14:paraId="1B8E852F" w14:textId="77777777" w:rsidR="000A3B2B" w:rsidRDefault="000A3B2B">
            <w:pPr>
              <w:autoSpaceDE w:val="0"/>
              <w:autoSpaceDN w:val="0"/>
              <w:adjustRightInd w:val="0"/>
              <w:spacing w:after="30" w:line="240" w:lineRule="auto"/>
              <w:jc w:val="both"/>
              <w:rPr>
                <w:rFonts w:ascii="Arial" w:hAnsi="Arial" w:cs="Arial"/>
                <w:i/>
                <w:iCs/>
                <w:color w:val="000000"/>
                <w:sz w:val="18"/>
                <w:szCs w:val="18"/>
                <w:lang w:val="x-none"/>
              </w:rPr>
            </w:pPr>
            <w:r>
              <w:rPr>
                <w:rFonts w:ascii="Arial" w:hAnsi="Arial" w:cs="Arial"/>
                <w:color w:val="000000"/>
                <w:sz w:val="18"/>
                <w:szCs w:val="18"/>
                <w:lang w:val="x-none"/>
              </w:rPr>
              <w:t>Stopnie ochrony zapewnianej przez obudowy (Kod IP)</w:t>
            </w:r>
            <w:r>
              <w:rPr>
                <w:rFonts w:ascii="Arial" w:hAnsi="Arial" w:cs="Arial"/>
                <w:i/>
                <w:iCs/>
                <w:color w:val="000000"/>
                <w:sz w:val="18"/>
                <w:szCs w:val="18"/>
                <w:lang w:val="x-none"/>
              </w:rPr>
              <w:t xml:space="preserve"> (wersja angielska).</w:t>
            </w:r>
          </w:p>
        </w:tc>
      </w:tr>
      <w:tr w:rsidR="000A3B2B" w14:paraId="12D21659" w14:textId="77777777">
        <w:trPr>
          <w:trHeight w:val="60"/>
          <w:tblCellSpacing w:w="0" w:type="dxa"/>
        </w:trPr>
        <w:tc>
          <w:tcPr>
            <w:tcW w:w="382" w:type="dxa"/>
            <w:tcBorders>
              <w:top w:val="nil"/>
              <w:left w:val="nil"/>
              <w:bottom w:val="nil"/>
              <w:right w:val="nil"/>
            </w:tcBorders>
          </w:tcPr>
          <w:p w14:paraId="76B03959"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23.</w:t>
            </w:r>
          </w:p>
        </w:tc>
        <w:tc>
          <w:tcPr>
            <w:tcW w:w="3360" w:type="dxa"/>
            <w:tcBorders>
              <w:top w:val="nil"/>
              <w:left w:val="nil"/>
              <w:bottom w:val="nil"/>
              <w:right w:val="nil"/>
            </w:tcBorders>
          </w:tcPr>
          <w:p w14:paraId="6194FAF9"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60664-1:2011</w:t>
            </w:r>
          </w:p>
        </w:tc>
        <w:tc>
          <w:tcPr>
            <w:tcW w:w="5566" w:type="dxa"/>
            <w:tcBorders>
              <w:top w:val="nil"/>
              <w:left w:val="nil"/>
              <w:bottom w:val="nil"/>
              <w:right w:val="nil"/>
            </w:tcBorders>
          </w:tcPr>
          <w:p w14:paraId="2B6D152C"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Koordynacja izolacji urządzeń elektrycznych w układach niskiego napięcia. Część 1: Zasady, wymagania i badania.</w:t>
            </w:r>
          </w:p>
        </w:tc>
      </w:tr>
      <w:tr w:rsidR="000A3B2B" w14:paraId="46D01C4D" w14:textId="77777777">
        <w:trPr>
          <w:trHeight w:val="60"/>
          <w:tblCellSpacing w:w="0" w:type="dxa"/>
        </w:trPr>
        <w:tc>
          <w:tcPr>
            <w:tcW w:w="382" w:type="dxa"/>
            <w:tcBorders>
              <w:top w:val="nil"/>
              <w:left w:val="nil"/>
              <w:bottom w:val="nil"/>
              <w:right w:val="nil"/>
            </w:tcBorders>
          </w:tcPr>
          <w:p w14:paraId="20B01440"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24.</w:t>
            </w:r>
          </w:p>
        </w:tc>
        <w:tc>
          <w:tcPr>
            <w:tcW w:w="3360" w:type="dxa"/>
            <w:tcBorders>
              <w:top w:val="nil"/>
              <w:left w:val="nil"/>
              <w:bottom w:val="nil"/>
              <w:right w:val="nil"/>
            </w:tcBorders>
          </w:tcPr>
          <w:p w14:paraId="1E058C68"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 xml:space="preserve">PN-EN 60670-24:2013-10 </w:t>
            </w:r>
          </w:p>
        </w:tc>
        <w:tc>
          <w:tcPr>
            <w:tcW w:w="5566" w:type="dxa"/>
            <w:tcBorders>
              <w:top w:val="nil"/>
              <w:left w:val="nil"/>
              <w:bottom w:val="nil"/>
              <w:right w:val="nil"/>
            </w:tcBorders>
          </w:tcPr>
          <w:p w14:paraId="55E82B40"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Puszki i obudowy do sprzętu elektroinstalacyjnego do stałych instalacji elektrycznych domowych i podobnych – Część 24: Wymagania szczegółowe dotyczące obudów do domowych urządzeń zabezpieczających i innego sprzętu elektrycznego z mocą rozpraszaną.</w:t>
            </w:r>
          </w:p>
        </w:tc>
      </w:tr>
      <w:tr w:rsidR="000A3B2B" w14:paraId="1573D3A0" w14:textId="77777777">
        <w:trPr>
          <w:trHeight w:val="60"/>
          <w:tblCellSpacing w:w="0" w:type="dxa"/>
        </w:trPr>
        <w:tc>
          <w:tcPr>
            <w:tcW w:w="382" w:type="dxa"/>
            <w:tcBorders>
              <w:top w:val="nil"/>
              <w:left w:val="nil"/>
              <w:bottom w:val="nil"/>
              <w:right w:val="nil"/>
            </w:tcBorders>
          </w:tcPr>
          <w:p w14:paraId="38DA9EF3"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25.</w:t>
            </w:r>
          </w:p>
        </w:tc>
        <w:tc>
          <w:tcPr>
            <w:tcW w:w="3360" w:type="dxa"/>
            <w:tcBorders>
              <w:top w:val="nil"/>
              <w:left w:val="nil"/>
              <w:bottom w:val="nil"/>
              <w:right w:val="nil"/>
            </w:tcBorders>
          </w:tcPr>
          <w:p w14:paraId="3610961D"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60799:2004</w:t>
            </w:r>
          </w:p>
        </w:tc>
        <w:tc>
          <w:tcPr>
            <w:tcW w:w="5566" w:type="dxa"/>
            <w:tcBorders>
              <w:top w:val="nil"/>
              <w:left w:val="nil"/>
              <w:bottom w:val="nil"/>
              <w:right w:val="nil"/>
            </w:tcBorders>
          </w:tcPr>
          <w:p w14:paraId="355B951A"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Sprzęt elektroinstalacyjny. Przewody przyłączeniowe i przewody pośredniczące.</w:t>
            </w:r>
          </w:p>
        </w:tc>
      </w:tr>
      <w:tr w:rsidR="000A3B2B" w14:paraId="689D9BEF" w14:textId="77777777">
        <w:trPr>
          <w:trHeight w:val="60"/>
          <w:tblCellSpacing w:w="0" w:type="dxa"/>
        </w:trPr>
        <w:tc>
          <w:tcPr>
            <w:tcW w:w="382" w:type="dxa"/>
            <w:tcBorders>
              <w:top w:val="nil"/>
              <w:left w:val="nil"/>
              <w:bottom w:val="nil"/>
              <w:right w:val="nil"/>
            </w:tcBorders>
          </w:tcPr>
          <w:p w14:paraId="178A580D"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26.</w:t>
            </w:r>
          </w:p>
        </w:tc>
        <w:tc>
          <w:tcPr>
            <w:tcW w:w="3360" w:type="dxa"/>
            <w:tcBorders>
              <w:top w:val="nil"/>
              <w:left w:val="nil"/>
              <w:bottom w:val="nil"/>
              <w:right w:val="nil"/>
            </w:tcBorders>
          </w:tcPr>
          <w:p w14:paraId="3160A3AB"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60898-1:2007/IS1:2008</w:t>
            </w:r>
          </w:p>
        </w:tc>
        <w:tc>
          <w:tcPr>
            <w:tcW w:w="5566" w:type="dxa"/>
            <w:tcBorders>
              <w:top w:val="nil"/>
              <w:left w:val="nil"/>
              <w:bottom w:val="nil"/>
              <w:right w:val="nil"/>
            </w:tcBorders>
          </w:tcPr>
          <w:p w14:paraId="6373B2C2"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Sprzęt elektroinstalacyjny – Wyłączniki do zabezpieczeń przetężeniowych instalacji domowych i podobnych – Część 1: Wyłączniki do obwodów prądu przemiennego.</w:t>
            </w:r>
          </w:p>
        </w:tc>
      </w:tr>
      <w:tr w:rsidR="000A3B2B" w14:paraId="6C35C1F7" w14:textId="77777777">
        <w:trPr>
          <w:trHeight w:val="60"/>
          <w:tblCellSpacing w:w="0" w:type="dxa"/>
        </w:trPr>
        <w:tc>
          <w:tcPr>
            <w:tcW w:w="382" w:type="dxa"/>
            <w:tcBorders>
              <w:top w:val="nil"/>
              <w:left w:val="nil"/>
              <w:bottom w:val="nil"/>
              <w:right w:val="nil"/>
            </w:tcBorders>
          </w:tcPr>
          <w:p w14:paraId="01740967"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27.</w:t>
            </w:r>
          </w:p>
        </w:tc>
        <w:tc>
          <w:tcPr>
            <w:tcW w:w="3360" w:type="dxa"/>
            <w:tcBorders>
              <w:top w:val="nil"/>
              <w:left w:val="nil"/>
              <w:bottom w:val="nil"/>
              <w:right w:val="nil"/>
            </w:tcBorders>
          </w:tcPr>
          <w:p w14:paraId="5B996545"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61008-1:2013-05</w:t>
            </w:r>
          </w:p>
        </w:tc>
        <w:tc>
          <w:tcPr>
            <w:tcW w:w="5566" w:type="dxa"/>
            <w:tcBorders>
              <w:top w:val="nil"/>
              <w:left w:val="nil"/>
              <w:bottom w:val="nil"/>
              <w:right w:val="nil"/>
            </w:tcBorders>
          </w:tcPr>
          <w:p w14:paraId="26CEF265"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Sprzęt elektroinstalacyjny. Wyłączniki różnicowoprądowe bez wbudowanego zabezpieczenia nadprądowego do użytku domowego i podobnego (RCCB). Część 1: Postanowienia ogólne </w:t>
            </w:r>
            <w:r>
              <w:rPr>
                <w:rFonts w:ascii="Arial" w:hAnsi="Arial" w:cs="Arial"/>
                <w:i/>
                <w:iCs/>
                <w:color w:val="000000"/>
                <w:sz w:val="18"/>
                <w:szCs w:val="18"/>
                <w:lang w:val="x-none"/>
              </w:rPr>
              <w:t>(wersja angielska)</w:t>
            </w:r>
            <w:r>
              <w:rPr>
                <w:rFonts w:ascii="Arial" w:hAnsi="Arial" w:cs="Arial"/>
                <w:color w:val="000000"/>
                <w:sz w:val="18"/>
                <w:szCs w:val="18"/>
                <w:lang w:val="x-none"/>
              </w:rPr>
              <w:t>.</w:t>
            </w:r>
          </w:p>
        </w:tc>
      </w:tr>
      <w:tr w:rsidR="000A3B2B" w14:paraId="37088371" w14:textId="77777777">
        <w:trPr>
          <w:trHeight w:val="60"/>
          <w:tblCellSpacing w:w="0" w:type="dxa"/>
        </w:trPr>
        <w:tc>
          <w:tcPr>
            <w:tcW w:w="382" w:type="dxa"/>
            <w:tcBorders>
              <w:top w:val="nil"/>
              <w:left w:val="nil"/>
              <w:bottom w:val="nil"/>
              <w:right w:val="nil"/>
            </w:tcBorders>
          </w:tcPr>
          <w:p w14:paraId="655F0030"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28.</w:t>
            </w:r>
          </w:p>
        </w:tc>
        <w:tc>
          <w:tcPr>
            <w:tcW w:w="3360" w:type="dxa"/>
            <w:tcBorders>
              <w:top w:val="nil"/>
              <w:left w:val="nil"/>
              <w:bottom w:val="nil"/>
              <w:right w:val="nil"/>
            </w:tcBorders>
          </w:tcPr>
          <w:p w14:paraId="08971B2A"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61009-1:2013-06</w:t>
            </w:r>
          </w:p>
        </w:tc>
        <w:tc>
          <w:tcPr>
            <w:tcW w:w="5566" w:type="dxa"/>
            <w:tcBorders>
              <w:top w:val="nil"/>
              <w:left w:val="nil"/>
              <w:bottom w:val="nil"/>
              <w:right w:val="nil"/>
            </w:tcBorders>
          </w:tcPr>
          <w:p w14:paraId="27F9D90D" w14:textId="77777777" w:rsidR="000A3B2B" w:rsidRDefault="000A3B2B">
            <w:pPr>
              <w:autoSpaceDE w:val="0"/>
              <w:autoSpaceDN w:val="0"/>
              <w:adjustRightInd w:val="0"/>
              <w:spacing w:after="30" w:line="240" w:lineRule="auto"/>
              <w:jc w:val="both"/>
              <w:rPr>
                <w:rFonts w:ascii="Arial" w:hAnsi="Arial" w:cs="Arial"/>
                <w:i/>
                <w:iCs/>
                <w:color w:val="000000"/>
                <w:sz w:val="18"/>
                <w:szCs w:val="18"/>
                <w:lang w:val="x-none"/>
              </w:rPr>
            </w:pPr>
            <w:r>
              <w:rPr>
                <w:rFonts w:ascii="Arial" w:hAnsi="Arial" w:cs="Arial"/>
                <w:color w:val="000000"/>
                <w:sz w:val="18"/>
                <w:szCs w:val="18"/>
                <w:lang w:val="x-none"/>
              </w:rPr>
              <w:t xml:space="preserve">Sprzęt elektroinstalacyjny. Wyłączniki różnicowoprądowe z wbudowanym zabezpieczeniem nadprądowym do użytku domowego i podobnego (RCBO). Część 1: Postanowienia ogólne </w:t>
            </w:r>
            <w:r>
              <w:rPr>
                <w:rFonts w:ascii="Arial" w:hAnsi="Arial" w:cs="Arial"/>
                <w:i/>
                <w:iCs/>
                <w:color w:val="000000"/>
                <w:sz w:val="18"/>
                <w:szCs w:val="18"/>
                <w:lang w:val="x-none"/>
              </w:rPr>
              <w:t>(wersja angielska).</w:t>
            </w:r>
          </w:p>
        </w:tc>
      </w:tr>
      <w:tr w:rsidR="000A3B2B" w14:paraId="18CEF2ED" w14:textId="77777777">
        <w:trPr>
          <w:trHeight w:val="1035"/>
          <w:tblCellSpacing w:w="0" w:type="dxa"/>
        </w:trPr>
        <w:tc>
          <w:tcPr>
            <w:tcW w:w="382" w:type="dxa"/>
            <w:tcBorders>
              <w:top w:val="nil"/>
              <w:left w:val="nil"/>
              <w:bottom w:val="nil"/>
              <w:right w:val="nil"/>
            </w:tcBorders>
          </w:tcPr>
          <w:p w14:paraId="5CA756F9"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29.</w:t>
            </w:r>
          </w:p>
        </w:tc>
        <w:tc>
          <w:tcPr>
            <w:tcW w:w="3360" w:type="dxa"/>
            <w:tcBorders>
              <w:top w:val="nil"/>
              <w:left w:val="nil"/>
              <w:bottom w:val="nil"/>
              <w:right w:val="nil"/>
            </w:tcBorders>
          </w:tcPr>
          <w:p w14:paraId="1AC06EE4"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 xml:space="preserve">PN-E-93207:1998/Az1:1999 </w:t>
            </w:r>
          </w:p>
        </w:tc>
        <w:tc>
          <w:tcPr>
            <w:tcW w:w="5566" w:type="dxa"/>
            <w:tcBorders>
              <w:top w:val="nil"/>
              <w:left w:val="nil"/>
              <w:bottom w:val="nil"/>
              <w:right w:val="nil"/>
            </w:tcBorders>
          </w:tcPr>
          <w:p w14:paraId="636AF1E6" w14:textId="77777777" w:rsidR="000A3B2B" w:rsidRDefault="000A3B2B">
            <w:pPr>
              <w:autoSpaceDE w:val="0"/>
              <w:autoSpaceDN w:val="0"/>
              <w:adjustRightInd w:val="0"/>
              <w:spacing w:after="30" w:line="240" w:lineRule="auto"/>
              <w:jc w:val="both"/>
              <w:rPr>
                <w:rFonts w:ascii="Arial" w:hAnsi="Arial" w:cs="Arial"/>
                <w:i/>
                <w:iCs/>
                <w:color w:val="000000"/>
                <w:sz w:val="18"/>
                <w:szCs w:val="18"/>
                <w:lang w:val="x-none"/>
              </w:rPr>
            </w:pPr>
            <w:r>
              <w:rPr>
                <w:rFonts w:ascii="Arial" w:hAnsi="Arial" w:cs="Arial"/>
                <w:color w:val="000000"/>
                <w:sz w:val="18"/>
                <w:szCs w:val="18"/>
                <w:lang w:val="x-none"/>
              </w:rPr>
              <w:t>Sprzęt elektroinstalacyjny. Odgałęźniki instalacyjne i płytki odgałęźne na napięcie do 750 V do przewodów o przekrojach do 50 mm</w:t>
            </w:r>
            <w:r>
              <w:rPr>
                <w:rFonts w:ascii="Arial" w:hAnsi="Arial" w:cs="Arial"/>
                <w:color w:val="000000"/>
                <w:position w:val="4"/>
                <w:sz w:val="8"/>
                <w:szCs w:val="8"/>
                <w:lang w:val="x-none"/>
              </w:rPr>
              <w:t>2</w:t>
            </w:r>
            <w:r>
              <w:rPr>
                <w:rFonts w:ascii="Arial" w:hAnsi="Arial" w:cs="Arial"/>
                <w:color w:val="000000"/>
                <w:sz w:val="18"/>
                <w:szCs w:val="18"/>
                <w:lang w:val="x-none"/>
              </w:rPr>
              <w:t>. Wymagania i badania (Zmiana Az1)</w:t>
            </w:r>
            <w:r>
              <w:rPr>
                <w:rFonts w:ascii="Arial" w:hAnsi="Arial" w:cs="Arial"/>
                <w:i/>
                <w:iCs/>
                <w:color w:val="000000"/>
                <w:sz w:val="18"/>
                <w:szCs w:val="18"/>
                <w:lang w:val="x-none"/>
              </w:rPr>
              <w:t>.</w:t>
            </w:r>
          </w:p>
        </w:tc>
      </w:tr>
      <w:tr w:rsidR="000A3B2B" w14:paraId="2BF90569" w14:textId="77777777">
        <w:trPr>
          <w:trHeight w:val="60"/>
          <w:tblCellSpacing w:w="0" w:type="dxa"/>
        </w:trPr>
        <w:tc>
          <w:tcPr>
            <w:tcW w:w="382" w:type="dxa"/>
            <w:tcBorders>
              <w:top w:val="nil"/>
              <w:left w:val="nil"/>
              <w:bottom w:val="nil"/>
              <w:right w:val="nil"/>
            </w:tcBorders>
          </w:tcPr>
          <w:p w14:paraId="564A36ED"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30.</w:t>
            </w:r>
          </w:p>
        </w:tc>
        <w:tc>
          <w:tcPr>
            <w:tcW w:w="3360" w:type="dxa"/>
            <w:tcBorders>
              <w:top w:val="nil"/>
              <w:left w:val="nil"/>
              <w:bottom w:val="nil"/>
              <w:right w:val="nil"/>
            </w:tcBorders>
          </w:tcPr>
          <w:p w14:paraId="782A1137"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PN-E-93210:1998</w:t>
            </w:r>
          </w:p>
        </w:tc>
        <w:tc>
          <w:tcPr>
            <w:tcW w:w="5566" w:type="dxa"/>
            <w:tcBorders>
              <w:top w:val="nil"/>
              <w:left w:val="nil"/>
              <w:bottom w:val="nil"/>
              <w:right w:val="nil"/>
            </w:tcBorders>
          </w:tcPr>
          <w:p w14:paraId="00E35323" w14:textId="77777777" w:rsidR="000A3B2B" w:rsidRDefault="000A3B2B">
            <w:pPr>
              <w:autoSpaceDE w:val="0"/>
              <w:autoSpaceDN w:val="0"/>
              <w:adjustRightInd w:val="0"/>
              <w:spacing w:after="30" w:line="240" w:lineRule="auto"/>
              <w:jc w:val="both"/>
              <w:rPr>
                <w:rFonts w:ascii="Arial" w:hAnsi="Arial" w:cs="Arial"/>
                <w:i/>
                <w:iCs/>
                <w:color w:val="000000"/>
                <w:sz w:val="18"/>
                <w:szCs w:val="18"/>
                <w:lang w:val="x-none"/>
              </w:rPr>
            </w:pPr>
            <w:r>
              <w:rPr>
                <w:rFonts w:ascii="Arial" w:hAnsi="Arial" w:cs="Arial"/>
                <w:color w:val="000000"/>
                <w:sz w:val="18"/>
                <w:szCs w:val="18"/>
                <w:lang w:val="x-none"/>
              </w:rPr>
              <w:t xml:space="preserve">Sprzęt elektroinstalacyjny. Automaty schodowe na znamionowe napięcie robocze 220 V i 230 V i prądy znamionowe do 25 A. Wymagania i badania </w:t>
            </w:r>
            <w:r>
              <w:rPr>
                <w:rFonts w:ascii="Arial" w:hAnsi="Arial" w:cs="Arial"/>
                <w:i/>
                <w:iCs/>
                <w:color w:val="000000"/>
                <w:sz w:val="18"/>
                <w:szCs w:val="18"/>
                <w:lang w:val="x-none"/>
              </w:rPr>
              <w:t>(norma wycofana).</w:t>
            </w:r>
          </w:p>
        </w:tc>
      </w:tr>
      <w:tr w:rsidR="000A3B2B" w14:paraId="5FCEFB77" w14:textId="77777777">
        <w:trPr>
          <w:trHeight w:val="60"/>
          <w:tblCellSpacing w:w="0" w:type="dxa"/>
        </w:trPr>
        <w:tc>
          <w:tcPr>
            <w:tcW w:w="382" w:type="dxa"/>
            <w:tcBorders>
              <w:top w:val="nil"/>
              <w:left w:val="nil"/>
              <w:bottom w:val="nil"/>
              <w:right w:val="nil"/>
            </w:tcBorders>
          </w:tcPr>
          <w:p w14:paraId="0B51609F"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31.</w:t>
            </w:r>
          </w:p>
        </w:tc>
        <w:tc>
          <w:tcPr>
            <w:tcW w:w="3360" w:type="dxa"/>
            <w:tcBorders>
              <w:top w:val="nil"/>
              <w:left w:val="nil"/>
              <w:bottom w:val="nil"/>
              <w:right w:val="nil"/>
            </w:tcBorders>
          </w:tcPr>
          <w:p w14:paraId="4BF459B6"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 05029:1990</w:t>
            </w:r>
          </w:p>
        </w:tc>
        <w:tc>
          <w:tcPr>
            <w:tcW w:w="5566" w:type="dxa"/>
            <w:tcBorders>
              <w:top w:val="nil"/>
              <w:left w:val="nil"/>
              <w:bottom w:val="nil"/>
              <w:right w:val="nil"/>
            </w:tcBorders>
          </w:tcPr>
          <w:p w14:paraId="7822882C" w14:textId="77777777" w:rsidR="000A3B2B" w:rsidRDefault="000A3B2B">
            <w:pPr>
              <w:autoSpaceDE w:val="0"/>
              <w:autoSpaceDN w:val="0"/>
              <w:adjustRightInd w:val="0"/>
              <w:spacing w:after="30" w:line="240" w:lineRule="auto"/>
              <w:jc w:val="both"/>
              <w:rPr>
                <w:rFonts w:ascii="Arial" w:hAnsi="Arial" w:cs="Arial"/>
                <w:i/>
                <w:iCs/>
                <w:color w:val="000000"/>
                <w:sz w:val="18"/>
                <w:szCs w:val="18"/>
                <w:lang w:val="x-none"/>
              </w:rPr>
            </w:pPr>
            <w:r>
              <w:rPr>
                <w:rFonts w:ascii="Arial" w:hAnsi="Arial" w:cs="Arial"/>
                <w:color w:val="000000"/>
                <w:sz w:val="18"/>
                <w:szCs w:val="18"/>
                <w:lang w:val="x-none"/>
              </w:rPr>
              <w:t xml:space="preserve">Kod do oznaczania barw </w:t>
            </w:r>
            <w:r>
              <w:rPr>
                <w:rFonts w:ascii="Arial" w:hAnsi="Arial" w:cs="Arial"/>
                <w:i/>
                <w:iCs/>
                <w:color w:val="000000"/>
                <w:sz w:val="18"/>
                <w:szCs w:val="18"/>
                <w:lang w:val="x-none"/>
              </w:rPr>
              <w:t>(norma wycofana).</w:t>
            </w:r>
          </w:p>
        </w:tc>
      </w:tr>
    </w:tbl>
    <w:p w14:paraId="2291EB42"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52FB1373"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 xml:space="preserve">10.2. </w:t>
      </w:r>
      <w:r>
        <w:rPr>
          <w:rFonts w:ascii="Arial" w:hAnsi="Arial" w:cs="Arial"/>
          <w:b/>
          <w:bCs/>
          <w:color w:val="000000"/>
          <w:sz w:val="18"/>
          <w:szCs w:val="18"/>
          <w:lang w:val="x-none"/>
        </w:rPr>
        <w:tab/>
        <w:t>Ustawy</w:t>
      </w:r>
    </w:p>
    <w:p w14:paraId="0525FFC4"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Ustawa z dnia 16 kwietnia 2004 r. o wyrobach budowlanych (tekst jednolity Dz. U. z 2016 r. Nr 0, poz. 1570).</w:t>
      </w:r>
    </w:p>
    <w:p w14:paraId="1DD1C5A4"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Ustawa z dnia 30 sierpnia 2002 r. o systemie oceny zgodności (tekst jednolity Dz. U. z 2016  r. Nr 0, poz. 655).</w:t>
      </w:r>
    </w:p>
    <w:p w14:paraId="1397EA57"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Ustawa z dnia 7 lipca 1994 r. Prawo budowlane (tekst jednolity Dz. U. z 2016 r. Nr 0, poz. 290).</w:t>
      </w:r>
    </w:p>
    <w:p w14:paraId="4605C334"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p>
    <w:p w14:paraId="661E7330"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 xml:space="preserve">10.3. </w:t>
      </w:r>
      <w:r>
        <w:rPr>
          <w:rFonts w:ascii="Arial" w:hAnsi="Arial" w:cs="Arial"/>
          <w:b/>
          <w:bCs/>
          <w:color w:val="000000"/>
          <w:sz w:val="18"/>
          <w:szCs w:val="18"/>
          <w:lang w:val="x-none"/>
        </w:rPr>
        <w:tab/>
        <w:t>Rozporządzenia</w:t>
      </w:r>
    </w:p>
    <w:p w14:paraId="3935D559"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Rozporządzenie Ministra Infrastruktury z dnia 02.09.2004 r. w sprawie szczegółowego zakresu i formy dokumentacji projektowej, specyfikacji technicznych wykonania i odbioru robót budowlanych oraz programu funkcjonalno-użytkowego (tekst jednolity Dz. U. z 2013 r. Nr 0, poz. 1129).</w:t>
      </w:r>
    </w:p>
    <w:p w14:paraId="61469A29"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Rozporządzenie Ministra Infrastruktury z dnia 26.06.2002 r. w sprawie dziennika budowy, montażu i rozbiórki, tablicy informacyjnej oraz ogłoszenia zawierającego dane dotyczące bezpieczeństwa pracy i ochrony zdrowia (Dz. U. z 2002 r. Nr 108, poz. 953 z późniejszymi zmianami).</w:t>
      </w:r>
    </w:p>
    <w:p w14:paraId="6C950722"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2C3FA74D"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 xml:space="preserve">10.4. </w:t>
      </w:r>
      <w:r>
        <w:rPr>
          <w:rFonts w:ascii="Arial" w:hAnsi="Arial" w:cs="Arial"/>
          <w:b/>
          <w:bCs/>
          <w:color w:val="000000"/>
          <w:sz w:val="18"/>
          <w:szCs w:val="18"/>
          <w:lang w:val="x-none"/>
        </w:rPr>
        <w:tab/>
        <w:t>Inne dokumenty i instrukcje</w:t>
      </w:r>
    </w:p>
    <w:p w14:paraId="210209DE"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Warunki techniczne wykonania i odbioru robót budowlano-montażowych (tom I, część 4) Arkady, Warszawa 1990 r.</w:t>
      </w:r>
    </w:p>
    <w:p w14:paraId="66415BC5"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Warunki techniczne wykonania i odbioru robót budowlanych ITB część D: Roboty instalacyjne. Zeszyt 1: Instalacje elektryczne i piorunochronne w budynkach mieszkalnych. Warszawa 2003 r. </w:t>
      </w:r>
    </w:p>
    <w:p w14:paraId="746A7166"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Warunki techniczne wykonania i odbioru robót budowlanych ITB część D: Roboty instalacyjne. Zeszyt 2: Instalacje elektryczne i piorunochronne w budynkach użyteczności publicznej. Warszawa 2004 r.</w:t>
      </w:r>
    </w:p>
    <w:p w14:paraId="328D5848"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Specyfikacja techniczna wykonania i odbioru robót budowlanych. Wymagania ogólne. Kod CPV 45000000-7. Wydanie 3, OWEOB Promocja – 2017 r.</w:t>
      </w:r>
    </w:p>
    <w:p w14:paraId="7380904E" w14:textId="77777777" w:rsidR="000A3B2B" w:rsidRDefault="000A3B2B" w:rsidP="009E5295">
      <w:pPr>
        <w:autoSpaceDE w:val="0"/>
        <w:autoSpaceDN w:val="0"/>
        <w:adjustRightInd w:val="0"/>
        <w:spacing w:after="30" w:line="240" w:lineRule="auto"/>
        <w:ind w:left="300" w:hanging="300"/>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Poradnik montera elektryka WNT Warszawa 1997 r.</w:t>
      </w:r>
    </w:p>
    <w:p w14:paraId="262CEB7C" w14:textId="77777777" w:rsidR="000A3B2B" w:rsidRDefault="000A3B2B" w:rsidP="00BF14F2">
      <w:pPr>
        <w:pStyle w:val="Styl1"/>
        <w:sectPr w:rsidR="000A3B2B" w:rsidSect="009E5295">
          <w:pgSz w:w="12240" w:h="15840"/>
          <w:pgMar w:top="1417" w:right="1417" w:bottom="1417" w:left="1417" w:header="708" w:footer="708" w:gutter="0"/>
          <w:cols w:space="708"/>
          <w:noEndnote/>
        </w:sectPr>
      </w:pPr>
    </w:p>
    <w:p w14:paraId="2452C44C" w14:textId="77777777" w:rsidR="000A3B2B" w:rsidRDefault="000A3B2B" w:rsidP="00BF14F2">
      <w:pPr>
        <w:pStyle w:val="Styl1"/>
      </w:pPr>
      <w:r>
        <w:t>INSTALOWANIE CENTRALNEGO</w:t>
      </w:r>
      <w:r>
        <w:rPr>
          <w:lang w:val="pl-PL"/>
        </w:rPr>
        <w:t xml:space="preserve"> </w:t>
      </w:r>
      <w:r>
        <w:t>OGRZEWANIA WODNEGO</w:t>
      </w:r>
    </w:p>
    <w:p w14:paraId="16415FB1" w14:textId="77777777" w:rsidR="000A3B2B" w:rsidRDefault="000A3B2B" w:rsidP="009E5295">
      <w:pPr>
        <w:autoSpaceDE w:val="0"/>
        <w:autoSpaceDN w:val="0"/>
        <w:adjustRightInd w:val="0"/>
        <w:spacing w:after="30" w:line="240" w:lineRule="auto"/>
        <w:ind w:left="285" w:hanging="285"/>
        <w:jc w:val="both"/>
        <w:rPr>
          <w:rFonts w:ascii="Arial" w:hAnsi="Arial" w:cs="Arial"/>
          <w:b/>
          <w:bCs/>
          <w:color w:val="000000"/>
          <w:sz w:val="18"/>
          <w:szCs w:val="18"/>
          <w:lang w:val="x-none"/>
        </w:rPr>
      </w:pPr>
    </w:p>
    <w:p w14:paraId="6500D919" w14:textId="77777777" w:rsidR="000A3B2B" w:rsidRDefault="000A3B2B" w:rsidP="009E5295">
      <w:pPr>
        <w:autoSpaceDE w:val="0"/>
        <w:autoSpaceDN w:val="0"/>
        <w:adjustRightInd w:val="0"/>
        <w:spacing w:after="3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1.</w:t>
      </w:r>
      <w:r>
        <w:rPr>
          <w:rFonts w:ascii="Arial" w:hAnsi="Arial" w:cs="Arial"/>
          <w:b/>
          <w:bCs/>
          <w:color w:val="000000"/>
          <w:sz w:val="18"/>
          <w:szCs w:val="18"/>
          <w:lang w:val="x-none"/>
        </w:rPr>
        <w:tab/>
        <w:t>CZĘŚĆ OGÓLNA</w:t>
      </w:r>
    </w:p>
    <w:p w14:paraId="6C957F14"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1.1.</w:t>
      </w:r>
      <w:r>
        <w:rPr>
          <w:rFonts w:ascii="Arial" w:hAnsi="Arial" w:cs="Arial"/>
          <w:b/>
          <w:bCs/>
          <w:color w:val="000000"/>
          <w:sz w:val="18"/>
          <w:szCs w:val="18"/>
          <w:lang w:val="x-none"/>
        </w:rPr>
        <w:tab/>
        <w:t>Nazwa nadana zamówieniu przez Zamawiającego</w:t>
      </w:r>
    </w:p>
    <w:p w14:paraId="3E390ACB" w14:textId="77777777" w:rsidR="000A3B2B" w:rsidRDefault="000A3B2B" w:rsidP="009E5295">
      <w:pPr>
        <w:tabs>
          <w:tab w:val="right" w:leader="dot" w:pos="7035"/>
        </w:tabs>
        <w:autoSpaceDE w:val="0"/>
        <w:autoSpaceDN w:val="0"/>
        <w:adjustRightInd w:val="0"/>
        <w:spacing w:after="30" w:line="240" w:lineRule="auto"/>
        <w:jc w:val="both"/>
        <w:rPr>
          <w:rFonts w:ascii="Arial" w:hAnsi="Arial" w:cs="Arial"/>
          <w:color w:val="000000"/>
          <w:sz w:val="18"/>
          <w:szCs w:val="18"/>
          <w:lang w:val="x-none"/>
        </w:rPr>
      </w:pPr>
      <w:r w:rsidRPr="00D8129F">
        <w:rPr>
          <w:rFonts w:ascii="Arial" w:hAnsi="Arial" w:cs="Arial"/>
          <w:noProof/>
          <w:color w:val="000000"/>
          <w:sz w:val="18"/>
          <w:szCs w:val="18"/>
          <w:lang w:val="x-none"/>
        </w:rPr>
        <w:t>Termomodernizacja budynku Szkoły Podstawowej nr 3 przy ul. Marii Konopnickiej 2 w Reszlu.</w:t>
      </w:r>
    </w:p>
    <w:p w14:paraId="2D5FD035"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1.2.</w:t>
      </w:r>
      <w:r>
        <w:rPr>
          <w:rFonts w:ascii="Arial" w:hAnsi="Arial" w:cs="Arial"/>
          <w:b/>
          <w:bCs/>
          <w:color w:val="000000"/>
          <w:sz w:val="18"/>
          <w:szCs w:val="18"/>
          <w:lang w:val="x-none"/>
        </w:rPr>
        <w:tab/>
        <w:t>Przedmiot ST</w:t>
      </w:r>
    </w:p>
    <w:p w14:paraId="4FC35F83"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Przedmiotem niniejszej standardowej specyfikacji technicznej (ST) są wymagania dotyczące wykonania i odbioru robót przy wykonywaniu instalacji centralnego ogrzewania wodnego w budownictwie mieszkalnym, użyteczności publicznej, rolniczym i przemysłowym, eksploatowanych w warunkach nie narażonych na destrukcyjne oddziaływanie środowiska korozyjnego. Ta specyfikacja techniczna (ST) nie dotyczy wykonywania instalacji wykonywanych w energetyce cieplnej, a także innych instalacji ogrzewczych i technologicznych, eksploatowanych w warunkach odbiegających znacznie od warunków występujących w budownictwie mieszkaniowym i ogólnym. Nie obejmuje także montażu kotłów i wykonania węzłów ciepłowniczych.</w:t>
      </w:r>
    </w:p>
    <w:p w14:paraId="153411C3"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099A3245"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1.3.</w:t>
      </w:r>
      <w:r>
        <w:rPr>
          <w:rFonts w:ascii="Arial" w:hAnsi="Arial" w:cs="Arial"/>
          <w:b/>
          <w:bCs/>
          <w:color w:val="000000"/>
          <w:sz w:val="18"/>
          <w:szCs w:val="18"/>
          <w:lang w:val="x-none"/>
        </w:rPr>
        <w:tab/>
        <w:t>Zakres stosowania ST</w:t>
      </w:r>
    </w:p>
    <w:p w14:paraId="7B873F07"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Niniejsza specyfikacja techniczna (ST) jest dokumentem przetargowym i kontraktowym przy zlecaniu i realizacji robót wymienionych w pkt. 1.2., a objętych zamówieniem określonym w pkt. 1.8.</w:t>
      </w:r>
    </w:p>
    <w:p w14:paraId="0E89F811"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Odstępstwa od wymagań podanych w niniejszej specyfikacji mogą mieć miejsce tylko w przypadkach prostych robót o niewielkim znaczeniu, dla których istnieje pewność, że podstawowe wymagania będą spełnione przy zastosowaniu metod wykonania wynikających z doświadczenia oraz uznanych reguł i zasad sztuki budowlanej oraz przy uwzględnieniu przepisów bhp.</w:t>
      </w:r>
    </w:p>
    <w:p w14:paraId="5DFE55DA"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01307673"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1.4.</w:t>
      </w:r>
      <w:r>
        <w:rPr>
          <w:rFonts w:ascii="Arial" w:hAnsi="Arial" w:cs="Arial"/>
          <w:b/>
          <w:bCs/>
          <w:color w:val="000000"/>
          <w:sz w:val="18"/>
          <w:szCs w:val="18"/>
          <w:lang w:val="x-none"/>
        </w:rPr>
        <w:tab/>
        <w:t>Przedmiot i zakres robót objętych ST</w:t>
      </w:r>
    </w:p>
    <w:p w14:paraId="3B3CBC9F"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Specyfikacja dotyczy wykonania instalacji centralnego ogrzewania eksploatowanych w warunkach nie narażonych na destrukcyjne działanie środowiska korozyjnego i obejmuje wykonanie następujących czynności:</w:t>
      </w:r>
    </w:p>
    <w:p w14:paraId="241CE500"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montaż rurociągów i armatury,</w:t>
      </w:r>
    </w:p>
    <w:p w14:paraId="0389E9A6"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montaż odbiorników ciepła.</w:t>
      </w:r>
    </w:p>
    <w:p w14:paraId="5CD54511"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Przedmiotem specyfikacji jest także określenie wymagań odnośnie właściwości materiałów wykorzystywanych do robót przy wykonywaniu instalacji centralnego ogrzewania wodnego oraz wymagań dotyczących wykonania i odbiorów instalacji c.o.</w:t>
      </w:r>
    </w:p>
    <w:p w14:paraId="7CC78D1E"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1.5.</w:t>
      </w:r>
      <w:r>
        <w:rPr>
          <w:rFonts w:ascii="Arial" w:hAnsi="Arial" w:cs="Arial"/>
          <w:b/>
          <w:bCs/>
          <w:color w:val="000000"/>
          <w:sz w:val="18"/>
          <w:szCs w:val="18"/>
          <w:lang w:val="x-none"/>
        </w:rPr>
        <w:tab/>
        <w:t>Określenia podstawowe</w:t>
      </w:r>
    </w:p>
    <w:p w14:paraId="0E7D9FFA"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Określenia podane w niniejszej Specyfikacji są zgodne z odpowiednimi normami oraz określeniami podanymi w ST „Wymagania ogólne” Kod CPV 45000000-7, pkt 1.7., a także zdefiniowanymi poniżej:</w:t>
      </w:r>
    </w:p>
    <w:p w14:paraId="046EF8D7"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Plac budowy</w:t>
      </w:r>
      <w:r>
        <w:rPr>
          <w:rFonts w:ascii="Arial" w:hAnsi="Arial" w:cs="Arial"/>
          <w:color w:val="000000"/>
          <w:sz w:val="18"/>
          <w:szCs w:val="18"/>
          <w:lang w:val="x-none"/>
        </w:rPr>
        <w:t xml:space="preserve"> jest to miejsce udostępnione przez Zamawiającego dla wykonania zleconych robót oraz inne miejsca wymienione w umowie. </w:t>
      </w:r>
    </w:p>
    <w:p w14:paraId="304CFA5E"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Teren budowy</w:t>
      </w:r>
      <w:r>
        <w:rPr>
          <w:rFonts w:ascii="Arial" w:hAnsi="Arial" w:cs="Arial"/>
          <w:color w:val="000000"/>
          <w:sz w:val="18"/>
          <w:szCs w:val="18"/>
          <w:lang w:val="x-none"/>
        </w:rPr>
        <w:t xml:space="preserve"> jest to miejsce (część placu budowy) wykonywania poszczególnych robót.</w:t>
      </w:r>
    </w:p>
    <w:p w14:paraId="142DACB6"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 xml:space="preserve">Zabezpieczenie placu budowy </w:t>
      </w:r>
      <w:r>
        <w:rPr>
          <w:rFonts w:ascii="Arial" w:hAnsi="Arial" w:cs="Arial"/>
          <w:color w:val="000000"/>
          <w:sz w:val="18"/>
          <w:szCs w:val="18"/>
          <w:lang w:val="x-none"/>
        </w:rPr>
        <w:t>– Wykonawca zobowiązany jest do zabezpieczenia placu budowy przed dostępem osób nieupoważnionych i utrzymanie na nim należytego porządku od momentu przekazania do dnia końcowego odbioru robót.</w:t>
      </w:r>
    </w:p>
    <w:p w14:paraId="37477D50"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Instalacja ogrzewcza wodna</w:t>
      </w:r>
      <w:r>
        <w:rPr>
          <w:rFonts w:ascii="Arial" w:hAnsi="Arial" w:cs="Arial"/>
          <w:color w:val="000000"/>
          <w:sz w:val="18"/>
          <w:szCs w:val="18"/>
          <w:lang w:val="x-none"/>
        </w:rPr>
        <w:t xml:space="preserve"> – układ połączonych przewodów napełnionych wodą instalacyjną, wraz z armaturą, pompami obiegowymi i innymi urządzeniami (w tym grzejnikami, wymiennikami do przygotowania wody ciepłej, nagrzewnicami wentylacyjnymi itp.), oddzielony zaworami od źródła ciepła.</w:t>
      </w:r>
    </w:p>
    <w:p w14:paraId="4C9F2C92"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Ogrzewanie podłogowe</w:t>
      </w:r>
      <w:r>
        <w:rPr>
          <w:rFonts w:ascii="Arial" w:hAnsi="Arial" w:cs="Arial"/>
          <w:color w:val="000000"/>
          <w:sz w:val="18"/>
          <w:szCs w:val="18"/>
          <w:lang w:val="x-none"/>
        </w:rPr>
        <w:t xml:space="preserve"> – system ogrzewania, w którym czynnik grzewczy płynie rurami ułożonymi w podłodze – przy prawidłowo zaprojektowanej instalacji oddawanie ciepła do pomieszczenia jest równomiernie na całej powierzchni podłogi. Rury można układać tworząc meandry lub spiralnie.</w:t>
      </w:r>
    </w:p>
    <w:p w14:paraId="117DB3F6"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Regulator pogodowy</w:t>
      </w:r>
      <w:r>
        <w:rPr>
          <w:rFonts w:ascii="Arial" w:hAnsi="Arial" w:cs="Arial"/>
          <w:color w:val="000000"/>
          <w:sz w:val="18"/>
          <w:szCs w:val="18"/>
          <w:lang w:val="x-none"/>
        </w:rPr>
        <w:t xml:space="preserve"> – regulator ze zdalnym czujnikiem temperatury zewnętrznej, regulujący temperaturę z kotła na wyjściu do c.o., w zależności od temperatury zewnętrznej (przy niższej temperaturze zewnętrznej – wyższa temperatura zasilania c.o. i odwrotnie).</w:t>
      </w:r>
    </w:p>
    <w:p w14:paraId="1E6D8C75"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Regulator pokojowy</w:t>
      </w:r>
      <w:r>
        <w:rPr>
          <w:rFonts w:ascii="Arial" w:hAnsi="Arial" w:cs="Arial"/>
          <w:color w:val="000000"/>
          <w:sz w:val="18"/>
          <w:szCs w:val="18"/>
          <w:lang w:val="x-none"/>
        </w:rPr>
        <w:t xml:space="preserve"> – regulator z wbudowanym czujnikiem temperatury, montowany w ogrzewanym pomieszczeniu i sterujący pracą kotła w zależności od temperatury w pomieszczeniu. Niektóre regulatory pokojowe można zaprogramować wg potrzeb, dzieląc jednostkę czasu np. dobę na podstrefy czasowe o zróżnicowanej temperaturze w danym miejscu [np. najprostszy „noc-dzień”].</w:t>
      </w:r>
    </w:p>
    <w:p w14:paraId="6BB21ECC"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Instalacja ogrzewcza systemu zamkniętego</w:t>
      </w:r>
      <w:r>
        <w:rPr>
          <w:rFonts w:ascii="Arial" w:hAnsi="Arial" w:cs="Arial"/>
          <w:color w:val="000000"/>
          <w:sz w:val="18"/>
          <w:szCs w:val="18"/>
          <w:lang w:val="x-none"/>
        </w:rPr>
        <w:t xml:space="preserve"> – instalacja, w której przestrzeń wodna (zład) nie ma swobodnego połączenia z atmosferą.</w:t>
      </w:r>
    </w:p>
    <w:p w14:paraId="2B545E17"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Instalacja systemu otwartego</w:t>
      </w:r>
      <w:r>
        <w:rPr>
          <w:rFonts w:ascii="Arial" w:hAnsi="Arial" w:cs="Arial"/>
          <w:color w:val="000000"/>
          <w:sz w:val="18"/>
          <w:szCs w:val="18"/>
          <w:lang w:val="x-none"/>
        </w:rPr>
        <w:t xml:space="preserve"> – instalacja, w której przestrzeń wodna (zład) ma stałe swobodne połączenie z atmosferą przez otwarte naczynie </w:t>
      </w:r>
      <w:proofErr w:type="spellStart"/>
      <w:r>
        <w:rPr>
          <w:rFonts w:ascii="Arial" w:hAnsi="Arial" w:cs="Arial"/>
          <w:color w:val="000000"/>
          <w:sz w:val="18"/>
          <w:szCs w:val="18"/>
          <w:lang w:val="x-none"/>
        </w:rPr>
        <w:t>wzbiorcze</w:t>
      </w:r>
      <w:proofErr w:type="spellEnd"/>
      <w:r>
        <w:rPr>
          <w:rFonts w:ascii="Arial" w:hAnsi="Arial" w:cs="Arial"/>
          <w:color w:val="000000"/>
          <w:sz w:val="18"/>
          <w:szCs w:val="18"/>
          <w:lang w:val="x-none"/>
        </w:rPr>
        <w:t>.</w:t>
      </w:r>
    </w:p>
    <w:p w14:paraId="5EAA5412"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Ogrzewanie grawitacyjne</w:t>
      </w:r>
      <w:r>
        <w:rPr>
          <w:rFonts w:ascii="Arial" w:hAnsi="Arial" w:cs="Arial"/>
          <w:color w:val="000000"/>
          <w:sz w:val="18"/>
          <w:szCs w:val="18"/>
          <w:lang w:val="x-none"/>
        </w:rPr>
        <w:t xml:space="preserve"> – wymuszanie przepływu wody w instalacji dokonuje się przez wykorzystywanie zjawiska unoszenia się ogrzanej wody i opadania schłodzonej.</w:t>
      </w:r>
    </w:p>
    <w:p w14:paraId="47682DD3"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 xml:space="preserve">Ogrzewanie pompowe </w:t>
      </w:r>
      <w:r>
        <w:rPr>
          <w:rFonts w:ascii="Arial" w:hAnsi="Arial" w:cs="Arial"/>
          <w:color w:val="000000"/>
          <w:sz w:val="18"/>
          <w:szCs w:val="18"/>
          <w:lang w:val="x-none"/>
        </w:rPr>
        <w:t>– wymuszanie ruchu wody w instalacji dokonywane jest przy zastosowaniu pompy obiegowej. Praca pompy pozwala pokonać duże opory hydrauliczne powstające przy przepływie wody w rurach i dlatego stosować można rury o dużo mniejszych średnicach niż w ogrzewaniu grawitacyjnym. Dodatkowo instalacje pompowe mają mniejsze ograniczenia związane z wielkością, rozległością i ukształtowaniem przestrzennym instalacji.</w:t>
      </w:r>
    </w:p>
    <w:p w14:paraId="02B2D817"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Odpowietrzenie instalacji c.o.</w:t>
      </w:r>
      <w:r>
        <w:rPr>
          <w:rFonts w:ascii="Arial" w:hAnsi="Arial" w:cs="Arial"/>
          <w:color w:val="000000"/>
          <w:sz w:val="18"/>
          <w:szCs w:val="18"/>
          <w:lang w:val="x-none"/>
        </w:rPr>
        <w:t xml:space="preserve"> – stosowane w celu uniknięcia negatywnych skutków obecności powietrza w instalacji, jak: powstawania szumów przepływowych i głośnej pracy instalacji, spadku ilości ciepła oddawanego przez grzejniki, złego przewodzenia ciepła na ściankach kotłów, skróconej żywotności instalacji wskutek korozji, uszkodzenia pompy obiegowej – zużycie łożysk pompy i erozja kawitacyjna łopatek wirnika oraz znacznego spadku wydajności pompy.</w:t>
      </w:r>
    </w:p>
    <w:p w14:paraId="22189511" w14:textId="77777777" w:rsidR="000A3B2B" w:rsidRDefault="000A3B2B" w:rsidP="009E5295">
      <w:pPr>
        <w:autoSpaceDE w:val="0"/>
        <w:autoSpaceDN w:val="0"/>
        <w:adjustRightInd w:val="0"/>
        <w:spacing w:after="30" w:line="240" w:lineRule="auto"/>
        <w:jc w:val="both"/>
        <w:rPr>
          <w:rFonts w:ascii="Arial" w:hAnsi="Arial" w:cs="Arial"/>
          <w:b/>
          <w:bCs/>
          <w:color w:val="000000"/>
          <w:sz w:val="18"/>
          <w:szCs w:val="18"/>
          <w:lang w:val="x-none"/>
        </w:rPr>
      </w:pPr>
      <w:r>
        <w:rPr>
          <w:rFonts w:ascii="Arial" w:hAnsi="Arial" w:cs="Arial"/>
          <w:b/>
          <w:bCs/>
          <w:color w:val="000000"/>
          <w:sz w:val="18"/>
          <w:szCs w:val="18"/>
          <w:lang w:val="x-none"/>
        </w:rPr>
        <w:t>Kompensacja wydłużeń termicznych:</w:t>
      </w:r>
    </w:p>
    <w:p w14:paraId="241B7530"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kompensacja naturalna wydłużeń liniowych, wykorzystując zmiany kierunków prowadzenia instalacji oraz układ punktów stałych,</w:t>
      </w:r>
    </w:p>
    <w:p w14:paraId="4C6B6BE8"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kompensatory mieszkowe montowane na pionach i w konieczności na innych odcinkach instalacji c.o.,</w:t>
      </w:r>
    </w:p>
    <w:p w14:paraId="50178955"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kompensatory U-kształtowe na głównych poziomach c.o. – wykonane z materiału identycznego jak przewody c.o. </w:t>
      </w:r>
    </w:p>
    <w:p w14:paraId="31FC6ADB"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3B9C1964"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1.6.</w:t>
      </w:r>
      <w:r>
        <w:rPr>
          <w:rFonts w:ascii="Arial" w:hAnsi="Arial" w:cs="Arial"/>
          <w:b/>
          <w:bCs/>
          <w:color w:val="000000"/>
          <w:sz w:val="18"/>
          <w:szCs w:val="18"/>
          <w:lang w:val="x-none"/>
        </w:rPr>
        <w:tab/>
        <w:t>Ogólne wymagania dotyczące robót</w:t>
      </w:r>
    </w:p>
    <w:p w14:paraId="6E86F641"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Wykonawca robót jest odpowiedzialny za jakość ich wykonania oraz za zgodność z dokumentacją projektową, specyfikacjami technicznymi i poleceniami Inspektora nadzoru. Ogólne powszechnie stosowane wymagania dotyczące robót podano w ST „Wymagania ogólne” Kod CPV 45000000-7, pkt 1.5.</w:t>
      </w:r>
    </w:p>
    <w:p w14:paraId="4AA20F27"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462C289A"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1.7.</w:t>
      </w:r>
      <w:r>
        <w:rPr>
          <w:rFonts w:ascii="Arial" w:hAnsi="Arial" w:cs="Arial"/>
          <w:b/>
          <w:bCs/>
          <w:color w:val="000000"/>
          <w:sz w:val="18"/>
          <w:szCs w:val="18"/>
          <w:lang w:val="x-none"/>
        </w:rPr>
        <w:tab/>
        <w:t>Dokumentacja robót instalacyjnych centralnego ogrzewania wodnego</w:t>
      </w:r>
    </w:p>
    <w:p w14:paraId="271E8931"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Roboty montażowe instalacji centralnego ogrzewania należy wykonywać na podstawie dokumentacji, której wykaz oraz podstawy prawne ich sporządzenia podano w ST „Wymagania ogólne” Kod CPV 45000000-7, pkt 1.6. Przy wykonywaniu tych robót należy wykorzystać także:</w:t>
      </w:r>
    </w:p>
    <w:p w14:paraId="5981F032"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projekt budowlany, opracowany zgodnie z rozporządzeniem Ministra Transportu Budownictwa i Gospodarki Morskiej z dnia 25 kwietnia 2012 „w sprawie szczegółowego zakresu i formy projektu budowlanego (Dz. U. z 27 kwietnia 2012 poz. 462 z </w:t>
      </w:r>
      <w:proofErr w:type="spellStart"/>
      <w:r>
        <w:rPr>
          <w:rFonts w:ascii="Arial" w:hAnsi="Arial" w:cs="Arial"/>
          <w:color w:val="000000"/>
          <w:sz w:val="18"/>
          <w:szCs w:val="18"/>
          <w:lang w:val="x-none"/>
        </w:rPr>
        <w:t>późn</w:t>
      </w:r>
      <w:proofErr w:type="spellEnd"/>
      <w:r>
        <w:rPr>
          <w:rFonts w:ascii="Arial" w:hAnsi="Arial" w:cs="Arial"/>
          <w:color w:val="000000"/>
          <w:sz w:val="18"/>
          <w:szCs w:val="18"/>
          <w:lang w:val="x-none"/>
        </w:rPr>
        <w:t>. zmian.), dla przedmiotu zamówienia dla którego wymagane jest uzyskanie pozwolenia na budowę,</w:t>
      </w:r>
    </w:p>
    <w:p w14:paraId="68E88E5F"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projekt wykonawczy w zakresie wynikającym z rozporządzenia Ministra Infrastruktury z 02.09.2004 r. w sprawie szczegółowego zakresu i formy dokumentacji projektowej, specyfikacji technicznych wykonania i odbioru robót budowlanych oraz programu funkcjonalno-użytkowego (Dz. U. z 2004 r. Nr 202, poz. 2072 z </w:t>
      </w:r>
      <w:proofErr w:type="spellStart"/>
      <w:r>
        <w:rPr>
          <w:rFonts w:ascii="Arial" w:hAnsi="Arial" w:cs="Arial"/>
          <w:color w:val="000000"/>
          <w:sz w:val="18"/>
          <w:szCs w:val="18"/>
          <w:lang w:val="x-none"/>
        </w:rPr>
        <w:t>późn</w:t>
      </w:r>
      <w:proofErr w:type="spellEnd"/>
      <w:r>
        <w:rPr>
          <w:rFonts w:ascii="Arial" w:hAnsi="Arial" w:cs="Arial"/>
          <w:color w:val="000000"/>
          <w:sz w:val="18"/>
          <w:szCs w:val="18"/>
          <w:lang w:val="x-none"/>
        </w:rPr>
        <w:t>. zmianami – tekst jednolity Dz. U. 2013 Nr 0, poz. 1129),</w:t>
      </w:r>
    </w:p>
    <w:p w14:paraId="3CAAB50B"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specyfikacja techniczna wykonania i odbioru robót (obligatoryjna w przypadku zamówień publicznych), sporządzona zgodnie z rozporządzeniem Ministra Infrastruktury z dnia 02.09.2004 r. w sprawie szczegółowego zakresu i formy dokumentacji projektowej, specyfikacji technicznych wykonania i odbioru robót budowlanych oraz programu funkcjonalno-użytkowego (Dz. U. z 2004 r. Nr 202, poz. 2072 z </w:t>
      </w:r>
      <w:proofErr w:type="spellStart"/>
      <w:r>
        <w:rPr>
          <w:rFonts w:ascii="Arial" w:hAnsi="Arial" w:cs="Arial"/>
          <w:color w:val="000000"/>
          <w:sz w:val="18"/>
          <w:szCs w:val="18"/>
          <w:lang w:val="x-none"/>
        </w:rPr>
        <w:t>późn</w:t>
      </w:r>
      <w:proofErr w:type="spellEnd"/>
      <w:r>
        <w:rPr>
          <w:rFonts w:ascii="Arial" w:hAnsi="Arial" w:cs="Arial"/>
          <w:color w:val="000000"/>
          <w:sz w:val="18"/>
          <w:szCs w:val="18"/>
          <w:lang w:val="x-none"/>
        </w:rPr>
        <w:t>. zmianami  – tekst jednolity Dz. U. 2013 Nr 0, poz. 1129),</w:t>
      </w:r>
    </w:p>
    <w:p w14:paraId="7BF03B5D"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dziennik budowy prowadzony zgodnie z rozporządzeniem Ministra Infrastruktury z dnia 26 czerwca 2002 r. w sprawie dziennika budowy, montażu i rozbiórki, tablicy informacyjnej oraz ogłoszenia zawierającego dane dotyczące bezpieczeństwa pracy i ochrony zdrowia (Dz. U. z 2002 r. Nr 108, poz. 953 z </w:t>
      </w:r>
      <w:proofErr w:type="spellStart"/>
      <w:r>
        <w:rPr>
          <w:rFonts w:ascii="Arial" w:hAnsi="Arial" w:cs="Arial"/>
          <w:color w:val="000000"/>
          <w:sz w:val="18"/>
          <w:szCs w:val="18"/>
          <w:lang w:val="x-none"/>
        </w:rPr>
        <w:t>późn</w:t>
      </w:r>
      <w:proofErr w:type="spellEnd"/>
      <w:r>
        <w:rPr>
          <w:rFonts w:ascii="Arial" w:hAnsi="Arial" w:cs="Arial"/>
          <w:color w:val="000000"/>
          <w:sz w:val="18"/>
          <w:szCs w:val="18"/>
          <w:lang w:val="x-none"/>
        </w:rPr>
        <w:t>. zmianami),</w:t>
      </w:r>
    </w:p>
    <w:p w14:paraId="4A224CDB"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dokumenty świadczące o dopuszczeniu do obrotu lub udostępnieniu na rynku krajowym bądź do jednostkowego zastosowania użytych wyrobów budowlanych, zgodnie z ustawą z 16 kwietnia 2004 r. o wyrobach budowlanych (tekst jednolity Dz. U. z 2016 r. Nr 0, poz. 1570),</w:t>
      </w:r>
    </w:p>
    <w:p w14:paraId="20EB40F5"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protokoły odbiorów częściowych, końcowych i robót zanikających, z załączonymi protokołami z badań kontrolnych,</w:t>
      </w:r>
    </w:p>
    <w:p w14:paraId="7C27B0D8"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dokumentacja powykonawcza czyli wcześniej wymienione części składowe dokumentacji robót z naniesionymi zmianami dokonanymi w toku wykonywania robót (zgodnie z art. 3, pkt 14 ustawy Prawo budowlane z dnia 7 lipca 1994 r. – tekst jednolity Dz. U. z 2016 poz. 290).</w:t>
      </w:r>
    </w:p>
    <w:p w14:paraId="19B8575E"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Roboty należy wykonywać na podstawie dokumentacji projektowej i specyfikacji technicznej wykonania i odbioru robót budowlanych opracowanych dla realizacji konkretnego zadania.</w:t>
      </w:r>
    </w:p>
    <w:p w14:paraId="4FFC5F3B"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1FDE291C"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1.8.</w:t>
      </w:r>
      <w:r>
        <w:rPr>
          <w:rFonts w:ascii="Arial" w:hAnsi="Arial" w:cs="Arial"/>
          <w:b/>
          <w:bCs/>
          <w:color w:val="000000"/>
          <w:sz w:val="18"/>
          <w:szCs w:val="18"/>
          <w:lang w:val="x-none"/>
        </w:rPr>
        <w:tab/>
        <w:t>Nazwy i kody robót objętych zamówieniem:</w:t>
      </w:r>
    </w:p>
    <w:p w14:paraId="28DBE65F" w14:textId="77777777" w:rsidR="000A3B2B" w:rsidRDefault="000A3B2B" w:rsidP="009E5295">
      <w:pPr>
        <w:autoSpaceDE w:val="0"/>
        <w:autoSpaceDN w:val="0"/>
        <w:adjustRightInd w:val="0"/>
        <w:spacing w:after="30" w:line="240" w:lineRule="auto"/>
        <w:jc w:val="both"/>
        <w:rPr>
          <w:rFonts w:ascii="Arial" w:hAnsi="Arial" w:cs="Arial"/>
          <w:b/>
          <w:bCs/>
          <w:color w:val="000000"/>
          <w:sz w:val="18"/>
          <w:szCs w:val="18"/>
          <w:lang w:val="x-none"/>
        </w:rPr>
      </w:pPr>
      <w:r>
        <w:rPr>
          <w:rFonts w:ascii="Arial" w:hAnsi="Arial" w:cs="Arial"/>
          <w:b/>
          <w:bCs/>
          <w:color w:val="000000"/>
          <w:sz w:val="18"/>
          <w:szCs w:val="18"/>
          <w:lang w:val="x-none"/>
        </w:rPr>
        <w:t>Grupy robót, klasy robót lub kategorie robót</w:t>
      </w:r>
    </w:p>
    <w:tbl>
      <w:tblPr>
        <w:tblW w:w="0" w:type="auto"/>
        <w:tblCellSpacing w:w="0" w:type="dxa"/>
        <w:tblInd w:w="-8" w:type="dxa"/>
        <w:tblLayout w:type="fixed"/>
        <w:tblCellMar>
          <w:left w:w="0" w:type="dxa"/>
          <w:right w:w="0" w:type="dxa"/>
        </w:tblCellMar>
        <w:tblLook w:val="0000" w:firstRow="0" w:lastRow="0" w:firstColumn="0" w:lastColumn="0" w:noHBand="0" w:noVBand="0"/>
      </w:tblPr>
      <w:tblGrid>
        <w:gridCol w:w="278"/>
        <w:gridCol w:w="194"/>
        <w:gridCol w:w="300"/>
        <w:gridCol w:w="196"/>
        <w:gridCol w:w="300"/>
        <w:gridCol w:w="194"/>
        <w:gridCol w:w="300"/>
        <w:gridCol w:w="196"/>
        <w:gridCol w:w="300"/>
        <w:gridCol w:w="194"/>
        <w:gridCol w:w="300"/>
        <w:gridCol w:w="196"/>
        <w:gridCol w:w="300"/>
        <w:gridCol w:w="194"/>
        <w:gridCol w:w="300"/>
        <w:gridCol w:w="390"/>
        <w:gridCol w:w="300"/>
        <w:gridCol w:w="196"/>
        <w:gridCol w:w="3914"/>
      </w:tblGrid>
      <w:tr w:rsidR="000A3B2B" w14:paraId="424F8064" w14:textId="77777777" w:rsidTr="00BF14F2">
        <w:trPr>
          <w:trHeight w:val="60"/>
          <w:tblCellSpacing w:w="0" w:type="dxa"/>
        </w:trPr>
        <w:tc>
          <w:tcPr>
            <w:tcW w:w="278" w:type="dxa"/>
            <w:tcBorders>
              <w:top w:val="single" w:sz="6" w:space="0" w:color="000000"/>
              <w:left w:val="single" w:sz="6" w:space="0" w:color="000000"/>
              <w:bottom w:val="single" w:sz="6" w:space="0" w:color="000000"/>
              <w:right w:val="single" w:sz="6" w:space="0" w:color="000000"/>
            </w:tcBorders>
          </w:tcPr>
          <w:p w14:paraId="1721A421" w14:textId="77777777" w:rsidR="000A3B2B" w:rsidRPr="00BF14F2" w:rsidRDefault="000A3B2B">
            <w:pPr>
              <w:autoSpaceDE w:val="0"/>
              <w:autoSpaceDN w:val="0"/>
              <w:adjustRightInd w:val="0"/>
              <w:spacing w:after="0" w:line="240" w:lineRule="auto"/>
              <w:rPr>
                <w:rFonts w:ascii="Arial" w:hAnsi="Arial" w:cs="Arial"/>
                <w:sz w:val="24"/>
                <w:szCs w:val="24"/>
              </w:rPr>
            </w:pPr>
            <w:r>
              <w:rPr>
                <w:rFonts w:ascii="Arial" w:hAnsi="Arial" w:cs="Arial"/>
                <w:sz w:val="24"/>
                <w:szCs w:val="24"/>
              </w:rPr>
              <w:t>4</w:t>
            </w:r>
          </w:p>
        </w:tc>
        <w:tc>
          <w:tcPr>
            <w:tcW w:w="194" w:type="dxa"/>
            <w:tcBorders>
              <w:top w:val="nil"/>
              <w:left w:val="single" w:sz="6" w:space="0" w:color="000000"/>
              <w:bottom w:val="nil"/>
              <w:right w:val="single" w:sz="6" w:space="0" w:color="000000"/>
            </w:tcBorders>
          </w:tcPr>
          <w:p w14:paraId="00A242C2"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300" w:type="dxa"/>
            <w:tcBorders>
              <w:top w:val="single" w:sz="6" w:space="0" w:color="000000"/>
              <w:left w:val="single" w:sz="6" w:space="0" w:color="000000"/>
              <w:bottom w:val="single" w:sz="6" w:space="0" w:color="000000"/>
              <w:right w:val="single" w:sz="6" w:space="0" w:color="000000"/>
            </w:tcBorders>
          </w:tcPr>
          <w:p w14:paraId="6BE7CBDD" w14:textId="77777777" w:rsidR="000A3B2B" w:rsidRPr="00BF14F2" w:rsidRDefault="000A3B2B">
            <w:pPr>
              <w:autoSpaceDE w:val="0"/>
              <w:autoSpaceDN w:val="0"/>
              <w:adjustRightInd w:val="0"/>
              <w:spacing w:after="0" w:line="240" w:lineRule="auto"/>
              <w:rPr>
                <w:rFonts w:ascii="Arial" w:hAnsi="Arial" w:cs="Arial"/>
                <w:sz w:val="24"/>
                <w:szCs w:val="24"/>
              </w:rPr>
            </w:pPr>
            <w:r>
              <w:rPr>
                <w:rFonts w:ascii="Arial" w:hAnsi="Arial" w:cs="Arial"/>
                <w:sz w:val="24"/>
                <w:szCs w:val="24"/>
              </w:rPr>
              <w:t>5</w:t>
            </w:r>
          </w:p>
        </w:tc>
        <w:tc>
          <w:tcPr>
            <w:tcW w:w="196" w:type="dxa"/>
            <w:tcBorders>
              <w:top w:val="nil"/>
              <w:left w:val="single" w:sz="6" w:space="0" w:color="000000"/>
              <w:bottom w:val="nil"/>
              <w:right w:val="single" w:sz="6" w:space="0" w:color="000000"/>
            </w:tcBorders>
          </w:tcPr>
          <w:p w14:paraId="3684D0C0"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300" w:type="dxa"/>
            <w:tcBorders>
              <w:top w:val="single" w:sz="6" w:space="0" w:color="000000"/>
              <w:left w:val="single" w:sz="6" w:space="0" w:color="000000"/>
              <w:bottom w:val="single" w:sz="6" w:space="0" w:color="000000"/>
              <w:right w:val="single" w:sz="6" w:space="0" w:color="000000"/>
            </w:tcBorders>
          </w:tcPr>
          <w:p w14:paraId="204937AF" w14:textId="77777777" w:rsidR="000A3B2B" w:rsidRPr="00BF14F2" w:rsidRDefault="000A3B2B">
            <w:pPr>
              <w:autoSpaceDE w:val="0"/>
              <w:autoSpaceDN w:val="0"/>
              <w:adjustRightInd w:val="0"/>
              <w:spacing w:after="0" w:line="240" w:lineRule="auto"/>
              <w:rPr>
                <w:rFonts w:ascii="Arial" w:hAnsi="Arial" w:cs="Arial"/>
                <w:sz w:val="24"/>
                <w:szCs w:val="24"/>
              </w:rPr>
            </w:pPr>
            <w:r>
              <w:rPr>
                <w:rFonts w:ascii="Arial" w:hAnsi="Arial" w:cs="Arial"/>
                <w:sz w:val="24"/>
                <w:szCs w:val="24"/>
              </w:rPr>
              <w:t>3</w:t>
            </w:r>
          </w:p>
        </w:tc>
        <w:tc>
          <w:tcPr>
            <w:tcW w:w="194" w:type="dxa"/>
            <w:tcBorders>
              <w:top w:val="nil"/>
              <w:left w:val="single" w:sz="6" w:space="0" w:color="000000"/>
              <w:bottom w:val="nil"/>
              <w:right w:val="single" w:sz="6" w:space="0" w:color="000000"/>
            </w:tcBorders>
          </w:tcPr>
          <w:p w14:paraId="33E9F790"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300" w:type="dxa"/>
            <w:tcBorders>
              <w:top w:val="single" w:sz="6" w:space="0" w:color="000000"/>
              <w:left w:val="single" w:sz="6" w:space="0" w:color="000000"/>
              <w:bottom w:val="single" w:sz="6" w:space="0" w:color="000000"/>
              <w:right w:val="single" w:sz="6" w:space="0" w:color="000000"/>
            </w:tcBorders>
          </w:tcPr>
          <w:p w14:paraId="31CB11A0" w14:textId="77777777" w:rsidR="000A3B2B" w:rsidRPr="00BF14F2" w:rsidRDefault="000A3B2B">
            <w:pPr>
              <w:autoSpaceDE w:val="0"/>
              <w:autoSpaceDN w:val="0"/>
              <w:adjustRightInd w:val="0"/>
              <w:spacing w:after="0" w:line="240" w:lineRule="auto"/>
              <w:rPr>
                <w:rFonts w:ascii="Arial" w:hAnsi="Arial" w:cs="Arial"/>
                <w:sz w:val="24"/>
                <w:szCs w:val="24"/>
              </w:rPr>
            </w:pPr>
            <w:r>
              <w:rPr>
                <w:rFonts w:ascii="Arial" w:hAnsi="Arial" w:cs="Arial"/>
                <w:sz w:val="24"/>
                <w:szCs w:val="24"/>
              </w:rPr>
              <w:t>3</w:t>
            </w:r>
          </w:p>
        </w:tc>
        <w:tc>
          <w:tcPr>
            <w:tcW w:w="196" w:type="dxa"/>
            <w:tcBorders>
              <w:top w:val="nil"/>
              <w:left w:val="single" w:sz="6" w:space="0" w:color="000000"/>
              <w:bottom w:val="nil"/>
              <w:right w:val="single" w:sz="6" w:space="0" w:color="000000"/>
            </w:tcBorders>
          </w:tcPr>
          <w:p w14:paraId="566FF772"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300" w:type="dxa"/>
            <w:tcBorders>
              <w:top w:val="single" w:sz="6" w:space="0" w:color="000000"/>
              <w:left w:val="single" w:sz="6" w:space="0" w:color="000000"/>
              <w:bottom w:val="single" w:sz="6" w:space="0" w:color="000000"/>
              <w:right w:val="single" w:sz="6" w:space="0" w:color="000000"/>
            </w:tcBorders>
          </w:tcPr>
          <w:p w14:paraId="2074C5D4" w14:textId="77777777" w:rsidR="000A3B2B" w:rsidRPr="00BF14F2" w:rsidRDefault="000A3B2B">
            <w:pPr>
              <w:autoSpaceDE w:val="0"/>
              <w:autoSpaceDN w:val="0"/>
              <w:adjustRightInd w:val="0"/>
              <w:spacing w:after="0" w:line="240" w:lineRule="auto"/>
              <w:rPr>
                <w:rFonts w:ascii="Arial" w:hAnsi="Arial" w:cs="Arial"/>
                <w:sz w:val="24"/>
                <w:szCs w:val="24"/>
              </w:rPr>
            </w:pPr>
            <w:r>
              <w:rPr>
                <w:rFonts w:ascii="Arial" w:hAnsi="Arial" w:cs="Arial"/>
                <w:sz w:val="24"/>
                <w:szCs w:val="24"/>
              </w:rPr>
              <w:t>1</w:t>
            </w:r>
          </w:p>
        </w:tc>
        <w:tc>
          <w:tcPr>
            <w:tcW w:w="194" w:type="dxa"/>
            <w:tcBorders>
              <w:top w:val="nil"/>
              <w:left w:val="single" w:sz="6" w:space="0" w:color="000000"/>
              <w:bottom w:val="nil"/>
              <w:right w:val="single" w:sz="6" w:space="0" w:color="000000"/>
            </w:tcBorders>
          </w:tcPr>
          <w:p w14:paraId="3AD621B2"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300" w:type="dxa"/>
            <w:tcBorders>
              <w:top w:val="single" w:sz="6" w:space="0" w:color="000000"/>
              <w:left w:val="single" w:sz="6" w:space="0" w:color="000000"/>
              <w:bottom w:val="single" w:sz="6" w:space="0" w:color="000000"/>
              <w:right w:val="single" w:sz="6" w:space="0" w:color="000000"/>
            </w:tcBorders>
          </w:tcPr>
          <w:p w14:paraId="43D76EAC" w14:textId="77777777" w:rsidR="000A3B2B" w:rsidRPr="00BF14F2" w:rsidRDefault="000A3B2B">
            <w:pPr>
              <w:autoSpaceDE w:val="0"/>
              <w:autoSpaceDN w:val="0"/>
              <w:adjustRightInd w:val="0"/>
              <w:spacing w:after="0" w:line="240" w:lineRule="auto"/>
              <w:rPr>
                <w:rFonts w:ascii="Arial" w:hAnsi="Arial" w:cs="Arial"/>
                <w:sz w:val="24"/>
                <w:szCs w:val="24"/>
              </w:rPr>
            </w:pPr>
            <w:r>
              <w:rPr>
                <w:rFonts w:ascii="Arial" w:hAnsi="Arial" w:cs="Arial"/>
                <w:sz w:val="24"/>
                <w:szCs w:val="24"/>
              </w:rPr>
              <w:t>1</w:t>
            </w:r>
          </w:p>
        </w:tc>
        <w:tc>
          <w:tcPr>
            <w:tcW w:w="196" w:type="dxa"/>
            <w:tcBorders>
              <w:top w:val="nil"/>
              <w:left w:val="single" w:sz="6" w:space="0" w:color="000000"/>
              <w:bottom w:val="nil"/>
              <w:right w:val="single" w:sz="6" w:space="0" w:color="000000"/>
            </w:tcBorders>
          </w:tcPr>
          <w:p w14:paraId="3ABDA17D"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300" w:type="dxa"/>
            <w:tcBorders>
              <w:top w:val="single" w:sz="6" w:space="0" w:color="000000"/>
              <w:left w:val="single" w:sz="6" w:space="0" w:color="000000"/>
              <w:bottom w:val="single" w:sz="6" w:space="0" w:color="000000"/>
              <w:right w:val="single" w:sz="6" w:space="0" w:color="000000"/>
            </w:tcBorders>
          </w:tcPr>
          <w:p w14:paraId="17E90C8F" w14:textId="77777777" w:rsidR="000A3B2B" w:rsidRPr="00BF14F2" w:rsidRDefault="000A3B2B">
            <w:pPr>
              <w:autoSpaceDE w:val="0"/>
              <w:autoSpaceDN w:val="0"/>
              <w:adjustRightInd w:val="0"/>
              <w:spacing w:after="0" w:line="240" w:lineRule="auto"/>
              <w:rPr>
                <w:rFonts w:ascii="Arial" w:hAnsi="Arial" w:cs="Arial"/>
                <w:sz w:val="24"/>
                <w:szCs w:val="24"/>
              </w:rPr>
            </w:pPr>
            <w:r>
              <w:rPr>
                <w:rFonts w:ascii="Arial" w:hAnsi="Arial" w:cs="Arial"/>
                <w:sz w:val="24"/>
                <w:szCs w:val="24"/>
              </w:rPr>
              <w:t>0</w:t>
            </w:r>
          </w:p>
        </w:tc>
        <w:tc>
          <w:tcPr>
            <w:tcW w:w="194" w:type="dxa"/>
            <w:tcBorders>
              <w:top w:val="nil"/>
              <w:left w:val="single" w:sz="6" w:space="0" w:color="000000"/>
              <w:bottom w:val="nil"/>
              <w:right w:val="single" w:sz="6" w:space="0" w:color="000000"/>
            </w:tcBorders>
          </w:tcPr>
          <w:p w14:paraId="62937CC0"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300" w:type="dxa"/>
            <w:tcBorders>
              <w:top w:val="single" w:sz="6" w:space="0" w:color="000000"/>
              <w:left w:val="single" w:sz="6" w:space="0" w:color="000000"/>
              <w:bottom w:val="single" w:sz="6" w:space="0" w:color="000000"/>
              <w:right w:val="single" w:sz="6" w:space="0" w:color="000000"/>
            </w:tcBorders>
          </w:tcPr>
          <w:p w14:paraId="4F25B16F" w14:textId="77777777" w:rsidR="000A3B2B" w:rsidRPr="00BF14F2" w:rsidRDefault="000A3B2B">
            <w:pPr>
              <w:autoSpaceDE w:val="0"/>
              <w:autoSpaceDN w:val="0"/>
              <w:adjustRightInd w:val="0"/>
              <w:spacing w:after="0" w:line="240" w:lineRule="auto"/>
              <w:rPr>
                <w:rFonts w:ascii="Arial" w:hAnsi="Arial" w:cs="Arial"/>
                <w:sz w:val="24"/>
                <w:szCs w:val="24"/>
              </w:rPr>
            </w:pPr>
            <w:r>
              <w:rPr>
                <w:rFonts w:ascii="Arial" w:hAnsi="Arial" w:cs="Arial"/>
                <w:sz w:val="24"/>
                <w:szCs w:val="24"/>
              </w:rPr>
              <w:t>0</w:t>
            </w:r>
          </w:p>
        </w:tc>
        <w:tc>
          <w:tcPr>
            <w:tcW w:w="390" w:type="dxa"/>
            <w:tcBorders>
              <w:top w:val="nil"/>
              <w:left w:val="single" w:sz="6" w:space="0" w:color="000000"/>
              <w:bottom w:val="nil"/>
              <w:right w:val="single" w:sz="6" w:space="0" w:color="000000"/>
            </w:tcBorders>
            <w:vAlign w:val="center"/>
          </w:tcPr>
          <w:p w14:paraId="7414C770" w14:textId="77777777" w:rsidR="000A3B2B" w:rsidRDefault="000A3B2B">
            <w:pPr>
              <w:tabs>
                <w:tab w:val="right" w:pos="7035"/>
              </w:tabs>
              <w:autoSpaceDE w:val="0"/>
              <w:autoSpaceDN w:val="0"/>
              <w:adjustRightInd w:val="0"/>
              <w:spacing w:after="0" w:line="288" w:lineRule="auto"/>
              <w:jc w:val="center"/>
              <w:rPr>
                <w:rFonts w:ascii="Times New Roman" w:hAnsi="Times New Roman" w:cs="Times New Roman"/>
                <w:color w:val="000000"/>
                <w:sz w:val="24"/>
                <w:szCs w:val="24"/>
                <w:lang w:val="x-none"/>
              </w:rPr>
            </w:pPr>
            <w:r>
              <w:rPr>
                <w:rFonts w:ascii="Times New Roman" w:hAnsi="Times New Roman" w:cs="Times New Roman"/>
                <w:color w:val="000000"/>
                <w:sz w:val="24"/>
                <w:szCs w:val="24"/>
                <w:lang w:val="x-none"/>
              </w:rPr>
              <w:t>–</w:t>
            </w:r>
          </w:p>
        </w:tc>
        <w:tc>
          <w:tcPr>
            <w:tcW w:w="300" w:type="dxa"/>
            <w:tcBorders>
              <w:top w:val="single" w:sz="6" w:space="0" w:color="000000"/>
              <w:left w:val="single" w:sz="6" w:space="0" w:color="000000"/>
              <w:bottom w:val="single" w:sz="6" w:space="0" w:color="000000"/>
              <w:right w:val="single" w:sz="6" w:space="0" w:color="000000"/>
            </w:tcBorders>
          </w:tcPr>
          <w:p w14:paraId="5C3404E7" w14:textId="77777777" w:rsidR="000A3B2B" w:rsidRPr="004A0FAA" w:rsidRDefault="000A3B2B">
            <w:pPr>
              <w:autoSpaceDE w:val="0"/>
              <w:autoSpaceDN w:val="0"/>
              <w:adjustRightInd w:val="0"/>
              <w:spacing w:after="0" w:line="240" w:lineRule="auto"/>
              <w:rPr>
                <w:rFonts w:ascii="Arial" w:hAnsi="Arial" w:cs="Arial"/>
                <w:sz w:val="24"/>
                <w:szCs w:val="24"/>
              </w:rPr>
            </w:pPr>
            <w:r>
              <w:rPr>
                <w:rFonts w:ascii="Arial" w:hAnsi="Arial" w:cs="Arial"/>
                <w:sz w:val="24"/>
                <w:szCs w:val="24"/>
              </w:rPr>
              <w:t>7</w:t>
            </w:r>
          </w:p>
        </w:tc>
        <w:tc>
          <w:tcPr>
            <w:tcW w:w="196" w:type="dxa"/>
            <w:tcBorders>
              <w:top w:val="nil"/>
              <w:left w:val="single" w:sz="6" w:space="0" w:color="000000"/>
              <w:bottom w:val="nil"/>
              <w:right w:val="nil"/>
            </w:tcBorders>
          </w:tcPr>
          <w:p w14:paraId="52ACFD70"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3914" w:type="dxa"/>
            <w:tcBorders>
              <w:top w:val="nil"/>
              <w:left w:val="nil"/>
              <w:bottom w:val="single" w:sz="6" w:space="0" w:color="auto"/>
              <w:right w:val="nil"/>
            </w:tcBorders>
            <w:vAlign w:val="bottom"/>
          </w:tcPr>
          <w:p w14:paraId="5183A4A0" w14:textId="77777777" w:rsidR="000A3B2B" w:rsidRDefault="000A3B2B">
            <w:pPr>
              <w:autoSpaceDE w:val="0"/>
              <w:autoSpaceDN w:val="0"/>
              <w:adjustRightInd w:val="0"/>
              <w:spacing w:after="0" w:line="240" w:lineRule="auto"/>
              <w:rPr>
                <w:rFonts w:ascii="Arial" w:hAnsi="Arial" w:cs="Arial"/>
                <w:sz w:val="24"/>
                <w:szCs w:val="24"/>
                <w:lang w:val="x-none"/>
              </w:rPr>
            </w:pPr>
            <w:r>
              <w:t>Instalowanie centralnego ogrzewania</w:t>
            </w:r>
          </w:p>
        </w:tc>
      </w:tr>
    </w:tbl>
    <w:p w14:paraId="7EFD563D"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57E2612A" w14:textId="77777777" w:rsidR="000A3B2B" w:rsidRDefault="000A3B2B" w:rsidP="009E5295">
      <w:pPr>
        <w:autoSpaceDE w:val="0"/>
        <w:autoSpaceDN w:val="0"/>
        <w:adjustRightInd w:val="0"/>
        <w:spacing w:before="225" w:after="12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2.</w:t>
      </w:r>
      <w:r>
        <w:rPr>
          <w:rFonts w:ascii="Arial" w:hAnsi="Arial" w:cs="Arial"/>
          <w:b/>
          <w:bCs/>
          <w:color w:val="000000"/>
          <w:sz w:val="18"/>
          <w:szCs w:val="18"/>
          <w:lang w:val="x-none"/>
        </w:rPr>
        <w:tab/>
        <w:t>WYMAGANIA DOTYCZĄCE MATERIAŁÓW</w:t>
      </w:r>
    </w:p>
    <w:p w14:paraId="22B65D9A"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2.1.</w:t>
      </w:r>
      <w:r>
        <w:rPr>
          <w:rFonts w:ascii="Arial" w:hAnsi="Arial" w:cs="Arial"/>
          <w:b/>
          <w:bCs/>
          <w:color w:val="000000"/>
          <w:sz w:val="18"/>
          <w:szCs w:val="18"/>
          <w:lang w:val="x-none"/>
        </w:rPr>
        <w:tab/>
        <w:t>Ogólne wymagania dotyczące materiałów, ich pozyskiwania i składowania podano w ST „Wymagania ogólne” Kod CPV 45000000-7, pkt 2</w:t>
      </w:r>
    </w:p>
    <w:p w14:paraId="4931B283"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Materiały stosowane do montażu instalacji c.o. powinny mieć:</w:t>
      </w:r>
    </w:p>
    <w:p w14:paraId="129A3611"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 xml:space="preserve">– </w:t>
      </w:r>
      <w:r>
        <w:rPr>
          <w:rFonts w:ascii="Arial" w:hAnsi="Arial" w:cs="Arial"/>
          <w:color w:val="000000"/>
          <w:sz w:val="18"/>
          <w:szCs w:val="18"/>
          <w:lang w:val="x-none"/>
        </w:rPr>
        <w:tab/>
        <w:t>oznakowanie znakiem CE co oznacza, że dokonano oceny ich zgodności ze zharmonizowaną normą europejską wprowadzoną do zbioru Polskich Norm lub z europejską oceną techniczną, albo</w:t>
      </w:r>
    </w:p>
    <w:p w14:paraId="4118E1EC"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 xml:space="preserve">– </w:t>
      </w:r>
      <w:r>
        <w:rPr>
          <w:rFonts w:ascii="Arial" w:hAnsi="Arial" w:cs="Arial"/>
          <w:color w:val="000000"/>
          <w:sz w:val="18"/>
          <w:szCs w:val="18"/>
          <w:lang w:val="x-none"/>
        </w:rPr>
        <w:tab/>
        <w:t xml:space="preserve">oznakowanie znakiem budowlanym, co oznacza że są to wyroby nieobjęte normą zharmonizowaną – dla której zakończył się okres koegzystencji – i dla których nie została wydana europejska ocena techniczna, a dokonano oceny zgodności z Polską Normą lub aprobatą techniczną (do końca okresu ważności tej aprobaty wydanej do 31 grudnia 2016 r., a później krajową oceną techniczną), bądź uznano za „regionalny wyrób budowlany”, albo </w:t>
      </w:r>
    </w:p>
    <w:p w14:paraId="729FF9F7"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 xml:space="preserve">– </w:t>
      </w:r>
      <w:r>
        <w:rPr>
          <w:rFonts w:ascii="Arial" w:hAnsi="Arial" w:cs="Arial"/>
          <w:color w:val="000000"/>
          <w:sz w:val="18"/>
          <w:szCs w:val="18"/>
          <w:lang w:val="x-none"/>
        </w:rPr>
        <w:tab/>
        <w:t>legalne wprowadzenie do obrotu w innym państwie członkowskim Unii Europejskiej lub w państwie członkowskim Europejskiego Porozumienia o Wolnym Handlu (EFTA) – stronie umowy o Europejskim Obszarze Gospodarczym oraz w Turcji, o ile wyroby budowlane udostępniane na rynku krajowym są nieobjęte zakresem przedmiotowym zharmonizowanych specyfikacji technicznych, o których mowa w art. 2 pkt 10 rozporządzenia Nr 305/2011, a ich właściwości użytkowe umożliwiają spełnienie podstawowych wymagań przez obiekty budowlane zaprojektowane i budowane w sposób określony w przepisach techniczno-budowlanych, oraz zgodnie z zasadami wiedzy technicznej (wraz z wyrobem budowlanym udostępnianym na rynku krajowym dostarcza się informacje o jego właściwościach użytkowych oznaczonych zgodnie z przepisami państwa, w którym wyrób budowlany został wprowadzony do obrotu, instrukcje stosowania, instrukcje obsługi oraz informacje dotyczące zagrożenia dla zdrowia i bezpieczeństwa, jakie ten wyrób stwarza podczas stosowania i użytkowania), albo</w:t>
      </w:r>
    </w:p>
    <w:p w14:paraId="7E4573C2"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 xml:space="preserve">– </w:t>
      </w:r>
      <w:r>
        <w:rPr>
          <w:rFonts w:ascii="Arial" w:hAnsi="Arial" w:cs="Arial"/>
          <w:color w:val="000000"/>
          <w:sz w:val="18"/>
          <w:szCs w:val="18"/>
          <w:lang w:val="x-none"/>
        </w:rPr>
        <w:tab/>
        <w:t>dopuszczenie do jednostkowego zastosowania w obiekcie budowlanym.</w:t>
      </w:r>
    </w:p>
    <w:p w14:paraId="4976E392" w14:textId="77777777" w:rsidR="000A3B2B" w:rsidRDefault="000A3B2B" w:rsidP="009E5295">
      <w:pPr>
        <w:autoSpaceDE w:val="0"/>
        <w:autoSpaceDN w:val="0"/>
        <w:adjustRightInd w:val="0"/>
        <w:spacing w:after="30" w:line="240" w:lineRule="auto"/>
        <w:ind w:firstLine="285"/>
        <w:jc w:val="both"/>
        <w:rPr>
          <w:rFonts w:ascii="Arial" w:hAnsi="Arial" w:cs="Arial"/>
          <w:b/>
          <w:bCs/>
          <w:color w:val="000000"/>
          <w:sz w:val="18"/>
          <w:szCs w:val="18"/>
          <w:lang w:val="x-none"/>
        </w:rPr>
      </w:pPr>
      <w:r>
        <w:rPr>
          <w:rFonts w:ascii="Arial" w:hAnsi="Arial" w:cs="Arial"/>
          <w:b/>
          <w:bCs/>
          <w:color w:val="000000"/>
          <w:sz w:val="18"/>
          <w:szCs w:val="18"/>
          <w:lang w:val="x-none"/>
        </w:rPr>
        <w:t>Oznakowanie powinno umożliwiać identyfikację producenta i typ wyrobu, kraju pochodzenia oraz daty produkcji.</w:t>
      </w:r>
    </w:p>
    <w:p w14:paraId="710528E2" w14:textId="77777777" w:rsidR="000A3B2B" w:rsidRDefault="000A3B2B" w:rsidP="009E5295">
      <w:pPr>
        <w:autoSpaceDE w:val="0"/>
        <w:autoSpaceDN w:val="0"/>
        <w:adjustRightInd w:val="0"/>
        <w:spacing w:after="30" w:line="240" w:lineRule="auto"/>
        <w:ind w:firstLine="285"/>
        <w:jc w:val="both"/>
        <w:rPr>
          <w:rFonts w:ascii="Arial" w:hAnsi="Arial" w:cs="Arial"/>
          <w:b/>
          <w:bCs/>
          <w:color w:val="000000"/>
          <w:sz w:val="18"/>
          <w:szCs w:val="18"/>
          <w:lang w:val="x-none"/>
        </w:rPr>
      </w:pPr>
    </w:p>
    <w:p w14:paraId="6DFE65ED"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2.2.</w:t>
      </w:r>
      <w:r>
        <w:rPr>
          <w:rFonts w:ascii="Arial" w:hAnsi="Arial" w:cs="Arial"/>
          <w:b/>
          <w:bCs/>
          <w:color w:val="000000"/>
          <w:sz w:val="18"/>
          <w:szCs w:val="18"/>
          <w:lang w:val="x-none"/>
        </w:rPr>
        <w:tab/>
        <w:t>Rodzaje materiałów</w:t>
      </w:r>
    </w:p>
    <w:p w14:paraId="539930CE"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Wszystkie materiały i wyroby stosowane do wykonania instalacji centralnego ogrzewania powinny odpowiadać wymaganiom zawartym w dokumentach odniesienia (normach, europejskich ocenach technicznych, aprobatach technicznych – wydanych do 31 grudnia 2016 r., a po zakończeniu okresu ich ważności w krajowych ocenach technicznych).</w:t>
      </w:r>
    </w:p>
    <w:p w14:paraId="36F2247B" w14:textId="77777777" w:rsidR="000A3B2B" w:rsidRDefault="000A3B2B" w:rsidP="009E529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2.2.1.</w:t>
      </w:r>
      <w:r>
        <w:rPr>
          <w:rFonts w:ascii="Arial" w:hAnsi="Arial" w:cs="Arial"/>
          <w:b/>
          <w:bCs/>
          <w:color w:val="000000"/>
          <w:sz w:val="18"/>
          <w:szCs w:val="18"/>
          <w:lang w:val="x-none"/>
        </w:rPr>
        <w:tab/>
        <w:t>Materiały podstawowe</w:t>
      </w:r>
    </w:p>
    <w:p w14:paraId="026E4DC4"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rury i złączki ze stali niestopowej do transportu wody i innych płynów wodnych – warunki techniczne dostawy PN-EN 10224,</w:t>
      </w:r>
    </w:p>
    <w:p w14:paraId="5CAA0BD4"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rury stalowe bez szwu i ze szwem o gładkich końcach – wymiary i masy na jednostkę długości PN ISO 4200,</w:t>
      </w:r>
    </w:p>
    <w:p w14:paraId="0294A3A1"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rury stalowe – przygotowanie końców rur i kształtek do spawania PN ISO 6761,</w:t>
      </w:r>
    </w:p>
    <w:p w14:paraId="1B561947"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rury stalowe ze szwem gwintowane – PN-H-74200,</w:t>
      </w:r>
    </w:p>
    <w:p w14:paraId="51147EB4"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miedź i stopy miedzi – Rury miedziane okrągłe bez szwu do wody i gazu stosowane w instalacjach sanitarnych i ogrzewania PN-EN 1057,</w:t>
      </w:r>
    </w:p>
    <w:p w14:paraId="1A4D9BEE"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miedź i stopy miedzi – łączniki instalacyjne PN-EN 1254-1+84,</w:t>
      </w:r>
    </w:p>
    <w:p w14:paraId="2E63B973"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zawory grzejnikowe PN-M-75016,</w:t>
      </w:r>
    </w:p>
    <w:p w14:paraId="42CE4F43"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termostatyczne zawory grzejnikowe PN-EN 215,</w:t>
      </w:r>
    </w:p>
    <w:p w14:paraId="7FC3990C"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grzejniki i konwektory PN-EN 442 1+2,</w:t>
      </w:r>
    </w:p>
    <w:p w14:paraId="0DD36E27"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podzielniki kosztów PN-EN 834 i 835.</w:t>
      </w:r>
    </w:p>
    <w:p w14:paraId="03358D56"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387BD470" w14:textId="77777777" w:rsidR="000A3B2B" w:rsidRDefault="000A3B2B" w:rsidP="009E5295">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2.2.2 Materiały pomocnicze:</w:t>
      </w:r>
    </w:p>
    <w:p w14:paraId="0191AF60"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włókno konopne, pasta uszczelniająca,</w:t>
      </w:r>
    </w:p>
    <w:p w14:paraId="4D01A275"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spoiwa, topniki i pasty do lutowania,</w:t>
      </w:r>
    </w:p>
    <w:p w14:paraId="52C23F44"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gazy techniczne, drut spawalniczy, elektrody,</w:t>
      </w:r>
    </w:p>
    <w:p w14:paraId="0101F411"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korki, śruby itp.</w:t>
      </w:r>
    </w:p>
    <w:p w14:paraId="42FCD3EB"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Materiały pomocnicze muszą spełniać właściwości techniczne określone przez producenta materiałów podstawowych oraz odpowiadać aprobatom technicznym – wydanym do 31 grudnia 2016 r., a po zakończeniu okresu ich ważności krajowym ocenom technicznym.</w:t>
      </w:r>
    </w:p>
    <w:p w14:paraId="785AAA7F"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494BC46B"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2.3.</w:t>
      </w:r>
      <w:r>
        <w:rPr>
          <w:rFonts w:ascii="Arial" w:hAnsi="Arial" w:cs="Arial"/>
          <w:b/>
          <w:bCs/>
          <w:color w:val="000000"/>
          <w:sz w:val="18"/>
          <w:szCs w:val="18"/>
          <w:lang w:val="x-none"/>
        </w:rPr>
        <w:tab/>
        <w:t>Warunki przyjęcia materiałów instalacyjnych na budowę</w:t>
      </w:r>
    </w:p>
    <w:p w14:paraId="7ABB277E"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Materiały do wykonania instalacji centralnego ogrzewania mogą być przyjęte na budowę, jeżeli spełniają następujące warunki:</w:t>
      </w:r>
    </w:p>
    <w:p w14:paraId="78E6F8D1"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są zgodne z ich wyszczególnieniem i charakterystyką podaną w dokumentacji projektowej i niniejszej ST,</w:t>
      </w:r>
    </w:p>
    <w:p w14:paraId="4FE4676E"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są właściwie opakowane i oznakowane w sposób umożliwiający ich pełną identyfikację,</w:t>
      </w:r>
    </w:p>
    <w:p w14:paraId="0860CA65"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spełniają wymagane właściwości, wskazane odpowiednimi dokumentami odniesienia,</w:t>
      </w:r>
    </w:p>
    <w:p w14:paraId="04413998"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posiadają dokumenty świadczące o dopuszczeniu do obrotu lub udostępnieniu na rynku krajowym bądź do jednostkowego zastosowania oraz karty katalogowe lub firmowe wytyczne stosowania.</w:t>
      </w:r>
    </w:p>
    <w:p w14:paraId="554B38D6" w14:textId="77777777" w:rsidR="000A3B2B" w:rsidRDefault="000A3B2B" w:rsidP="009E5295">
      <w:pPr>
        <w:autoSpaceDE w:val="0"/>
        <w:autoSpaceDN w:val="0"/>
        <w:adjustRightInd w:val="0"/>
        <w:spacing w:after="30" w:line="240" w:lineRule="auto"/>
        <w:jc w:val="both"/>
        <w:rPr>
          <w:rFonts w:ascii="Arial" w:hAnsi="Arial" w:cs="Arial"/>
          <w:b/>
          <w:bCs/>
          <w:color w:val="000000"/>
          <w:sz w:val="18"/>
          <w:szCs w:val="18"/>
          <w:lang w:val="x-none"/>
        </w:rPr>
      </w:pPr>
      <w:r>
        <w:rPr>
          <w:rFonts w:ascii="Arial" w:hAnsi="Arial" w:cs="Arial"/>
          <w:b/>
          <w:bCs/>
          <w:color w:val="000000"/>
          <w:sz w:val="18"/>
          <w:szCs w:val="18"/>
          <w:lang w:val="x-none"/>
        </w:rPr>
        <w:t>Niedopuszczalne jest stosowane materiałów nieznanego pochodzenia.</w:t>
      </w:r>
    </w:p>
    <w:p w14:paraId="41D0418F" w14:textId="77777777" w:rsidR="000A3B2B" w:rsidRDefault="000A3B2B" w:rsidP="009E5295">
      <w:pPr>
        <w:autoSpaceDE w:val="0"/>
        <w:autoSpaceDN w:val="0"/>
        <w:adjustRightInd w:val="0"/>
        <w:spacing w:after="30" w:line="240" w:lineRule="auto"/>
        <w:ind w:firstLine="285"/>
        <w:jc w:val="both"/>
        <w:rPr>
          <w:rFonts w:ascii="Arial" w:hAnsi="Arial" w:cs="Arial"/>
          <w:b/>
          <w:bCs/>
          <w:color w:val="000000"/>
          <w:sz w:val="18"/>
          <w:szCs w:val="18"/>
          <w:lang w:val="x-none"/>
        </w:rPr>
      </w:pPr>
      <w:r>
        <w:rPr>
          <w:rFonts w:ascii="Arial" w:hAnsi="Arial" w:cs="Arial"/>
          <w:b/>
          <w:bCs/>
          <w:color w:val="000000"/>
          <w:sz w:val="18"/>
          <w:szCs w:val="18"/>
          <w:lang w:val="x-none"/>
        </w:rPr>
        <w:t>Przyjęcie materiałów na budowę powinno być potwierdzone wpisem do dziennika budowy lub protokołem przyjęcia materiałów.</w:t>
      </w:r>
    </w:p>
    <w:p w14:paraId="6D6FE04A"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77FC72D0"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2.4.</w:t>
      </w:r>
      <w:r>
        <w:rPr>
          <w:rFonts w:ascii="Arial" w:hAnsi="Arial" w:cs="Arial"/>
          <w:b/>
          <w:bCs/>
          <w:color w:val="000000"/>
          <w:sz w:val="18"/>
          <w:szCs w:val="18"/>
          <w:lang w:val="x-none"/>
        </w:rPr>
        <w:tab/>
        <w:t>Warunki przechowywania materiałów</w:t>
      </w:r>
    </w:p>
    <w:p w14:paraId="2ACD8030" w14:textId="77777777" w:rsidR="000A3B2B" w:rsidRDefault="000A3B2B" w:rsidP="009E5295">
      <w:pPr>
        <w:autoSpaceDE w:val="0"/>
        <w:autoSpaceDN w:val="0"/>
        <w:adjustRightInd w:val="0"/>
        <w:spacing w:after="0" w:line="240" w:lineRule="auto"/>
        <w:jc w:val="both"/>
        <w:rPr>
          <w:rFonts w:ascii="Arial" w:hAnsi="Arial" w:cs="Arial"/>
          <w:color w:val="000000"/>
          <w:sz w:val="18"/>
          <w:szCs w:val="18"/>
          <w:lang w:val="x-none"/>
        </w:rPr>
      </w:pPr>
      <w:r>
        <w:rPr>
          <w:rFonts w:ascii="Arial" w:hAnsi="Arial" w:cs="Arial"/>
          <w:color w:val="000000"/>
          <w:sz w:val="18"/>
          <w:szCs w:val="18"/>
          <w:lang w:val="x-none"/>
        </w:rPr>
        <w:t>Wszystkie materiały powinny być magazynowane i przechowywane zgodnie z instrukcją producenta.</w:t>
      </w:r>
    </w:p>
    <w:p w14:paraId="28BB7733" w14:textId="77777777" w:rsidR="000A3B2B" w:rsidRDefault="000A3B2B" w:rsidP="009E5295">
      <w:pPr>
        <w:autoSpaceDE w:val="0"/>
        <w:autoSpaceDN w:val="0"/>
        <w:adjustRightInd w:val="0"/>
        <w:spacing w:after="0" w:line="240" w:lineRule="auto"/>
        <w:jc w:val="both"/>
        <w:rPr>
          <w:rFonts w:ascii="Arial" w:hAnsi="Arial" w:cs="Arial"/>
          <w:color w:val="000000"/>
          <w:sz w:val="18"/>
          <w:szCs w:val="18"/>
          <w:lang w:val="x-none"/>
        </w:rPr>
      </w:pPr>
    </w:p>
    <w:p w14:paraId="3AD89720" w14:textId="77777777" w:rsidR="000A3B2B" w:rsidRDefault="000A3B2B" w:rsidP="009E5295">
      <w:pPr>
        <w:autoSpaceDE w:val="0"/>
        <w:autoSpaceDN w:val="0"/>
        <w:adjustRightInd w:val="0"/>
        <w:spacing w:before="225" w:after="12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3.</w:t>
      </w:r>
      <w:r>
        <w:rPr>
          <w:rFonts w:ascii="Arial" w:hAnsi="Arial" w:cs="Arial"/>
          <w:b/>
          <w:bCs/>
          <w:color w:val="000000"/>
          <w:sz w:val="18"/>
          <w:szCs w:val="18"/>
          <w:lang w:val="x-none"/>
        </w:rPr>
        <w:tab/>
        <w:t>WYMAGANIA DOTYCZĄCE SPRZĘTU I MASZYN</w:t>
      </w:r>
    </w:p>
    <w:p w14:paraId="222A77ED"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3.1.</w:t>
      </w:r>
      <w:r>
        <w:rPr>
          <w:rFonts w:ascii="Arial" w:hAnsi="Arial" w:cs="Arial"/>
          <w:b/>
          <w:bCs/>
          <w:color w:val="000000"/>
          <w:sz w:val="18"/>
          <w:szCs w:val="18"/>
          <w:lang w:val="x-none"/>
        </w:rPr>
        <w:tab/>
        <w:t>Ogólne wymagania dotyczące sprzętu podano w ST „Wymagania ogólne” Kod CPV 45000000-7, pkt 3</w:t>
      </w:r>
    </w:p>
    <w:p w14:paraId="524775A5"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Do wykonania robót należy stosować jedynie taki sprzęt, który nie spowoduje niekorzystnego wpływu na jakość robót, zarówno w miejscach ich wykonania, jak też przy wykonywaniu czynności pomocniczych oraz w czasie transportu, załadunku i wyładunku materiałów. Sprzęt używany do robót powinien być zgodny z ofertą Wykonawcy i powinien odpowiadać pod względem typów i ilości wskazaniom zawartym w SST, PZJ lub projekcie organizacji robót, zaakceptowanym przez inwestora. W przypadku braku ustaleń w takich dokumentach sprzęt powinien być uzgodniony i zaakceptowany przez inwestora.</w:t>
      </w:r>
    </w:p>
    <w:p w14:paraId="1A791DC6" w14:textId="77777777" w:rsidR="000A3B2B" w:rsidRDefault="000A3B2B" w:rsidP="009E5295">
      <w:pPr>
        <w:autoSpaceDE w:val="0"/>
        <w:autoSpaceDN w:val="0"/>
        <w:adjustRightInd w:val="0"/>
        <w:spacing w:after="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Wykonawca powinien dostarczyć kopie dokumentów potwierdzających dopuszczenie sprzętu do użytkowania, tam gdzie jest to wymagane przepisami.</w:t>
      </w:r>
    </w:p>
    <w:p w14:paraId="3377FECF" w14:textId="77777777" w:rsidR="000A3B2B" w:rsidRDefault="000A3B2B" w:rsidP="009E5295">
      <w:pPr>
        <w:autoSpaceDE w:val="0"/>
        <w:autoSpaceDN w:val="0"/>
        <w:adjustRightInd w:val="0"/>
        <w:spacing w:after="0" w:line="240" w:lineRule="auto"/>
        <w:jc w:val="both"/>
        <w:rPr>
          <w:rFonts w:ascii="Arial" w:hAnsi="Arial" w:cs="Arial"/>
          <w:color w:val="000000"/>
          <w:sz w:val="18"/>
          <w:szCs w:val="18"/>
          <w:lang w:val="x-none"/>
        </w:rPr>
      </w:pPr>
    </w:p>
    <w:p w14:paraId="1D7728C9" w14:textId="77777777" w:rsidR="000A3B2B" w:rsidRDefault="000A3B2B" w:rsidP="009E5295">
      <w:pPr>
        <w:autoSpaceDE w:val="0"/>
        <w:autoSpaceDN w:val="0"/>
        <w:adjustRightInd w:val="0"/>
        <w:spacing w:before="225" w:after="12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4.</w:t>
      </w:r>
      <w:r>
        <w:rPr>
          <w:rFonts w:ascii="Arial" w:hAnsi="Arial" w:cs="Arial"/>
          <w:b/>
          <w:bCs/>
          <w:color w:val="000000"/>
          <w:sz w:val="18"/>
          <w:szCs w:val="18"/>
          <w:lang w:val="x-none"/>
        </w:rPr>
        <w:tab/>
        <w:t>WYMAGANIA DOTYCZĄCE TRANSPORTU</w:t>
      </w:r>
    </w:p>
    <w:p w14:paraId="7F647BD6"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4.1.</w:t>
      </w:r>
      <w:r>
        <w:rPr>
          <w:rFonts w:ascii="Arial" w:hAnsi="Arial" w:cs="Arial"/>
          <w:b/>
          <w:bCs/>
          <w:color w:val="000000"/>
          <w:sz w:val="18"/>
          <w:szCs w:val="18"/>
          <w:lang w:val="x-none"/>
        </w:rPr>
        <w:tab/>
        <w:t>Ogólne wymagania dotyczące transportu podane zostały w ST „Wymagania ogólne” Kod CPV 45000000-7, pkt 4</w:t>
      </w:r>
    </w:p>
    <w:p w14:paraId="4CEFB242"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22966F03"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4.2.</w:t>
      </w:r>
      <w:r>
        <w:rPr>
          <w:rFonts w:ascii="Arial" w:hAnsi="Arial" w:cs="Arial"/>
          <w:b/>
          <w:bCs/>
          <w:color w:val="000000"/>
          <w:sz w:val="18"/>
          <w:szCs w:val="18"/>
          <w:lang w:val="x-none"/>
        </w:rPr>
        <w:tab/>
        <w:t xml:space="preserve">Wymagania dotyczące przewozu rur </w:t>
      </w:r>
    </w:p>
    <w:p w14:paraId="002D8230"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Ze względu na specyficzne cechy rur należy spełnić następujące dodatkowe wymagania:</w:t>
      </w:r>
    </w:p>
    <w:p w14:paraId="6CE81279"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rury należy przewozić wyłącznie samochodami skrzyniowymi lub pojazdami posiadającymi boczne wsporniki o maksymalnym rozstawie 2 m, wystające poza pojazd końce rur nie mogą być dłuższe niż 1 m,</w:t>
      </w:r>
    </w:p>
    <w:p w14:paraId="1E199E27"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jeżeli przewożone są luźno ułożone rury, to przy ich układaniu w stosy na samochodzie wysokość ładunku nie powinna przekraczać 1 m,</w:t>
      </w:r>
    </w:p>
    <w:p w14:paraId="57D4F923"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podczas transportu rury powinny być zabezpieczone przed uszkodzeniem przez metalowe części środków transportu jak śruby, łańcuchy, itp. Luźno układane rury powinny być zabezpieczone przed zarysowaniem przez podłożenie tektury falistej i desek pod łańcuch spinający boczne ściany skrzyni samochodu,</w:t>
      </w:r>
    </w:p>
    <w:p w14:paraId="20668BAF"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podczas transportu rury powinny być zabezpieczone przed zmianą położenia. Platforma samochodu powinna być ustawiona w poziomie.</w:t>
      </w:r>
    </w:p>
    <w:p w14:paraId="1909757E"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1AED301A"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4.3.</w:t>
      </w:r>
      <w:r>
        <w:rPr>
          <w:rFonts w:ascii="Arial" w:hAnsi="Arial" w:cs="Arial"/>
          <w:b/>
          <w:bCs/>
          <w:color w:val="000000"/>
          <w:sz w:val="18"/>
          <w:szCs w:val="18"/>
          <w:lang w:val="x-none"/>
        </w:rPr>
        <w:tab/>
        <w:t>Wymagania dotyczące przewozu armatury i grzejników</w:t>
      </w:r>
    </w:p>
    <w:p w14:paraId="185B1A4F"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Armaturę i grzejniki należy przewozić w opakowaniach firmowych producenta, w sposób zabezpieczający przed uszkodzeniem mechanicznym i wpływami czynników atmosferycznych.</w:t>
      </w:r>
    </w:p>
    <w:p w14:paraId="7A0CF966"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5EC8C0CE" w14:textId="77777777" w:rsidR="000A3B2B" w:rsidRDefault="000A3B2B" w:rsidP="009E5295">
      <w:pPr>
        <w:autoSpaceDE w:val="0"/>
        <w:autoSpaceDN w:val="0"/>
        <w:adjustRightInd w:val="0"/>
        <w:spacing w:before="225" w:after="12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5.</w:t>
      </w:r>
      <w:r>
        <w:rPr>
          <w:rFonts w:ascii="Arial" w:hAnsi="Arial" w:cs="Arial"/>
          <w:b/>
          <w:bCs/>
          <w:color w:val="000000"/>
          <w:sz w:val="18"/>
          <w:szCs w:val="18"/>
          <w:lang w:val="x-none"/>
        </w:rPr>
        <w:tab/>
        <w:t>WYMAGANIA DOTYCZĄCE WYKONANIA ROBÓT</w:t>
      </w:r>
    </w:p>
    <w:p w14:paraId="56997753"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5.1.</w:t>
      </w:r>
      <w:r>
        <w:rPr>
          <w:rFonts w:ascii="Arial" w:hAnsi="Arial" w:cs="Arial"/>
          <w:b/>
          <w:bCs/>
          <w:color w:val="000000"/>
          <w:sz w:val="18"/>
          <w:szCs w:val="18"/>
          <w:lang w:val="x-none"/>
        </w:rPr>
        <w:tab/>
        <w:t>Ogólne zasady wykonania robót podane zostały w ST „Wymagania ogólne” Kod CPV 45000000-7, pkt 5</w:t>
      </w:r>
    </w:p>
    <w:p w14:paraId="588398D9"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p>
    <w:p w14:paraId="4B8B93AC"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5.2.</w:t>
      </w:r>
      <w:r>
        <w:rPr>
          <w:rFonts w:ascii="Arial" w:hAnsi="Arial" w:cs="Arial"/>
          <w:b/>
          <w:bCs/>
          <w:color w:val="000000"/>
          <w:sz w:val="18"/>
          <w:szCs w:val="18"/>
          <w:lang w:val="x-none"/>
        </w:rPr>
        <w:tab/>
        <w:t>Warunki przystąpienia do robót</w:t>
      </w:r>
    </w:p>
    <w:p w14:paraId="44AD1B54"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Przed przystąpieniem do montażu instalacji centralnego ogrzewania należy:</w:t>
      </w:r>
    </w:p>
    <w:p w14:paraId="3FFE4A4B"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wyznaczyć miejsca układania rur, kształtek, armatury i grzejników</w:t>
      </w:r>
    </w:p>
    <w:p w14:paraId="197504DA"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wykonać otwory i obsadzić uchwyty, podpory i podwieszenia,</w:t>
      </w:r>
    </w:p>
    <w:p w14:paraId="3947DE5C"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wykonać bruzdy w ścianach w przypadku układania w nich przewodów </w:t>
      </w:r>
    </w:p>
    <w:p w14:paraId="152A4DFC"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wykonać otwory w ścianach i stropach dla przejść przewodów </w:t>
      </w:r>
    </w:p>
    <w:p w14:paraId="12FE78DE"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476F9897"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5.3.</w:t>
      </w:r>
      <w:r>
        <w:rPr>
          <w:rFonts w:ascii="Arial" w:hAnsi="Arial" w:cs="Arial"/>
          <w:b/>
          <w:bCs/>
          <w:color w:val="000000"/>
          <w:sz w:val="18"/>
          <w:szCs w:val="18"/>
          <w:lang w:val="x-none"/>
        </w:rPr>
        <w:tab/>
        <w:t>Montaż rurociągów</w:t>
      </w:r>
    </w:p>
    <w:p w14:paraId="1F3DBEAF"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Po wykonaniu czynności pomocniczych określonych w pkt. 5.2. należy przystąpić do właściwego montażu rur, kształtek, armatury i grzejników</w:t>
      </w:r>
    </w:p>
    <w:p w14:paraId="1EC913A5"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Rurociągi poziome mogą być prowadzone przy ścianach na lub pod stropami, na podporach, wspornikach lub podwieszeniach. Przewody poziome układać ze spadkiem tak, aby zapewnić możliwość odwodnienia instalacji. Należy je prowadzić powyżej przewodów wody zimnej i przewodów gazowych.</w:t>
      </w:r>
    </w:p>
    <w:p w14:paraId="23037324"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Przewody układane w bruzdach ściennych i szlichcie podłogowej powinny być zinwentaryzowane i naniesione na dokumentacji powykonawczej.</w:t>
      </w:r>
    </w:p>
    <w:p w14:paraId="5664E985"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Przewody pionowe należy montować zachowując stałą odległość między ich osiami około 8 cm, a maksymalne odchylenie od pionu nie przekroczyło 1 cm na kondygnację.</w:t>
      </w:r>
    </w:p>
    <w:p w14:paraId="785F6B0E"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Wszystkie przejścia rurociągów przez przegrody budowlane należy prowadzić w tulejach ochronnych. Przestrzeń pomiędzy rurą i tuleją ochronną powinna być wypełniona szczeliwem elastycznym obojętnym chemicznie w stosunku do materiału z którego jest wykonana rura.</w:t>
      </w:r>
    </w:p>
    <w:p w14:paraId="7F9AECD2"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Tuleje ochronne powinny mieć średnicę wewnętrzną większą od średnicy zewnętrznej przewodu:</w:t>
      </w:r>
    </w:p>
    <w:p w14:paraId="757C347D"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co najmniej o 2 cm przy przejściu przez przegrodę pionową,</w:t>
      </w:r>
    </w:p>
    <w:p w14:paraId="38F69785"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co najmniej o 1 cm przy przejściu przez strop,</w:t>
      </w:r>
    </w:p>
    <w:p w14:paraId="671FA9BF"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oraz powinny być dłuższe niż grubość przegrody pionowej o około 2 cm z każdej strony, a przy przejściu przez strop powinny wystawać około 2 cm powyżej posadzki i około 1 cm poniżej tynku na stropie. W tulejach ochronnych nie powinny znajdować się żadne połączenia rur.</w:t>
      </w:r>
    </w:p>
    <w:p w14:paraId="44BFFBD3" w14:textId="77777777" w:rsidR="000A3B2B" w:rsidRDefault="000A3B2B" w:rsidP="009E5295">
      <w:pPr>
        <w:autoSpaceDE w:val="0"/>
        <w:autoSpaceDN w:val="0"/>
        <w:adjustRightInd w:val="0"/>
        <w:spacing w:before="60"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5.3.1.</w:t>
      </w:r>
      <w:r>
        <w:rPr>
          <w:rFonts w:ascii="Arial" w:hAnsi="Arial" w:cs="Arial"/>
          <w:b/>
          <w:bCs/>
          <w:color w:val="000000"/>
          <w:sz w:val="18"/>
          <w:szCs w:val="18"/>
          <w:lang w:val="x-none"/>
        </w:rPr>
        <w:tab/>
        <w:t>Połączenia rur i kształtek  stalowych</w:t>
      </w:r>
    </w:p>
    <w:p w14:paraId="142C95A9"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połączenia spawane gazowe mieszaniną tlenu i acetylenu</w:t>
      </w:r>
    </w:p>
    <w:p w14:paraId="0D763D3A"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połączenia spawane łukowe elektrodami otulonymi </w:t>
      </w:r>
    </w:p>
    <w:p w14:paraId="0C17A2D4"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połączenia gwintowane /dla średnic do 65 mm/</w:t>
      </w:r>
    </w:p>
    <w:p w14:paraId="01CE60CF"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połączenia kołnierzowe / dla średnic powyżej 65 mm/</w:t>
      </w:r>
    </w:p>
    <w:p w14:paraId="656484BE" w14:textId="77777777" w:rsidR="000A3B2B" w:rsidRDefault="000A3B2B" w:rsidP="009E5295">
      <w:pPr>
        <w:autoSpaceDE w:val="0"/>
        <w:autoSpaceDN w:val="0"/>
        <w:adjustRightInd w:val="0"/>
        <w:spacing w:before="60"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5.3.2.</w:t>
      </w:r>
      <w:r>
        <w:rPr>
          <w:rFonts w:ascii="Arial" w:hAnsi="Arial" w:cs="Arial"/>
          <w:b/>
          <w:bCs/>
          <w:color w:val="000000"/>
          <w:sz w:val="18"/>
          <w:szCs w:val="18"/>
          <w:lang w:val="x-none"/>
        </w:rPr>
        <w:tab/>
        <w:t>Połączenia rur i kształtek miedzianych</w:t>
      </w:r>
    </w:p>
    <w:p w14:paraId="5C4558EC"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połączenia nierozłączne (lutowanie miękkie lub twarde, spawanie, łączenie za pomocą złączek zaprasowywanych lub zaciskanych),</w:t>
      </w:r>
    </w:p>
    <w:p w14:paraId="6B7135CA"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połączenia rozłączne (za pomocą złączek zaciskowych rozłączalnych lub samozaciskowych).</w:t>
      </w:r>
    </w:p>
    <w:p w14:paraId="71298156"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Łączniki do rur to m.in. kolana, łuki, mufy, mufy redukcyjne, trójniki równoprzelotowe, trójniki redukcyjne, śrubunki wykonywane są z miedzi, brązu, mosiądzu.</w:t>
      </w:r>
    </w:p>
    <w:p w14:paraId="6053C34A"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0877E240"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5.4.</w:t>
      </w:r>
      <w:r>
        <w:rPr>
          <w:rFonts w:ascii="Arial" w:hAnsi="Arial" w:cs="Arial"/>
          <w:b/>
          <w:bCs/>
          <w:color w:val="000000"/>
          <w:sz w:val="18"/>
          <w:szCs w:val="18"/>
          <w:lang w:val="x-none"/>
        </w:rPr>
        <w:tab/>
        <w:t>Montaż armatury</w:t>
      </w:r>
    </w:p>
    <w:p w14:paraId="7A2F6818"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Przed przystąpieniem do montażu armatury należy dokonać oględzin jej powierzchni.</w:t>
      </w:r>
    </w:p>
    <w:p w14:paraId="07B95F6D"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Armaturę na przewodach należy tak instalować, aby kierunek przepływu wody był zgodny z oznaczeniem kierunku przepływu na armaturze.</w:t>
      </w:r>
    </w:p>
    <w:p w14:paraId="6D8E9211"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Armatura musi być tak zainstalowana aby była dostępna do obsługi i konserwacji.</w:t>
      </w:r>
    </w:p>
    <w:p w14:paraId="11867C3B"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p>
    <w:p w14:paraId="6F58A631"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5.5.</w:t>
      </w:r>
      <w:r>
        <w:rPr>
          <w:rFonts w:ascii="Arial" w:hAnsi="Arial" w:cs="Arial"/>
          <w:b/>
          <w:bCs/>
          <w:color w:val="000000"/>
          <w:sz w:val="18"/>
          <w:szCs w:val="18"/>
          <w:lang w:val="x-none"/>
        </w:rPr>
        <w:tab/>
        <w:t>Montaż grzejników</w:t>
      </w:r>
    </w:p>
    <w:p w14:paraId="36EC9FEF"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Grzejniki członowe żeliwne, stalowe, aluminiowe i rurowe /gładkie i ożebrowane/ należy montować na wspornikach ściennych i dodatkowo mocować uchwytami.</w:t>
      </w:r>
    </w:p>
    <w:p w14:paraId="2EC070A9"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Wszystkie rodzaje grzejników należy montować zgodnie z wytycznymi i instrukcjami producentów.</w:t>
      </w:r>
    </w:p>
    <w:p w14:paraId="27AEDF42"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p>
    <w:p w14:paraId="7AB7B4F9" w14:textId="77777777" w:rsidR="000A3B2B" w:rsidRDefault="000A3B2B" w:rsidP="009E5295">
      <w:pPr>
        <w:autoSpaceDE w:val="0"/>
        <w:autoSpaceDN w:val="0"/>
        <w:adjustRightInd w:val="0"/>
        <w:spacing w:before="225" w:after="12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6.</w:t>
      </w:r>
      <w:r>
        <w:rPr>
          <w:rFonts w:ascii="Arial" w:hAnsi="Arial" w:cs="Arial"/>
          <w:b/>
          <w:bCs/>
          <w:color w:val="000000"/>
          <w:sz w:val="18"/>
          <w:szCs w:val="18"/>
          <w:lang w:val="x-none"/>
        </w:rPr>
        <w:tab/>
        <w:t xml:space="preserve">KONTROLA JAKOŚCI ROBÓT </w:t>
      </w:r>
    </w:p>
    <w:p w14:paraId="74A6B807" w14:textId="77777777" w:rsidR="000A3B2B" w:rsidRDefault="000A3B2B" w:rsidP="009E5295">
      <w:pPr>
        <w:autoSpaceDE w:val="0"/>
        <w:autoSpaceDN w:val="0"/>
        <w:adjustRightInd w:val="0"/>
        <w:spacing w:after="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6.1. Ogólne zasady kontroli jakości robót podano w ST „Wymagania ogólne” Kod CPV 45000000-7, pkt 6 oraz jako wytyczne w PN-B-10400:1964 „Urządzenia centralnego ogrzewania w budownictwie powszechnym. Wymagania i badania techniczne przy odbiorze”</w:t>
      </w:r>
    </w:p>
    <w:p w14:paraId="3AEEE33F" w14:textId="77777777" w:rsidR="000A3B2B" w:rsidRDefault="000A3B2B" w:rsidP="009E5295">
      <w:pPr>
        <w:autoSpaceDE w:val="0"/>
        <w:autoSpaceDN w:val="0"/>
        <w:adjustRightInd w:val="0"/>
        <w:spacing w:after="0" w:line="240" w:lineRule="auto"/>
        <w:jc w:val="both"/>
        <w:rPr>
          <w:rFonts w:ascii="Arial" w:hAnsi="Arial" w:cs="Arial"/>
          <w:color w:val="000000"/>
          <w:sz w:val="18"/>
          <w:szCs w:val="18"/>
          <w:lang w:val="x-none"/>
        </w:rPr>
      </w:pPr>
    </w:p>
    <w:p w14:paraId="7990C7B8"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6.2.</w:t>
      </w:r>
      <w:r>
        <w:rPr>
          <w:rFonts w:ascii="Arial" w:hAnsi="Arial" w:cs="Arial"/>
          <w:b/>
          <w:bCs/>
          <w:color w:val="000000"/>
          <w:sz w:val="18"/>
          <w:szCs w:val="18"/>
          <w:lang w:val="x-none"/>
        </w:rPr>
        <w:tab/>
        <w:t>Badania przed przystąpieniem do wykonywania instalacji centralnego ogrzewania wodnego</w:t>
      </w:r>
    </w:p>
    <w:p w14:paraId="424AC3E5" w14:textId="77777777" w:rsidR="000A3B2B" w:rsidRDefault="000A3B2B" w:rsidP="009E5295">
      <w:pPr>
        <w:autoSpaceDE w:val="0"/>
        <w:autoSpaceDN w:val="0"/>
        <w:adjustRightInd w:val="0"/>
        <w:spacing w:after="0" w:line="240" w:lineRule="auto"/>
        <w:jc w:val="both"/>
        <w:rPr>
          <w:rFonts w:ascii="Arial" w:hAnsi="Arial" w:cs="Arial"/>
          <w:color w:val="000000"/>
          <w:sz w:val="18"/>
          <w:szCs w:val="18"/>
          <w:lang w:val="x-none"/>
        </w:rPr>
      </w:pPr>
      <w:r>
        <w:rPr>
          <w:rFonts w:ascii="Arial" w:hAnsi="Arial" w:cs="Arial"/>
          <w:color w:val="000000"/>
          <w:sz w:val="18"/>
          <w:szCs w:val="18"/>
          <w:lang w:val="x-none"/>
        </w:rPr>
        <w:t>Przed przystąpieniem do wykonywania instalacji centralnego ogrzewania wodnego należy spełnić warunki podane w punkcie 5.1. niniejszej ST oraz przeprowadzić badania wyrobów i materiałów, które będą wykorzystywane do wykonywania robót.</w:t>
      </w:r>
    </w:p>
    <w:p w14:paraId="494A1151" w14:textId="77777777" w:rsidR="000A3B2B" w:rsidRDefault="000A3B2B" w:rsidP="009E5295">
      <w:pPr>
        <w:autoSpaceDE w:val="0"/>
        <w:autoSpaceDN w:val="0"/>
        <w:adjustRightInd w:val="0"/>
        <w:spacing w:after="0" w:line="240" w:lineRule="auto"/>
        <w:jc w:val="both"/>
        <w:rPr>
          <w:rFonts w:ascii="Arial" w:hAnsi="Arial" w:cs="Arial"/>
          <w:color w:val="000000"/>
          <w:sz w:val="18"/>
          <w:szCs w:val="18"/>
          <w:lang w:val="x-none"/>
        </w:rPr>
      </w:pPr>
    </w:p>
    <w:p w14:paraId="39872432"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6.3.</w:t>
      </w:r>
      <w:r>
        <w:rPr>
          <w:rFonts w:ascii="Arial" w:hAnsi="Arial" w:cs="Arial"/>
          <w:b/>
          <w:bCs/>
          <w:color w:val="000000"/>
          <w:sz w:val="18"/>
          <w:szCs w:val="18"/>
          <w:lang w:val="x-none"/>
        </w:rPr>
        <w:tab/>
        <w:t>Odbiór robót poprzedzających wykonanie instalacji centralnego ogrzewania wodnego</w:t>
      </w:r>
    </w:p>
    <w:p w14:paraId="10846EDB"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Należy dokonać zgodnie z wymaganiami odpowiednich szczegółowych specyfikacji technicznych dla robót, które koniecznie należy wykonać przed rozpoczęciem robót instalacyjnych centralnego ogrzewania wodnego. </w:t>
      </w:r>
    </w:p>
    <w:p w14:paraId="439D6F1F" w14:textId="77777777" w:rsidR="000A3B2B" w:rsidRDefault="000A3B2B" w:rsidP="009E5295">
      <w:pPr>
        <w:autoSpaceDE w:val="0"/>
        <w:autoSpaceDN w:val="0"/>
        <w:adjustRightInd w:val="0"/>
        <w:spacing w:after="30" w:line="240" w:lineRule="auto"/>
        <w:jc w:val="both"/>
        <w:rPr>
          <w:rFonts w:ascii="Arial" w:hAnsi="Arial" w:cs="Arial"/>
          <w:b/>
          <w:bCs/>
          <w:color w:val="000000"/>
          <w:sz w:val="18"/>
          <w:szCs w:val="18"/>
          <w:lang w:val="x-none"/>
        </w:rPr>
      </w:pPr>
      <w:r>
        <w:rPr>
          <w:rFonts w:ascii="Arial" w:hAnsi="Arial" w:cs="Arial"/>
          <w:b/>
          <w:bCs/>
          <w:color w:val="000000"/>
          <w:sz w:val="18"/>
          <w:szCs w:val="18"/>
          <w:lang w:val="x-none"/>
        </w:rPr>
        <w:t>Badania materiałów</w:t>
      </w:r>
    </w:p>
    <w:p w14:paraId="09BCCE82"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Badania należy przeprowadzić na podstawie przedłożonych:</w:t>
      </w:r>
    </w:p>
    <w:p w14:paraId="2B4B0754"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deklaracji zgodności lub certyfikatów,</w:t>
      </w:r>
    </w:p>
    <w:p w14:paraId="7864DA88"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zapisów dziennika budowy, protokołów przyjęcia materiałów na budowę,</w:t>
      </w:r>
    </w:p>
    <w:p w14:paraId="50209C60"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deklaracji producentów stosowanych wyrobów.</w:t>
      </w:r>
    </w:p>
    <w:p w14:paraId="0E1BEA37"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Konieczne jest sprawdzenie czy deklarowane lub zbadane przez producenta parametry techniczne odpowiadają wymaganiom postawionym w dokumentacji projektowej i niniejszej specyfikacji technicznej.</w:t>
      </w:r>
    </w:p>
    <w:p w14:paraId="5FF50390" w14:textId="77777777" w:rsidR="000A3B2B" w:rsidRDefault="000A3B2B" w:rsidP="009E5295">
      <w:pPr>
        <w:autoSpaceDE w:val="0"/>
        <w:autoSpaceDN w:val="0"/>
        <w:adjustRightInd w:val="0"/>
        <w:spacing w:after="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Materiały, których jakość budzi wątpliwości mogą być zbadane na wniosek zamawiającego przez niezależne jednostki certyfikacyjne, zgodnie z wymaganiami odpowiednich norm.</w:t>
      </w:r>
    </w:p>
    <w:p w14:paraId="5596A55F" w14:textId="77777777" w:rsidR="000A3B2B" w:rsidRDefault="000A3B2B" w:rsidP="009E5295">
      <w:pPr>
        <w:autoSpaceDE w:val="0"/>
        <w:autoSpaceDN w:val="0"/>
        <w:adjustRightInd w:val="0"/>
        <w:spacing w:after="0" w:line="240" w:lineRule="auto"/>
        <w:ind w:left="390" w:hanging="390"/>
        <w:jc w:val="both"/>
        <w:rPr>
          <w:rFonts w:ascii="Arial" w:hAnsi="Arial" w:cs="Arial"/>
          <w:b/>
          <w:bCs/>
          <w:color w:val="000000"/>
          <w:sz w:val="18"/>
          <w:szCs w:val="18"/>
          <w:lang w:val="x-none"/>
        </w:rPr>
      </w:pPr>
    </w:p>
    <w:p w14:paraId="0F53033C"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6.4.</w:t>
      </w:r>
      <w:r>
        <w:rPr>
          <w:rFonts w:ascii="Arial" w:hAnsi="Arial" w:cs="Arial"/>
          <w:b/>
          <w:bCs/>
          <w:color w:val="000000"/>
          <w:sz w:val="18"/>
          <w:szCs w:val="18"/>
          <w:lang w:val="x-none"/>
        </w:rPr>
        <w:tab/>
        <w:t>Badania w czasie robót</w:t>
      </w:r>
    </w:p>
    <w:p w14:paraId="7EAFC07A"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Badania w czasie robót polegają na sprawdzeniu zgodności wykonywanej instalacji centralnego ogrzewania wodnego z dokumentacją projektową, wymaganiami niniejszej specyfikacji i instrukcjami producentów. </w:t>
      </w:r>
    </w:p>
    <w:p w14:paraId="3778048D"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 xml:space="preserve">Badania te w szczególności powinny dotyczyć sprawdzenia prawidłowości montażu rurociągów ze względu na miejsce ułożenia i stosowane przekroje przewodów oraz sposoby ich zamocowania i rodzaje materiałów montowanych rur. </w:t>
      </w:r>
    </w:p>
    <w:p w14:paraId="1253755C"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Inne elementy instalacji powinny spełniać wymogi zawarte w dokumentacji projektowej co do ich:</w:t>
      </w:r>
    </w:p>
    <w:p w14:paraId="26C9FF9F"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ilości,</w:t>
      </w:r>
    </w:p>
    <w:p w14:paraId="2E604F41"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wymiaru charakterystycznego np. średnicy, długości grzejnika, itp.,</w:t>
      </w:r>
    </w:p>
    <w:p w14:paraId="3FCD37F2"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spełnienia dodatkowych zastrzeżeń np. zawór kątowy, wymiary oczek siatki filtrującej itp.</w:t>
      </w:r>
    </w:p>
    <w:p w14:paraId="3EE815C2"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p>
    <w:p w14:paraId="68977AF5"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6.5.</w:t>
      </w:r>
      <w:r>
        <w:rPr>
          <w:rFonts w:ascii="Arial" w:hAnsi="Arial" w:cs="Arial"/>
          <w:b/>
          <w:bCs/>
          <w:color w:val="000000"/>
          <w:sz w:val="18"/>
          <w:szCs w:val="18"/>
          <w:lang w:val="x-none"/>
        </w:rPr>
        <w:tab/>
        <w:t>Badania w czasie odbioru robót</w:t>
      </w:r>
    </w:p>
    <w:p w14:paraId="1654EDC9"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Badania w czasie odbioru robót przeprowadza się celem oceny czy spełnione zostały wszystkie wymagania dotyczące wykonywania instalacji centralnego ogrzewania wodnego, w szczególności w zakresie:</w:t>
      </w:r>
    </w:p>
    <w:p w14:paraId="5332F742"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zgodności z dokumentacją projektową, specyfikacją techniczną wraz z wprowadzonymi zmianami naniesionymi w dokumentacji powykonawczej,</w:t>
      </w:r>
    </w:p>
    <w:p w14:paraId="65448481"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jakości zastosowanych materiałów i wyrobów,</w:t>
      </w:r>
    </w:p>
    <w:p w14:paraId="109C276D"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jakości wykonywania instalacji centralnego ogrzewania wodnego.</w:t>
      </w:r>
    </w:p>
    <w:p w14:paraId="51A13CEA"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Przy badaniach w czasie odbioru robót należy wykorzystać wyniki badań dokonanych wcześniej oraz zapisy w dzienniku budowy dotyczące wykonanych robót.</w:t>
      </w:r>
    </w:p>
    <w:p w14:paraId="31AABF51"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Badania polegają m.in. na:</w:t>
      </w:r>
    </w:p>
    <w:p w14:paraId="7E7A45E3"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a)</w:t>
      </w:r>
      <w:r>
        <w:rPr>
          <w:rFonts w:ascii="Arial" w:hAnsi="Arial" w:cs="Arial"/>
          <w:color w:val="000000"/>
          <w:sz w:val="18"/>
          <w:szCs w:val="18"/>
          <w:lang w:val="x-none"/>
        </w:rPr>
        <w:tab/>
      </w:r>
      <w:r>
        <w:rPr>
          <w:rFonts w:ascii="Arial" w:hAnsi="Arial" w:cs="Arial"/>
          <w:b/>
          <w:bCs/>
          <w:color w:val="000000"/>
          <w:sz w:val="18"/>
          <w:szCs w:val="18"/>
          <w:lang w:val="x-none"/>
        </w:rPr>
        <w:t>sprawdzeniu zgodności z dokumentacją</w:t>
      </w:r>
      <w:r>
        <w:rPr>
          <w:rFonts w:ascii="Arial" w:hAnsi="Arial" w:cs="Arial"/>
          <w:color w:val="000000"/>
          <w:sz w:val="18"/>
          <w:szCs w:val="18"/>
          <w:lang w:val="x-none"/>
        </w:rPr>
        <w:t xml:space="preserve"> – powinno być przeprowadzone przez porównanie wykonanych instalacji z dokumentacją projektową, specyfikacją techniczną oraz ze zmianami naniesionymi w dokumentacji powykonawczej; sprawdzenia zgodności dokonuje się na podstawie oględzin zewnętrznych i pomiarów; pomiar długości rurociągów przeprowadza się z dokładnością do 10 mm, elementy pozostałe należy policzyć z dokładnością do jednej sztuki. Ilości normatywne niektórych elementów instalacji mogą być uzależnione od podstawy wyceny lub wytycznych producenta i zależą od ilości innych materiałów np. ilość podparć/</w:t>
      </w:r>
      <w:proofErr w:type="spellStart"/>
      <w:r>
        <w:rPr>
          <w:rFonts w:ascii="Arial" w:hAnsi="Arial" w:cs="Arial"/>
          <w:color w:val="000000"/>
          <w:sz w:val="18"/>
          <w:szCs w:val="18"/>
          <w:lang w:val="x-none"/>
        </w:rPr>
        <w:t>mb</w:t>
      </w:r>
      <w:proofErr w:type="spellEnd"/>
      <w:r>
        <w:rPr>
          <w:rFonts w:ascii="Arial" w:hAnsi="Arial" w:cs="Arial"/>
          <w:color w:val="000000"/>
          <w:sz w:val="18"/>
          <w:szCs w:val="18"/>
          <w:lang w:val="x-none"/>
        </w:rPr>
        <w:t xml:space="preserve"> rurociągu. Jednocześnie nie są wyszczególnione w „Przedmiarze robót”, dlatego po ich przeliczeniu należy sprawdzić ilości wymagane w materiałach źródłowych.</w:t>
      </w:r>
    </w:p>
    <w:p w14:paraId="33D80FE6" w14:textId="77777777" w:rsidR="000A3B2B" w:rsidRDefault="000A3B2B" w:rsidP="009E5295">
      <w:pPr>
        <w:autoSpaceDE w:val="0"/>
        <w:autoSpaceDN w:val="0"/>
        <w:adjustRightInd w:val="0"/>
        <w:spacing w:after="30" w:line="240" w:lineRule="auto"/>
        <w:ind w:left="285" w:hanging="285"/>
        <w:jc w:val="both"/>
        <w:rPr>
          <w:rFonts w:ascii="Arial" w:hAnsi="Arial" w:cs="Arial"/>
          <w:b/>
          <w:bCs/>
          <w:color w:val="000000"/>
          <w:sz w:val="18"/>
          <w:szCs w:val="18"/>
          <w:lang w:val="x-none"/>
        </w:rPr>
      </w:pPr>
      <w:r>
        <w:rPr>
          <w:rFonts w:ascii="Arial" w:hAnsi="Arial" w:cs="Arial"/>
          <w:color w:val="000000"/>
          <w:sz w:val="18"/>
          <w:szCs w:val="18"/>
          <w:lang w:val="x-none"/>
        </w:rPr>
        <w:t>b)</w:t>
      </w:r>
      <w:r>
        <w:rPr>
          <w:rFonts w:ascii="Arial" w:hAnsi="Arial" w:cs="Arial"/>
          <w:color w:val="000000"/>
          <w:sz w:val="18"/>
          <w:szCs w:val="18"/>
          <w:lang w:val="x-none"/>
        </w:rPr>
        <w:tab/>
      </w:r>
      <w:r>
        <w:rPr>
          <w:rFonts w:ascii="Arial" w:hAnsi="Arial" w:cs="Arial"/>
          <w:b/>
          <w:bCs/>
          <w:color w:val="000000"/>
          <w:sz w:val="18"/>
          <w:szCs w:val="18"/>
          <w:lang w:val="x-none"/>
        </w:rPr>
        <w:t>sprawdzenie szczelności instalacji – próba ciśnieniowa „ na zimno”</w:t>
      </w:r>
    </w:p>
    <w:p w14:paraId="02E6BCE8"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Próby ciśnieniowe instalacji centralnego ogrzewania wodnego należy przeprowadzić zgodnie z wytycznymi producenta rur.</w:t>
      </w:r>
    </w:p>
    <w:p w14:paraId="68E9B54B"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Każdy producent powinien podać parametry próby ciśnieniowej dla swoich rur i najlepiej skorzystać z informacji źródłowej, którą można dołączyć jako załącznik do niniejszej ST. Można także wykonać próbę ciśnieniową według procedury standardowej, określonej w „Warunkach technicznych wykonania i odbioru instalacji”. Próbę przeprowadza się po zmontowaniu instalacji, przy ciśnieniu półtora razy większym od ciśnienia roboczego (ciśnienie próbne), nie większym jednak od ciśnienia maksymalnego dla poszczególnych elementów systemu.</w:t>
      </w:r>
    </w:p>
    <w:p w14:paraId="68DCF41C"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Ze względu na możliwość termicznych i ciśnieniowych odkształceń przewodów próby dzielimy na wstępną i zasadniczą.</w:t>
      </w:r>
    </w:p>
    <w:p w14:paraId="7F8DBC4C"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 xml:space="preserve">Podczas próby wstępnej, w ciągu 30 minut (w odstępach co 10 minut) należy w instalacji dwukrotnie wytworzyć ciśnienie próbne. Po ostatnim podniesieniu ciśnienia do wartości próbnej w ciągu następnych 30 minut ciśnienie nie powinno obniżyć się więcej niż o 0,6 </w:t>
      </w:r>
      <w:proofErr w:type="spellStart"/>
      <w:r>
        <w:rPr>
          <w:rFonts w:ascii="Arial" w:hAnsi="Arial" w:cs="Arial"/>
          <w:color w:val="000000"/>
          <w:sz w:val="18"/>
          <w:szCs w:val="18"/>
          <w:lang w:val="x-none"/>
        </w:rPr>
        <w:t>bara</w:t>
      </w:r>
      <w:proofErr w:type="spellEnd"/>
      <w:r>
        <w:rPr>
          <w:rFonts w:ascii="Arial" w:hAnsi="Arial" w:cs="Arial"/>
          <w:color w:val="000000"/>
          <w:sz w:val="18"/>
          <w:szCs w:val="18"/>
          <w:lang w:val="x-none"/>
        </w:rPr>
        <w:t>.</w:t>
      </w:r>
    </w:p>
    <w:p w14:paraId="7B7D9F8D"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 xml:space="preserve">Próba zasadnicza powinna się odbyć zaraz po próbie wstępnej i trwać 2 godziny. W tym czasie dalszy spadek ciśnienia (od ciśnienia odczytanego po próbie wstępnej) nie powinien być większy niż 0,2 </w:t>
      </w:r>
      <w:proofErr w:type="spellStart"/>
      <w:r>
        <w:rPr>
          <w:rFonts w:ascii="Arial" w:hAnsi="Arial" w:cs="Arial"/>
          <w:color w:val="000000"/>
          <w:sz w:val="18"/>
          <w:szCs w:val="18"/>
          <w:lang w:val="x-none"/>
        </w:rPr>
        <w:t>bara</w:t>
      </w:r>
      <w:proofErr w:type="spellEnd"/>
      <w:r>
        <w:rPr>
          <w:rFonts w:ascii="Arial" w:hAnsi="Arial" w:cs="Arial"/>
          <w:color w:val="000000"/>
          <w:sz w:val="18"/>
          <w:szCs w:val="18"/>
          <w:lang w:val="x-none"/>
        </w:rPr>
        <w:t>.</w:t>
      </w:r>
    </w:p>
    <w:tbl>
      <w:tblPr>
        <w:tblW w:w="0" w:type="auto"/>
        <w:tblCellSpacing w:w="0" w:type="dxa"/>
        <w:tblInd w:w="-8" w:type="dxa"/>
        <w:tblLayout w:type="fixed"/>
        <w:tblCellMar>
          <w:left w:w="0" w:type="dxa"/>
          <w:right w:w="0" w:type="dxa"/>
        </w:tblCellMar>
        <w:tblLook w:val="0000" w:firstRow="0" w:lastRow="0" w:firstColumn="0" w:lastColumn="0" w:noHBand="0" w:noVBand="0"/>
      </w:tblPr>
      <w:tblGrid>
        <w:gridCol w:w="9352"/>
      </w:tblGrid>
      <w:tr w:rsidR="000A3B2B" w14:paraId="58D624BA" w14:textId="77777777">
        <w:trPr>
          <w:trHeight w:val="60"/>
          <w:tblCellSpacing w:w="0" w:type="dxa"/>
        </w:trPr>
        <w:tc>
          <w:tcPr>
            <w:tcW w:w="9352" w:type="dxa"/>
            <w:tcBorders>
              <w:top w:val="single" w:sz="6" w:space="0" w:color="000000"/>
              <w:left w:val="single" w:sz="6" w:space="0" w:color="000000"/>
              <w:bottom w:val="single" w:sz="6" w:space="0" w:color="000000"/>
              <w:right w:val="single" w:sz="6" w:space="0" w:color="000000"/>
            </w:tcBorders>
          </w:tcPr>
          <w:p w14:paraId="1D5ECC73" w14:textId="77777777" w:rsidR="000A3B2B" w:rsidRDefault="000A3B2B">
            <w:pPr>
              <w:autoSpaceDE w:val="0"/>
              <w:autoSpaceDN w:val="0"/>
              <w:adjustRightInd w:val="0"/>
              <w:spacing w:after="30" w:line="240" w:lineRule="auto"/>
              <w:jc w:val="both"/>
              <w:rPr>
                <w:rFonts w:ascii="Arial" w:hAnsi="Arial" w:cs="Arial"/>
                <w:b/>
                <w:bCs/>
                <w:color w:val="000000"/>
                <w:sz w:val="18"/>
                <w:szCs w:val="18"/>
                <w:lang w:val="x-none"/>
              </w:rPr>
            </w:pPr>
            <w:r>
              <w:rPr>
                <w:rFonts w:ascii="Arial" w:hAnsi="Arial" w:cs="Arial"/>
                <w:b/>
                <w:bCs/>
                <w:color w:val="000000"/>
                <w:sz w:val="18"/>
                <w:szCs w:val="18"/>
                <w:lang w:val="x-none"/>
              </w:rPr>
              <w:t xml:space="preserve">Uwaga! Podczas przeprowadzania próby należy odłączyć od instalacji elementy dopuszczone do pracy przy niższym ciśnieniu, na przykład przeponowe naczynie </w:t>
            </w:r>
            <w:proofErr w:type="spellStart"/>
            <w:r>
              <w:rPr>
                <w:rFonts w:ascii="Arial" w:hAnsi="Arial" w:cs="Arial"/>
                <w:b/>
                <w:bCs/>
                <w:color w:val="000000"/>
                <w:sz w:val="18"/>
                <w:szCs w:val="18"/>
                <w:lang w:val="x-none"/>
              </w:rPr>
              <w:t>wzbiorcze</w:t>
            </w:r>
            <w:proofErr w:type="spellEnd"/>
            <w:r>
              <w:rPr>
                <w:rFonts w:ascii="Arial" w:hAnsi="Arial" w:cs="Arial"/>
                <w:b/>
                <w:bCs/>
                <w:color w:val="000000"/>
                <w:sz w:val="18"/>
                <w:szCs w:val="18"/>
                <w:lang w:val="x-none"/>
              </w:rPr>
              <w:t>.</w:t>
            </w:r>
          </w:p>
        </w:tc>
      </w:tr>
    </w:tbl>
    <w:p w14:paraId="2A4BE251"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3C3602BC" w14:textId="77777777" w:rsidR="000A3B2B" w:rsidRDefault="000A3B2B" w:rsidP="009E5295">
      <w:pPr>
        <w:autoSpaceDE w:val="0"/>
        <w:autoSpaceDN w:val="0"/>
        <w:adjustRightInd w:val="0"/>
        <w:spacing w:after="30" w:line="240" w:lineRule="auto"/>
        <w:ind w:left="285" w:hanging="285"/>
        <w:jc w:val="both"/>
        <w:rPr>
          <w:rFonts w:ascii="Arial" w:hAnsi="Arial" w:cs="Arial"/>
          <w:b/>
          <w:bCs/>
          <w:color w:val="000000"/>
          <w:sz w:val="18"/>
          <w:szCs w:val="18"/>
          <w:lang w:val="x-none"/>
        </w:rPr>
      </w:pPr>
      <w:r>
        <w:rPr>
          <w:rFonts w:ascii="Arial" w:hAnsi="Arial" w:cs="Arial"/>
          <w:color w:val="000000"/>
          <w:sz w:val="18"/>
          <w:szCs w:val="18"/>
          <w:lang w:val="x-none"/>
        </w:rPr>
        <w:t>c)</w:t>
      </w:r>
      <w:r>
        <w:rPr>
          <w:rFonts w:ascii="Arial" w:hAnsi="Arial" w:cs="Arial"/>
          <w:color w:val="000000"/>
          <w:sz w:val="18"/>
          <w:szCs w:val="18"/>
          <w:lang w:val="x-none"/>
        </w:rPr>
        <w:tab/>
      </w:r>
      <w:r>
        <w:rPr>
          <w:rFonts w:ascii="Arial" w:hAnsi="Arial" w:cs="Arial"/>
          <w:b/>
          <w:bCs/>
          <w:color w:val="000000"/>
          <w:sz w:val="18"/>
          <w:szCs w:val="18"/>
          <w:lang w:val="x-none"/>
        </w:rPr>
        <w:t>sprawdzenie szczelności instalacji – próba ciśnieniowa „na gorąco”</w:t>
      </w:r>
    </w:p>
    <w:p w14:paraId="7F13C0CF"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Próbę ciśnieniową instalacji centralnego ogrzewania wodnego „na gorąco” należy przeprowadzić po pozytywnym wyniku próby „na zimno”. Obejmuje ona:</w:t>
      </w:r>
    </w:p>
    <w:p w14:paraId="33D8AF39"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uruchomienie instalacji centralnego ogrzewania,</w:t>
      </w:r>
    </w:p>
    <w:p w14:paraId="1AC6F873"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wyregulowanie przepływu czynnika grzejnika (przez rurociągi i grzejniki) dla uzyskania założonych temperatur.</w:t>
      </w:r>
    </w:p>
    <w:p w14:paraId="5E3605FA"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59903C7C" w14:textId="77777777" w:rsidR="000A3B2B" w:rsidRDefault="000A3B2B" w:rsidP="009E5295">
      <w:pPr>
        <w:autoSpaceDE w:val="0"/>
        <w:autoSpaceDN w:val="0"/>
        <w:adjustRightInd w:val="0"/>
        <w:spacing w:before="225" w:after="12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7.</w:t>
      </w:r>
      <w:r>
        <w:rPr>
          <w:rFonts w:ascii="Arial" w:hAnsi="Arial" w:cs="Arial"/>
          <w:b/>
          <w:bCs/>
          <w:color w:val="000000"/>
          <w:sz w:val="18"/>
          <w:szCs w:val="18"/>
          <w:lang w:val="x-none"/>
        </w:rPr>
        <w:tab/>
        <w:t>WYMAGANIA DOTYCZĄCE PRZEDMIARU I OBMIARU ROBÓT</w:t>
      </w:r>
    </w:p>
    <w:p w14:paraId="0D6D33C5"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7.1.</w:t>
      </w:r>
      <w:r>
        <w:rPr>
          <w:rFonts w:ascii="Arial" w:hAnsi="Arial" w:cs="Arial"/>
          <w:b/>
          <w:bCs/>
          <w:color w:val="000000"/>
          <w:sz w:val="18"/>
          <w:szCs w:val="18"/>
          <w:lang w:val="x-none"/>
        </w:rPr>
        <w:tab/>
        <w:t>Ogólne zasady przedmiaru i obmiaru podano w ST „Wymagania ogólne” Kod CPV 45000000-7, pkt 7</w:t>
      </w:r>
    </w:p>
    <w:p w14:paraId="3167D46D"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774D147D"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7.2.</w:t>
      </w:r>
      <w:r>
        <w:rPr>
          <w:rFonts w:ascii="Arial" w:hAnsi="Arial" w:cs="Arial"/>
          <w:b/>
          <w:bCs/>
          <w:color w:val="000000"/>
          <w:sz w:val="18"/>
          <w:szCs w:val="18"/>
          <w:lang w:val="x-none"/>
        </w:rPr>
        <w:tab/>
        <w:t>Szczegółowe zasady przedmiaru i obmiaru robót instalacyjnych przy wykonywaniu instalacji centralnego ogrzewania wodnego</w:t>
      </w:r>
    </w:p>
    <w:p w14:paraId="6317F6C5"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Przedmiaru i obmiaru robót dokonuje się według następujących zasad:</w:t>
      </w:r>
    </w:p>
    <w:p w14:paraId="2962CB0B"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długość rurociągów mierzy się wzdłuż ich osi, do ogólnej długości rurociągów wlicza się długości rur </w:t>
      </w:r>
      <w:proofErr w:type="spellStart"/>
      <w:r>
        <w:rPr>
          <w:rFonts w:ascii="Arial" w:hAnsi="Arial" w:cs="Arial"/>
          <w:color w:val="000000"/>
          <w:sz w:val="18"/>
          <w:szCs w:val="18"/>
          <w:lang w:val="x-none"/>
        </w:rPr>
        <w:t>przyłącznych</w:t>
      </w:r>
      <w:proofErr w:type="spellEnd"/>
      <w:r>
        <w:rPr>
          <w:rFonts w:ascii="Arial" w:hAnsi="Arial" w:cs="Arial"/>
          <w:color w:val="000000"/>
          <w:sz w:val="18"/>
          <w:szCs w:val="18"/>
          <w:lang w:val="x-none"/>
        </w:rPr>
        <w:t xml:space="preserve"> do grzejników (gałązek), armaturę łączoną na gwint i łączniki,</w:t>
      </w:r>
    </w:p>
    <w:p w14:paraId="4E1438EA"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do długości rurociągów nie wlicza się wydłużek i urządzeń,</w:t>
      </w:r>
    </w:p>
    <w:p w14:paraId="78D853A1"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zwężki (redukcje) wlicza się do długości rurociągów o większych średnicach,</w:t>
      </w:r>
    </w:p>
    <w:p w14:paraId="1E0D338A"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całkowitą długość rurociągów przy próbach instalacji centralnego ogrzewania na szczelność (na zimno) lub próbach na gorąco stanowi suma długości rurociągów zasilających i powrotnych w </w:t>
      </w:r>
      <w:proofErr w:type="spellStart"/>
      <w:r>
        <w:rPr>
          <w:rFonts w:ascii="Arial" w:hAnsi="Arial" w:cs="Arial"/>
          <w:color w:val="000000"/>
          <w:sz w:val="18"/>
          <w:szCs w:val="18"/>
          <w:lang w:val="x-none"/>
        </w:rPr>
        <w:t>ogrzewaniach</w:t>
      </w:r>
      <w:proofErr w:type="spellEnd"/>
      <w:r>
        <w:rPr>
          <w:rFonts w:ascii="Arial" w:hAnsi="Arial" w:cs="Arial"/>
          <w:color w:val="000000"/>
          <w:sz w:val="18"/>
          <w:szCs w:val="18"/>
          <w:lang w:val="x-none"/>
        </w:rPr>
        <w:t xml:space="preserve"> wodnych.</w:t>
      </w:r>
    </w:p>
    <w:p w14:paraId="7B7EE5E8"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4E46FF00" w14:textId="77777777" w:rsidR="000A3B2B" w:rsidRDefault="000A3B2B" w:rsidP="009E5295">
      <w:pPr>
        <w:autoSpaceDE w:val="0"/>
        <w:autoSpaceDN w:val="0"/>
        <w:adjustRightInd w:val="0"/>
        <w:spacing w:before="225" w:after="12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8.</w:t>
      </w:r>
      <w:r>
        <w:rPr>
          <w:rFonts w:ascii="Arial" w:hAnsi="Arial" w:cs="Arial"/>
          <w:b/>
          <w:bCs/>
          <w:color w:val="000000"/>
          <w:sz w:val="18"/>
          <w:szCs w:val="18"/>
          <w:lang w:val="x-none"/>
        </w:rPr>
        <w:tab/>
        <w:t>SPOSÓB ODBIORU ROBÓT</w:t>
      </w:r>
    </w:p>
    <w:p w14:paraId="14B17772"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8.1.</w:t>
      </w:r>
      <w:r>
        <w:rPr>
          <w:rFonts w:ascii="Arial" w:hAnsi="Arial" w:cs="Arial"/>
          <w:b/>
          <w:bCs/>
          <w:color w:val="000000"/>
          <w:sz w:val="18"/>
          <w:szCs w:val="18"/>
          <w:lang w:val="x-none"/>
        </w:rPr>
        <w:tab/>
        <w:t>Ogólne zasady odbioru robót podano w ST „Wymagania ogólne” Kod CPV 45000000-7, pkt 8</w:t>
      </w:r>
    </w:p>
    <w:p w14:paraId="77401F16"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71F5848D"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8.2.</w:t>
      </w:r>
      <w:r>
        <w:rPr>
          <w:rFonts w:ascii="Arial" w:hAnsi="Arial" w:cs="Arial"/>
          <w:b/>
          <w:bCs/>
          <w:color w:val="000000"/>
          <w:sz w:val="18"/>
          <w:szCs w:val="18"/>
          <w:lang w:val="x-none"/>
        </w:rPr>
        <w:tab/>
        <w:t>Odbiór robót zanikających i ulegających zakryciu</w:t>
      </w:r>
    </w:p>
    <w:p w14:paraId="72EB1546"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Przy wykonywaniu instalacji centralnego ogrzewania wodnego istotnymi elementami ulegającymi zakryciu są wszelkie rurociągi i elementy sieci prowadzone w bruzdach lub szachtach ścian i stropów oraz części składowe elementów, które dalej traktowane są jako komplet np. napęd (siłownik) zaworu sterowanego automatycznie.</w:t>
      </w:r>
    </w:p>
    <w:p w14:paraId="3F9C089A"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 trakcie odbioru należy przeprowadzić badania wymienione w pkt. 6., a wyniki badań porównać z wymaganiami określonymi w niniejszej specyfikacji.</w:t>
      </w:r>
    </w:p>
    <w:p w14:paraId="6002E49E"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Jeżeli wszystkie pomiary i badania dały wynik pozytywny można uznać elementy ulegające zakryciu za wykonane prawidłowo, tj. zgodnie z dokumentacją projektową oraz specyfikacją techniczną i zezwolić na przystąpienie do następnych robót instalacyjnych.</w:t>
      </w:r>
    </w:p>
    <w:p w14:paraId="6A097815"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Praktycznie najbardziej miarodajne będzie sprawdzenie szczelności instalacji – próba ciśnieniowa „na zimno” i dlatego należy tak zorganizować prace, aby pozytywny wynik tej próby umożliwił dalsze prace związane z „zakrywaniem” instalacji.</w:t>
      </w:r>
    </w:p>
    <w:p w14:paraId="0850B30C"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Jeżeli jakikolwiek wynik badania jest negatywny, takie roboty ulegające zakryciu nie powinny być odebrane. W takim przypadku należy ustalić zakres prac i rodzaje materiałów koniecznych do usunięcia nieprawidłowości. Po wykonaniu ustalonego zakresu prac należy ponownie przeprowadzić badania.</w:t>
      </w:r>
    </w:p>
    <w:p w14:paraId="1AF178AD"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 xml:space="preserve">Wszystkie ustalenia związane z dokonanym odbiorem materiałów oraz robót ulegających zakryciu należy zapisać w dzienniku budowy lub protokole podpisanym przez przedstawicieli inwestora </w:t>
      </w:r>
      <w:r>
        <w:rPr>
          <w:rFonts w:ascii="Arial" w:hAnsi="Arial" w:cs="Arial"/>
          <w:i/>
          <w:iCs/>
          <w:color w:val="000000"/>
          <w:sz w:val="18"/>
          <w:szCs w:val="18"/>
          <w:lang w:val="x-none"/>
        </w:rPr>
        <w:t>(inspektor nadzoru) i wykonawcy (kierownik budowy)</w:t>
      </w:r>
      <w:r>
        <w:rPr>
          <w:rFonts w:ascii="Arial" w:hAnsi="Arial" w:cs="Arial"/>
          <w:color w:val="000000"/>
          <w:sz w:val="18"/>
          <w:szCs w:val="18"/>
          <w:lang w:val="x-none"/>
        </w:rPr>
        <w:t>.</w:t>
      </w:r>
    </w:p>
    <w:p w14:paraId="3CAF49DB"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2BB13B90"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8.3.</w:t>
      </w:r>
      <w:r>
        <w:rPr>
          <w:rFonts w:ascii="Arial" w:hAnsi="Arial" w:cs="Arial"/>
          <w:b/>
          <w:bCs/>
          <w:color w:val="000000"/>
          <w:sz w:val="18"/>
          <w:szCs w:val="18"/>
          <w:lang w:val="x-none"/>
        </w:rPr>
        <w:tab/>
        <w:t>Odbiór częściowy</w:t>
      </w:r>
    </w:p>
    <w:p w14:paraId="4946D775"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Odbiór częściowy polega na ocenie ilości i jakości wykonanej części robót. Odbioru częściowego robót dokonuje się dla zakresu określonego w dokumentach umownych, według zasad jak przy odbiorze ostatecznym robót.</w:t>
      </w:r>
    </w:p>
    <w:p w14:paraId="3DC47CAB"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Celem odbioru częściowego jest wczesne wykrycie ewentualnych usterek w realizowanych robotach i ich usunięcie przed odbiorem końcowym.</w:t>
      </w:r>
    </w:p>
    <w:p w14:paraId="35EF8BCE"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Odbiór częściowy robót jest dokonywany przez inspektora nadzoru w obecności kierownika budowy i może stanowić podstawę do dokonania częściowego rozliczenia robót (jeśli strony przyjęły taką formę rozliczenia robót).</w:t>
      </w:r>
    </w:p>
    <w:p w14:paraId="41D335F4"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5EC99C7E"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8.4.</w:t>
      </w:r>
      <w:r>
        <w:rPr>
          <w:rFonts w:ascii="Arial" w:hAnsi="Arial" w:cs="Arial"/>
          <w:b/>
          <w:bCs/>
          <w:color w:val="000000"/>
          <w:sz w:val="18"/>
          <w:szCs w:val="18"/>
          <w:lang w:val="x-none"/>
        </w:rPr>
        <w:tab/>
        <w:t>Odbiór ostateczny (końcowy)</w:t>
      </w:r>
    </w:p>
    <w:p w14:paraId="77857938"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Odbiór końcowy stanowi ostateczną ocenę rzeczywistego wykonania robót w odniesieniu do ich zakresu (ilości), jakości i zgodności z dokumentacją projektową.</w:t>
      </w:r>
    </w:p>
    <w:p w14:paraId="56884550"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Odbiór ostateczny przeprowadza komisja powołana przez zamawiającego, na podstawie przedłożonych dokumentów, wyników badań oraz dokonanej oceny wizualnej.</w:t>
      </w:r>
    </w:p>
    <w:p w14:paraId="44D80486"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Zasady i terminy powoływania komisji oraz czas jej działania powinna określać umowa.</w:t>
      </w:r>
    </w:p>
    <w:p w14:paraId="2E326930"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Wykonawca robót obowiązany jest przedłożyć komisji następujące dokumenty:</w:t>
      </w:r>
    </w:p>
    <w:p w14:paraId="5EFA2E7A"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dokumentację projektową z naniesionymi zmianami dokonanymi w toku wykonywania robót – dokumentację powykonawczą.</w:t>
      </w:r>
    </w:p>
    <w:p w14:paraId="3ED5E892"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Dokumentacja powykonawcza powinna zawierać w szczególności:</w:t>
      </w:r>
    </w:p>
    <w:p w14:paraId="2F47F23F" w14:textId="77777777" w:rsidR="000A3B2B" w:rsidRDefault="000A3B2B" w:rsidP="009E5295">
      <w:pPr>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t>1.</w:t>
      </w:r>
      <w:r>
        <w:rPr>
          <w:rFonts w:ascii="Arial" w:hAnsi="Arial" w:cs="Arial"/>
          <w:color w:val="000000"/>
          <w:sz w:val="18"/>
          <w:szCs w:val="18"/>
          <w:lang w:val="x-none"/>
        </w:rPr>
        <w:tab/>
        <w:t xml:space="preserve">dokładny opis instalacji centralnego ogrzewania wodnego, </w:t>
      </w:r>
    </w:p>
    <w:p w14:paraId="7625201E" w14:textId="77777777" w:rsidR="000A3B2B" w:rsidRDefault="000A3B2B" w:rsidP="009E5295">
      <w:pPr>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t>2.</w:t>
      </w:r>
      <w:r>
        <w:rPr>
          <w:rFonts w:ascii="Arial" w:hAnsi="Arial" w:cs="Arial"/>
          <w:color w:val="000000"/>
          <w:sz w:val="18"/>
          <w:szCs w:val="18"/>
          <w:lang w:val="x-none"/>
        </w:rPr>
        <w:tab/>
        <w:t>szczegółowe specyfikacje zastosowanych materiałów i urządzeń,</w:t>
      </w:r>
    </w:p>
    <w:p w14:paraId="094E18CF" w14:textId="77777777" w:rsidR="000A3B2B" w:rsidRDefault="000A3B2B" w:rsidP="009E5295">
      <w:pPr>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t>3.</w:t>
      </w:r>
      <w:r>
        <w:rPr>
          <w:rFonts w:ascii="Arial" w:hAnsi="Arial" w:cs="Arial"/>
          <w:color w:val="000000"/>
          <w:sz w:val="18"/>
          <w:szCs w:val="18"/>
          <w:lang w:val="x-none"/>
        </w:rPr>
        <w:tab/>
        <w:t>rysunki powykonawcze instalacji przedstawiające rzeczywiste rozmieszczenie urządzeń oraz prowadzenie przewodów i usytuowanie osprzętu,</w:t>
      </w:r>
    </w:p>
    <w:p w14:paraId="141A850F" w14:textId="77777777" w:rsidR="000A3B2B" w:rsidRDefault="000A3B2B" w:rsidP="009E5295">
      <w:pPr>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t>4.</w:t>
      </w:r>
      <w:r>
        <w:rPr>
          <w:rFonts w:ascii="Arial" w:hAnsi="Arial" w:cs="Arial"/>
          <w:color w:val="000000"/>
          <w:sz w:val="18"/>
          <w:szCs w:val="18"/>
          <w:lang w:val="x-none"/>
        </w:rPr>
        <w:tab/>
        <w:t>korektę obliczeń instalacji, zgodnie ze stanem faktycznym,</w:t>
      </w:r>
    </w:p>
    <w:p w14:paraId="586F4B57" w14:textId="77777777" w:rsidR="000A3B2B" w:rsidRDefault="000A3B2B" w:rsidP="009E5295">
      <w:pPr>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t>5.</w:t>
      </w:r>
      <w:r>
        <w:rPr>
          <w:rFonts w:ascii="Arial" w:hAnsi="Arial" w:cs="Arial"/>
          <w:color w:val="000000"/>
          <w:sz w:val="18"/>
          <w:szCs w:val="18"/>
          <w:lang w:val="x-none"/>
        </w:rPr>
        <w:tab/>
        <w:t>schematy instalacyjne oraz rzuty instalacji z zaznaczonymi wszystkimi punktami pomiarowymi,</w:t>
      </w:r>
    </w:p>
    <w:p w14:paraId="40AA3FF7" w14:textId="77777777" w:rsidR="000A3B2B" w:rsidRDefault="000A3B2B" w:rsidP="009E5295">
      <w:pPr>
        <w:autoSpaceDE w:val="0"/>
        <w:autoSpaceDN w:val="0"/>
        <w:adjustRightInd w:val="0"/>
        <w:spacing w:after="30" w:line="240" w:lineRule="auto"/>
        <w:ind w:left="570" w:hanging="285"/>
        <w:jc w:val="both"/>
        <w:rPr>
          <w:rFonts w:ascii="Arial" w:hAnsi="Arial" w:cs="Arial"/>
          <w:color w:val="000000"/>
          <w:sz w:val="18"/>
          <w:szCs w:val="18"/>
          <w:lang w:val="x-none"/>
        </w:rPr>
      </w:pPr>
      <w:r>
        <w:rPr>
          <w:rFonts w:ascii="Arial" w:hAnsi="Arial" w:cs="Arial"/>
          <w:color w:val="000000"/>
          <w:sz w:val="18"/>
          <w:szCs w:val="18"/>
          <w:lang w:val="x-none"/>
        </w:rPr>
        <w:t>6.</w:t>
      </w:r>
      <w:r>
        <w:rPr>
          <w:rFonts w:ascii="Arial" w:hAnsi="Arial" w:cs="Arial"/>
          <w:color w:val="000000"/>
          <w:sz w:val="18"/>
          <w:szCs w:val="18"/>
          <w:lang w:val="x-none"/>
        </w:rPr>
        <w:tab/>
        <w:t>dokumenty świadczące o dopuszczeniu do obrotu lub udostępnieniu na rynku krajowym bądź do jednostkowego zastosowania wszystkich zastosowanych elementów instalacji centralnego ogrzewania wodnego,</w:t>
      </w:r>
    </w:p>
    <w:p w14:paraId="5E64CE21"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szczegółowe specyfikacje techniczne ze zmianami wprowadzonymi w trakcie wykonywania robót,</w:t>
      </w:r>
    </w:p>
    <w:p w14:paraId="5C44BB4D"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dziennik budowy i książki obmiarów z zapisami dokonywanymi w toku prowadzonych robót,</w:t>
      </w:r>
    </w:p>
    <w:p w14:paraId="53D267B7"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dokumenty świadczące o dopuszczeniu do obrotu i powszechnego zastosowania użytych materiałów i wyrobów budowlanych,</w:t>
      </w:r>
    </w:p>
    <w:p w14:paraId="49E1C327"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protokoły odbioru robót ulegających zakryciu,</w:t>
      </w:r>
    </w:p>
    <w:p w14:paraId="750889AE"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protokoły odbiorów częściowych,</w:t>
      </w:r>
    </w:p>
    <w:p w14:paraId="6396C23C"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instrukcje producentów dotyczące zastosowanych materiałów,</w:t>
      </w:r>
    </w:p>
    <w:p w14:paraId="29A65289"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wyniki badań laboratoryjnych, badań kominiarskich i ekspertyz.</w:t>
      </w:r>
    </w:p>
    <w:p w14:paraId="6CB92A55"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 toku odbioru komisja obowiązana jest zapoznać się z przedłożonymi dokumentami, przeprowadzić badania zgodnie z wytycznymi podanymi w pkt. 6.4 niniejszej ST, porównać je z wymaganiami podanymi w dokumentacji projektowej i niniejszej specyfikacji technicznej oraz dokonać oceny wizualnej.</w:t>
      </w:r>
    </w:p>
    <w:p w14:paraId="1699F38C"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Roboty powinny być odebrane, jeżeli wszystkie wyniki badań są pozytywne, a dostarczone przez wykonawcę dokumenty są kompletne i prawidłowe pod względem merytorycznym.</w:t>
      </w:r>
    </w:p>
    <w:p w14:paraId="2B20EE4B"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Negatywny wynik jakichkolwiek badań skutkuje tym, że roboty przy wykonywaniu instalacji centralnego ogrzewania wodnego nie zostaną przyjęte.</w:t>
      </w:r>
    </w:p>
    <w:p w14:paraId="29628213"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 takim przypadku należy przyjąć jedno z następujących rozwiązań:</w:t>
      </w:r>
    </w:p>
    <w:p w14:paraId="4324C9AD"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jeżeli to możliwe należy ustalić zakres prac korygujących, usunąć niezgodności robót z wymaganiami określonymi w dokumentacji projektowej i niniejszej specyfikacji technicznej oraz przedstawić roboty wadliwe ponownie do odbioru,</w:t>
      </w:r>
    </w:p>
    <w:p w14:paraId="7559C338"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jeżeli odchylenia od wymagań nie zagrażają bezpieczeństwu konstrukcji i użytkownika oraz trwałości elementów instalacji, zamawiający może wyrazić zgodę na dokonanie odbioru końcowego z jednoczesnym obniżeniem wartości wynagrodzenia w stosunku do ustaleń umownych,</w:t>
      </w:r>
    </w:p>
    <w:p w14:paraId="0FA31F3A"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 przypadku, gdy nie są możliwe podane wyżej rozwiązania wykonawca zobowiązany jest do usunięcia wadliwie wykonanych robót instalacyjnych, bezusterkowego ich wykonania i powtórnego zgłoszenia do odbioru.</w:t>
      </w:r>
    </w:p>
    <w:p w14:paraId="7FF1AC7D"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 przypadku niekompletności dokumentów odbiór może być dokonany po ich uzupełnieniu.</w:t>
      </w:r>
    </w:p>
    <w:p w14:paraId="75732EFE"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Z czynności odbioru sporządza się protokół podpisany przez przedstawicieli zamawiającego i wykonawcy. Protokół powinien zawierać:</w:t>
      </w:r>
    </w:p>
    <w:p w14:paraId="5EDEC294"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ustalenia podjęte w trakcie prac komisji,</w:t>
      </w:r>
    </w:p>
    <w:p w14:paraId="22DB8ECB"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ocenę wyników badań,</w:t>
      </w:r>
    </w:p>
    <w:p w14:paraId="5C01D238"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wykaz wad i usterek ze wskazaniem sposobu ich usunięcia,</w:t>
      </w:r>
    </w:p>
    <w:p w14:paraId="4CEA8B54"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stwierdzenie zgodności lub niezgodności wykonania robót instalacyjnych centralnego ogrzewania wodnego z zamówieniem.</w:t>
      </w:r>
    </w:p>
    <w:p w14:paraId="5CEFFF50" w14:textId="77777777" w:rsidR="000A3B2B" w:rsidRDefault="000A3B2B" w:rsidP="009E5295">
      <w:pPr>
        <w:autoSpaceDE w:val="0"/>
        <w:autoSpaceDN w:val="0"/>
        <w:adjustRightInd w:val="0"/>
        <w:spacing w:after="30" w:line="240" w:lineRule="auto"/>
        <w:ind w:firstLine="285"/>
        <w:jc w:val="both"/>
        <w:rPr>
          <w:rFonts w:ascii="Arial" w:hAnsi="Arial" w:cs="Arial"/>
          <w:b/>
          <w:bCs/>
          <w:color w:val="000000"/>
          <w:sz w:val="18"/>
          <w:szCs w:val="18"/>
          <w:lang w:val="x-none"/>
        </w:rPr>
      </w:pPr>
      <w:r>
        <w:rPr>
          <w:rFonts w:ascii="Arial" w:hAnsi="Arial" w:cs="Arial"/>
          <w:b/>
          <w:bCs/>
          <w:color w:val="000000"/>
          <w:sz w:val="18"/>
          <w:szCs w:val="18"/>
          <w:lang w:val="x-none"/>
        </w:rPr>
        <w:t>Protokół odbioru końcowego jest podstawą do dokonania rozliczenia końcowego pomiędzy zamawiającym a wykonawcą.</w:t>
      </w:r>
    </w:p>
    <w:p w14:paraId="7E228C2E"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p>
    <w:p w14:paraId="0E68C50A"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8.5.</w:t>
      </w:r>
      <w:r>
        <w:rPr>
          <w:rFonts w:ascii="Arial" w:hAnsi="Arial" w:cs="Arial"/>
          <w:b/>
          <w:bCs/>
          <w:color w:val="000000"/>
          <w:sz w:val="18"/>
          <w:szCs w:val="18"/>
          <w:lang w:val="x-none"/>
        </w:rPr>
        <w:tab/>
        <w:t>Odbiór po upływie okresu rękojmi i gwarancji</w:t>
      </w:r>
    </w:p>
    <w:p w14:paraId="645BBBB7"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Celem odbioru po okresie rękojmi i gwarancji jest ocena stanu instalacji c.o. po użytkowaniu w tym okresie oraz ocena wykonywanych w tym okresie ewentualnych robót poprawkowych, związanych z usuwaniem zgłoszonych wad.</w:t>
      </w:r>
    </w:p>
    <w:p w14:paraId="2E3D4654"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Odbiór po upływie okresu rękojmi i gwarancji jest dokonywany na podstawie oceny wizualnej, z uwzględnieniem zasad opisanych w pkt. 8.4. „Odbiór ostateczny (końcowy)”.</w:t>
      </w:r>
    </w:p>
    <w:p w14:paraId="7FBFDF1A"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Pozytywny wynik odbioru pogwarancyjnego jest podstawą do zwrotu kaucji gwarancyjnej, negatywny do dokonania potrąceń wynikających z obniżonej jakości robót.</w:t>
      </w:r>
    </w:p>
    <w:p w14:paraId="7EDED96F"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Przed upływem okresu gwarancyjnego zamawiający powinien zgłosić wykonawcy wszystkie zauważone wady w wykonanej instalacji centralnego ogrzewania wodnego.</w:t>
      </w:r>
    </w:p>
    <w:p w14:paraId="4648743B"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649FCD7A" w14:textId="77777777" w:rsidR="000A3B2B" w:rsidRDefault="000A3B2B" w:rsidP="009E5295">
      <w:pPr>
        <w:autoSpaceDE w:val="0"/>
        <w:autoSpaceDN w:val="0"/>
        <w:adjustRightInd w:val="0"/>
        <w:spacing w:before="225" w:after="12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9.</w:t>
      </w:r>
      <w:r>
        <w:rPr>
          <w:rFonts w:ascii="Arial" w:hAnsi="Arial" w:cs="Arial"/>
          <w:b/>
          <w:bCs/>
          <w:color w:val="000000"/>
          <w:sz w:val="18"/>
          <w:szCs w:val="18"/>
          <w:lang w:val="x-none"/>
        </w:rPr>
        <w:tab/>
        <w:t>PODSTAWA ROZLICZENIA ROBÓT</w:t>
      </w:r>
    </w:p>
    <w:p w14:paraId="619ABD8D"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9.1.</w:t>
      </w:r>
      <w:r>
        <w:rPr>
          <w:rFonts w:ascii="Arial" w:hAnsi="Arial" w:cs="Arial"/>
          <w:b/>
          <w:bCs/>
          <w:color w:val="000000"/>
          <w:sz w:val="18"/>
          <w:szCs w:val="18"/>
          <w:lang w:val="x-none"/>
        </w:rPr>
        <w:tab/>
        <w:t>Ogólne ustalenia dotyczące podstawy rozliczenia robót podano w ST „Wymagania ogólne” Kod CPV 45000000-7, pkt 9</w:t>
      </w:r>
    </w:p>
    <w:p w14:paraId="0866AA36"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659C80E1"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9.2.</w:t>
      </w:r>
      <w:r>
        <w:rPr>
          <w:rFonts w:ascii="Arial" w:hAnsi="Arial" w:cs="Arial"/>
          <w:b/>
          <w:bCs/>
          <w:color w:val="000000"/>
          <w:sz w:val="18"/>
          <w:szCs w:val="18"/>
          <w:lang w:val="x-none"/>
        </w:rPr>
        <w:tab/>
        <w:t>Zasady rozliczenia i płatności</w:t>
      </w:r>
    </w:p>
    <w:p w14:paraId="40091879"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Rozliczenie wykonywania instalacji centralnego ogrzewania wodnego może być dokonane jednorazowo po wykonaniu pełnego zakresu robót i ich końcowym odbiorze lub etapami określonymi w umowie, po dokonaniu odbiorów częściowych robót.</w:t>
      </w:r>
    </w:p>
    <w:p w14:paraId="37FCA08A"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Ostateczne rozliczenie umowy pomiędzy zamawiającym a wykonawcą następuje po dokonaniu odbioru końcowego.</w:t>
      </w:r>
    </w:p>
    <w:p w14:paraId="71A7AC04"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Podstawę rozliczenia oraz płatności wykonanego i odebranego zakresu robót stanowi wartość tych robót obliczona na podstawie:</w:t>
      </w:r>
    </w:p>
    <w:tbl>
      <w:tblPr>
        <w:tblW w:w="0" w:type="auto"/>
        <w:tblCellSpacing w:w="0" w:type="dxa"/>
        <w:tblInd w:w="-8" w:type="dxa"/>
        <w:tblLayout w:type="fixed"/>
        <w:tblCellMar>
          <w:left w:w="0" w:type="dxa"/>
          <w:right w:w="0" w:type="dxa"/>
        </w:tblCellMar>
        <w:tblLook w:val="0000" w:firstRow="0" w:lastRow="0" w:firstColumn="0" w:lastColumn="0" w:noHBand="0" w:noVBand="0"/>
      </w:tblPr>
      <w:tblGrid>
        <w:gridCol w:w="1072"/>
      </w:tblGrid>
      <w:tr w:rsidR="000A3B2B" w14:paraId="4C1B9A79" w14:textId="77777777">
        <w:trPr>
          <w:trHeight w:val="60"/>
          <w:tblCellSpacing w:w="0" w:type="dxa"/>
        </w:trPr>
        <w:tc>
          <w:tcPr>
            <w:tcW w:w="1072" w:type="dxa"/>
            <w:tcBorders>
              <w:top w:val="single" w:sz="6" w:space="0" w:color="000000"/>
              <w:left w:val="single" w:sz="6" w:space="0" w:color="000000"/>
              <w:bottom w:val="single" w:sz="6" w:space="0" w:color="000000"/>
              <w:right w:val="single" w:sz="6" w:space="0" w:color="000000"/>
            </w:tcBorders>
          </w:tcPr>
          <w:p w14:paraId="487F0625" w14:textId="77777777" w:rsidR="000A3B2B" w:rsidRDefault="000A3B2B">
            <w:pPr>
              <w:autoSpaceDE w:val="0"/>
              <w:autoSpaceDN w:val="0"/>
              <w:adjustRightInd w:val="0"/>
              <w:spacing w:after="30" w:line="240" w:lineRule="auto"/>
              <w:jc w:val="both"/>
              <w:rPr>
                <w:rFonts w:ascii="Arial" w:hAnsi="Arial" w:cs="Arial"/>
                <w:i/>
                <w:iCs/>
                <w:color w:val="000000"/>
                <w:sz w:val="18"/>
                <w:szCs w:val="18"/>
                <w:lang w:val="x-none"/>
              </w:rPr>
            </w:pPr>
            <w:r>
              <w:rPr>
                <w:rFonts w:ascii="Arial" w:hAnsi="Arial" w:cs="Arial"/>
                <w:i/>
                <w:iCs/>
                <w:color w:val="000000"/>
                <w:sz w:val="18"/>
                <w:szCs w:val="18"/>
                <w:lang w:val="x-none"/>
              </w:rPr>
              <w:t>Wariant 1</w:t>
            </w:r>
          </w:p>
        </w:tc>
      </w:tr>
    </w:tbl>
    <w:p w14:paraId="5A01F669"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określonych w dokumentach umownych (ofercie) cen jednostkowych i ilości robót potwierdzonych przez zamawiającego lub</w:t>
      </w:r>
    </w:p>
    <w:tbl>
      <w:tblPr>
        <w:tblW w:w="0" w:type="auto"/>
        <w:tblCellSpacing w:w="0" w:type="dxa"/>
        <w:tblInd w:w="-8" w:type="dxa"/>
        <w:tblLayout w:type="fixed"/>
        <w:tblCellMar>
          <w:left w:w="0" w:type="dxa"/>
          <w:right w:w="0" w:type="dxa"/>
        </w:tblCellMar>
        <w:tblLook w:val="0000" w:firstRow="0" w:lastRow="0" w:firstColumn="0" w:lastColumn="0" w:noHBand="0" w:noVBand="0"/>
      </w:tblPr>
      <w:tblGrid>
        <w:gridCol w:w="1072"/>
      </w:tblGrid>
      <w:tr w:rsidR="000A3B2B" w14:paraId="5EBD6F78" w14:textId="77777777">
        <w:trPr>
          <w:trHeight w:val="60"/>
          <w:tblCellSpacing w:w="0" w:type="dxa"/>
        </w:trPr>
        <w:tc>
          <w:tcPr>
            <w:tcW w:w="1072" w:type="dxa"/>
            <w:tcBorders>
              <w:top w:val="single" w:sz="6" w:space="0" w:color="000000"/>
              <w:left w:val="single" w:sz="6" w:space="0" w:color="000000"/>
              <w:bottom w:val="single" w:sz="6" w:space="0" w:color="000000"/>
              <w:right w:val="single" w:sz="6" w:space="0" w:color="000000"/>
            </w:tcBorders>
          </w:tcPr>
          <w:p w14:paraId="18570DE9" w14:textId="77777777" w:rsidR="000A3B2B" w:rsidRDefault="000A3B2B">
            <w:pPr>
              <w:autoSpaceDE w:val="0"/>
              <w:autoSpaceDN w:val="0"/>
              <w:adjustRightInd w:val="0"/>
              <w:spacing w:after="30" w:line="240" w:lineRule="auto"/>
              <w:jc w:val="both"/>
              <w:rPr>
                <w:rFonts w:ascii="Arial" w:hAnsi="Arial" w:cs="Arial"/>
                <w:i/>
                <w:iCs/>
                <w:color w:val="000000"/>
                <w:sz w:val="18"/>
                <w:szCs w:val="18"/>
                <w:lang w:val="x-none"/>
              </w:rPr>
            </w:pPr>
            <w:r>
              <w:rPr>
                <w:rFonts w:ascii="Arial" w:hAnsi="Arial" w:cs="Arial"/>
                <w:i/>
                <w:iCs/>
                <w:color w:val="000000"/>
                <w:sz w:val="18"/>
                <w:szCs w:val="18"/>
                <w:lang w:val="x-none"/>
              </w:rPr>
              <w:t>Wariant 2</w:t>
            </w:r>
          </w:p>
        </w:tc>
      </w:tr>
    </w:tbl>
    <w:p w14:paraId="246A47E8"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ustalonej w umowie kwoty ryczałtowej za określony zakres robót.</w:t>
      </w:r>
    </w:p>
    <w:p w14:paraId="1C5545AF" w14:textId="77777777" w:rsidR="000A3B2B" w:rsidRDefault="000A3B2B" w:rsidP="009E5295">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Ceny jednostkowe wykonania robót lub kwoty ryczałtowe obejmujące roboty montażowe instalacji wodociągowych z tworzyw sztucznych uwzględniają:</w:t>
      </w:r>
    </w:p>
    <w:p w14:paraId="0E5EF91C"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przygotowanie stanowiska roboczego,</w:t>
      </w:r>
    </w:p>
    <w:p w14:paraId="6C8752ED"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dostarczenie materiałów, narzędzi i sprzętu,</w:t>
      </w:r>
    </w:p>
    <w:p w14:paraId="1E85514D"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obsługę sprzętu nieposiadającego etatowej obsługi,</w:t>
      </w:r>
    </w:p>
    <w:p w14:paraId="7B8CAC8B"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przenoszenie podręcznych urządzeń i sprzętu w miarę postępu robót,</w:t>
      </w:r>
    </w:p>
    <w:p w14:paraId="5EC44BD4"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wykonanie ewentualnie występujących robót ziemnych,</w:t>
      </w:r>
    </w:p>
    <w:p w14:paraId="2B9DDD42"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wykonanie robót pomocniczych określonych w pkt. 5.2.,</w:t>
      </w:r>
    </w:p>
    <w:p w14:paraId="623DED43"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montaż rurociągów i armatury,</w:t>
      </w:r>
    </w:p>
    <w:p w14:paraId="7CC41DB2"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wykonanie prób ciśnieniowych,</w:t>
      </w:r>
    </w:p>
    <w:p w14:paraId="0AB42742"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usunięcie wad i usterek powstałych w czasie wykonywania robót.</w:t>
      </w:r>
    </w:p>
    <w:p w14:paraId="3C52D08A" w14:textId="77777777" w:rsidR="000A3B2B" w:rsidRDefault="000A3B2B" w:rsidP="009E5295">
      <w:pPr>
        <w:autoSpaceDE w:val="0"/>
        <w:autoSpaceDN w:val="0"/>
        <w:adjustRightInd w:val="0"/>
        <w:spacing w:after="30" w:line="240" w:lineRule="auto"/>
        <w:jc w:val="both"/>
        <w:rPr>
          <w:rFonts w:ascii="Arial" w:hAnsi="Arial" w:cs="Arial"/>
          <w:i/>
          <w:iCs/>
          <w:color w:val="000000"/>
          <w:sz w:val="18"/>
          <w:szCs w:val="18"/>
          <w:lang w:val="x-none"/>
        </w:rPr>
      </w:pPr>
    </w:p>
    <w:p w14:paraId="50171580"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20A0A166" w14:textId="77777777" w:rsidR="000A3B2B" w:rsidRDefault="000A3B2B" w:rsidP="009E5295">
      <w:pPr>
        <w:autoSpaceDE w:val="0"/>
        <w:autoSpaceDN w:val="0"/>
        <w:adjustRightInd w:val="0"/>
        <w:spacing w:before="225" w:after="12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10.</w:t>
      </w:r>
      <w:r>
        <w:rPr>
          <w:rFonts w:ascii="Arial" w:hAnsi="Arial" w:cs="Arial"/>
          <w:b/>
          <w:bCs/>
          <w:color w:val="000000"/>
          <w:sz w:val="18"/>
          <w:szCs w:val="18"/>
          <w:lang w:val="x-none"/>
        </w:rPr>
        <w:tab/>
        <w:t>DOKUMENTY ODNIESIENIA</w:t>
      </w:r>
    </w:p>
    <w:p w14:paraId="4D5C8DFC"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10.1. Normy</w:t>
      </w:r>
    </w:p>
    <w:tbl>
      <w:tblPr>
        <w:tblW w:w="0" w:type="auto"/>
        <w:tblCellSpacing w:w="0" w:type="dxa"/>
        <w:tblLayout w:type="fixed"/>
        <w:tblCellMar>
          <w:left w:w="0" w:type="dxa"/>
          <w:right w:w="0" w:type="dxa"/>
        </w:tblCellMar>
        <w:tblLook w:val="0000" w:firstRow="0" w:lastRow="0" w:firstColumn="0" w:lastColumn="0" w:noHBand="0" w:noVBand="0"/>
      </w:tblPr>
      <w:tblGrid>
        <w:gridCol w:w="382"/>
        <w:gridCol w:w="3000"/>
        <w:gridCol w:w="5746"/>
      </w:tblGrid>
      <w:tr w:rsidR="000A3B2B" w14:paraId="4444AA35" w14:textId="77777777">
        <w:trPr>
          <w:trHeight w:val="60"/>
          <w:tblCellSpacing w:w="0" w:type="dxa"/>
        </w:trPr>
        <w:tc>
          <w:tcPr>
            <w:tcW w:w="382" w:type="dxa"/>
            <w:tcBorders>
              <w:top w:val="nil"/>
              <w:left w:val="nil"/>
              <w:bottom w:val="nil"/>
              <w:right w:val="nil"/>
            </w:tcBorders>
          </w:tcPr>
          <w:p w14:paraId="72BFE4C5"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1.</w:t>
            </w:r>
          </w:p>
        </w:tc>
        <w:tc>
          <w:tcPr>
            <w:tcW w:w="3000" w:type="dxa"/>
            <w:tcBorders>
              <w:top w:val="nil"/>
              <w:left w:val="nil"/>
              <w:bottom w:val="nil"/>
              <w:right w:val="nil"/>
            </w:tcBorders>
          </w:tcPr>
          <w:p w14:paraId="46B84CCE"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PN-ISO 4200:1998</w:t>
            </w:r>
          </w:p>
        </w:tc>
        <w:tc>
          <w:tcPr>
            <w:tcW w:w="5746" w:type="dxa"/>
            <w:tcBorders>
              <w:top w:val="nil"/>
              <w:left w:val="nil"/>
              <w:bottom w:val="nil"/>
              <w:right w:val="nil"/>
            </w:tcBorders>
          </w:tcPr>
          <w:p w14:paraId="276762C3"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Rury stalowe bez szwu i ze szwem o gładkich końcach-Wymiary i masy na jednostkę długości.</w:t>
            </w:r>
          </w:p>
        </w:tc>
      </w:tr>
      <w:tr w:rsidR="000A3B2B" w14:paraId="5FE38793" w14:textId="77777777">
        <w:trPr>
          <w:trHeight w:val="60"/>
          <w:tblCellSpacing w:w="0" w:type="dxa"/>
        </w:trPr>
        <w:tc>
          <w:tcPr>
            <w:tcW w:w="382" w:type="dxa"/>
            <w:tcBorders>
              <w:top w:val="nil"/>
              <w:left w:val="nil"/>
              <w:bottom w:val="nil"/>
              <w:right w:val="nil"/>
            </w:tcBorders>
          </w:tcPr>
          <w:p w14:paraId="19428527"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2.</w:t>
            </w:r>
          </w:p>
        </w:tc>
        <w:tc>
          <w:tcPr>
            <w:tcW w:w="3000" w:type="dxa"/>
            <w:tcBorders>
              <w:top w:val="nil"/>
              <w:left w:val="nil"/>
              <w:bottom w:val="nil"/>
              <w:right w:val="nil"/>
            </w:tcBorders>
          </w:tcPr>
          <w:p w14:paraId="27FAF11A"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 xml:space="preserve"> PN-ISO 6761:1996</w:t>
            </w:r>
          </w:p>
        </w:tc>
        <w:tc>
          <w:tcPr>
            <w:tcW w:w="5746" w:type="dxa"/>
            <w:tcBorders>
              <w:top w:val="nil"/>
              <w:left w:val="nil"/>
              <w:bottom w:val="nil"/>
              <w:right w:val="nil"/>
            </w:tcBorders>
          </w:tcPr>
          <w:p w14:paraId="6100344E"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Rury stalowe – Przygotowanie rur i kształtek do spawania.</w:t>
            </w:r>
          </w:p>
        </w:tc>
      </w:tr>
      <w:tr w:rsidR="000A3B2B" w14:paraId="45728E87" w14:textId="77777777">
        <w:trPr>
          <w:trHeight w:val="60"/>
          <w:tblCellSpacing w:w="0" w:type="dxa"/>
        </w:trPr>
        <w:tc>
          <w:tcPr>
            <w:tcW w:w="382" w:type="dxa"/>
            <w:tcBorders>
              <w:top w:val="nil"/>
              <w:left w:val="nil"/>
              <w:bottom w:val="nil"/>
              <w:right w:val="nil"/>
            </w:tcBorders>
          </w:tcPr>
          <w:p w14:paraId="36D4FA2E"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3.</w:t>
            </w:r>
          </w:p>
        </w:tc>
        <w:tc>
          <w:tcPr>
            <w:tcW w:w="3000" w:type="dxa"/>
            <w:tcBorders>
              <w:top w:val="nil"/>
              <w:left w:val="nil"/>
              <w:bottom w:val="nil"/>
              <w:right w:val="nil"/>
            </w:tcBorders>
          </w:tcPr>
          <w:p w14:paraId="238E8025"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 xml:space="preserve"> PN-EN 1057+A1:2010 </w:t>
            </w:r>
          </w:p>
        </w:tc>
        <w:tc>
          <w:tcPr>
            <w:tcW w:w="5746" w:type="dxa"/>
            <w:tcBorders>
              <w:top w:val="nil"/>
              <w:left w:val="nil"/>
              <w:bottom w:val="nil"/>
              <w:right w:val="nil"/>
            </w:tcBorders>
          </w:tcPr>
          <w:p w14:paraId="2CD6BF38"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Miedź i stopy miedzi – Rury miedziane okrągłe bez szwu do wody i gazu stosowane w instalacjach sanitarnych i ogrzewania.</w:t>
            </w:r>
          </w:p>
        </w:tc>
      </w:tr>
      <w:tr w:rsidR="000A3B2B" w14:paraId="24B25431" w14:textId="77777777">
        <w:trPr>
          <w:trHeight w:val="60"/>
          <w:tblCellSpacing w:w="0" w:type="dxa"/>
        </w:trPr>
        <w:tc>
          <w:tcPr>
            <w:tcW w:w="382" w:type="dxa"/>
            <w:tcBorders>
              <w:top w:val="nil"/>
              <w:left w:val="nil"/>
              <w:bottom w:val="nil"/>
              <w:right w:val="nil"/>
            </w:tcBorders>
          </w:tcPr>
          <w:p w14:paraId="56D299F2"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4.</w:t>
            </w:r>
          </w:p>
        </w:tc>
        <w:tc>
          <w:tcPr>
            <w:tcW w:w="3000" w:type="dxa"/>
            <w:tcBorders>
              <w:top w:val="nil"/>
              <w:left w:val="nil"/>
              <w:bottom w:val="nil"/>
              <w:right w:val="nil"/>
            </w:tcBorders>
          </w:tcPr>
          <w:p w14:paraId="6868CF00"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1254-1:2004</w:t>
            </w:r>
          </w:p>
        </w:tc>
        <w:tc>
          <w:tcPr>
            <w:tcW w:w="5746" w:type="dxa"/>
            <w:tcBorders>
              <w:top w:val="nil"/>
              <w:left w:val="nil"/>
              <w:bottom w:val="nil"/>
              <w:right w:val="nil"/>
            </w:tcBorders>
          </w:tcPr>
          <w:p w14:paraId="17DA1708"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Miedź i stopy miedzi – Łączniki instalacyjne – Część 1: Łączniki do rur miedzianych z końcówkami do kapilarnego lutowania miękkiego lub twardego.</w:t>
            </w:r>
          </w:p>
        </w:tc>
      </w:tr>
      <w:tr w:rsidR="000A3B2B" w14:paraId="5B1D4752" w14:textId="77777777">
        <w:trPr>
          <w:trHeight w:val="60"/>
          <w:tblCellSpacing w:w="0" w:type="dxa"/>
        </w:trPr>
        <w:tc>
          <w:tcPr>
            <w:tcW w:w="382" w:type="dxa"/>
            <w:tcBorders>
              <w:top w:val="nil"/>
              <w:left w:val="nil"/>
              <w:bottom w:val="nil"/>
              <w:right w:val="nil"/>
            </w:tcBorders>
          </w:tcPr>
          <w:p w14:paraId="68549DCF"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5.</w:t>
            </w:r>
          </w:p>
        </w:tc>
        <w:tc>
          <w:tcPr>
            <w:tcW w:w="3000" w:type="dxa"/>
            <w:tcBorders>
              <w:top w:val="nil"/>
              <w:left w:val="nil"/>
              <w:bottom w:val="nil"/>
              <w:right w:val="nil"/>
            </w:tcBorders>
          </w:tcPr>
          <w:p w14:paraId="11370F61"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1254-2:2004</w:t>
            </w:r>
          </w:p>
        </w:tc>
        <w:tc>
          <w:tcPr>
            <w:tcW w:w="5746" w:type="dxa"/>
            <w:tcBorders>
              <w:top w:val="nil"/>
              <w:left w:val="nil"/>
              <w:bottom w:val="nil"/>
              <w:right w:val="nil"/>
            </w:tcBorders>
          </w:tcPr>
          <w:p w14:paraId="0855B56A"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Miedź i stopy miedzi – Łączniki instalacyjne – Część 2: Łączniki do rur miedzianych z końcówkami zaciskowymi.</w:t>
            </w:r>
          </w:p>
        </w:tc>
      </w:tr>
      <w:tr w:rsidR="000A3B2B" w14:paraId="6577E24F" w14:textId="77777777">
        <w:trPr>
          <w:trHeight w:val="60"/>
          <w:tblCellSpacing w:w="0" w:type="dxa"/>
        </w:trPr>
        <w:tc>
          <w:tcPr>
            <w:tcW w:w="382" w:type="dxa"/>
            <w:tcBorders>
              <w:top w:val="nil"/>
              <w:left w:val="nil"/>
              <w:bottom w:val="nil"/>
              <w:right w:val="nil"/>
            </w:tcBorders>
          </w:tcPr>
          <w:p w14:paraId="0D460E40"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6.</w:t>
            </w:r>
          </w:p>
        </w:tc>
        <w:tc>
          <w:tcPr>
            <w:tcW w:w="3000" w:type="dxa"/>
            <w:tcBorders>
              <w:top w:val="nil"/>
              <w:left w:val="nil"/>
              <w:bottom w:val="nil"/>
              <w:right w:val="nil"/>
            </w:tcBorders>
          </w:tcPr>
          <w:p w14:paraId="539D7195"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1254-3:2004</w:t>
            </w:r>
          </w:p>
        </w:tc>
        <w:tc>
          <w:tcPr>
            <w:tcW w:w="5746" w:type="dxa"/>
            <w:tcBorders>
              <w:top w:val="nil"/>
              <w:left w:val="nil"/>
              <w:bottom w:val="nil"/>
              <w:right w:val="nil"/>
            </w:tcBorders>
          </w:tcPr>
          <w:p w14:paraId="5A1B5424"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Miedź i stopy miedzi – Łączniki instalacyjne – Część 3: Łączniki do rur z tworzyw sztucznych z końcówkami zaciskowymi.</w:t>
            </w:r>
          </w:p>
        </w:tc>
      </w:tr>
      <w:tr w:rsidR="000A3B2B" w14:paraId="5AA77D3C" w14:textId="77777777">
        <w:trPr>
          <w:trHeight w:val="60"/>
          <w:tblCellSpacing w:w="0" w:type="dxa"/>
        </w:trPr>
        <w:tc>
          <w:tcPr>
            <w:tcW w:w="382" w:type="dxa"/>
            <w:tcBorders>
              <w:top w:val="nil"/>
              <w:left w:val="nil"/>
              <w:bottom w:val="nil"/>
              <w:right w:val="nil"/>
            </w:tcBorders>
          </w:tcPr>
          <w:p w14:paraId="4331ECDB"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7.</w:t>
            </w:r>
          </w:p>
        </w:tc>
        <w:tc>
          <w:tcPr>
            <w:tcW w:w="3000" w:type="dxa"/>
            <w:tcBorders>
              <w:top w:val="nil"/>
              <w:left w:val="nil"/>
              <w:bottom w:val="nil"/>
              <w:right w:val="nil"/>
            </w:tcBorders>
          </w:tcPr>
          <w:p w14:paraId="6D586692"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1254-4:2004</w:t>
            </w:r>
            <w:r>
              <w:rPr>
                <w:rFonts w:ascii="Arial" w:hAnsi="Arial" w:cs="Arial"/>
                <w:color w:val="000000"/>
                <w:sz w:val="18"/>
                <w:szCs w:val="18"/>
                <w:lang w:val="x-none"/>
              </w:rPr>
              <w:br/>
              <w:t>PN-EN 1254-4:2004/Ap1:2015-07</w:t>
            </w:r>
          </w:p>
        </w:tc>
        <w:tc>
          <w:tcPr>
            <w:tcW w:w="5746" w:type="dxa"/>
            <w:tcBorders>
              <w:top w:val="nil"/>
              <w:left w:val="nil"/>
              <w:bottom w:val="nil"/>
              <w:right w:val="nil"/>
            </w:tcBorders>
          </w:tcPr>
          <w:p w14:paraId="7363E725"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Miedź i stopy miedzi – Łączniki instalacyjne – Część 4: Łączniki z końcówkami innymi niż do połączeń kapilarnych lub zaciskowych.</w:t>
            </w:r>
          </w:p>
        </w:tc>
      </w:tr>
      <w:tr w:rsidR="000A3B2B" w14:paraId="6D7EE714" w14:textId="77777777">
        <w:trPr>
          <w:trHeight w:val="60"/>
          <w:tblCellSpacing w:w="0" w:type="dxa"/>
        </w:trPr>
        <w:tc>
          <w:tcPr>
            <w:tcW w:w="382" w:type="dxa"/>
            <w:tcBorders>
              <w:top w:val="nil"/>
              <w:left w:val="nil"/>
              <w:bottom w:val="nil"/>
              <w:right w:val="nil"/>
            </w:tcBorders>
          </w:tcPr>
          <w:p w14:paraId="667C5E4E"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8.</w:t>
            </w:r>
          </w:p>
        </w:tc>
        <w:tc>
          <w:tcPr>
            <w:tcW w:w="3000" w:type="dxa"/>
            <w:tcBorders>
              <w:top w:val="nil"/>
              <w:left w:val="nil"/>
              <w:bottom w:val="nil"/>
              <w:right w:val="nil"/>
            </w:tcBorders>
          </w:tcPr>
          <w:p w14:paraId="4C3ACBAC"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1254-5:2004</w:t>
            </w:r>
          </w:p>
        </w:tc>
        <w:tc>
          <w:tcPr>
            <w:tcW w:w="5746" w:type="dxa"/>
            <w:tcBorders>
              <w:top w:val="nil"/>
              <w:left w:val="nil"/>
              <w:bottom w:val="nil"/>
              <w:right w:val="nil"/>
            </w:tcBorders>
          </w:tcPr>
          <w:p w14:paraId="06A47090"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Miedź i stopy miedzi – Łączniki instalacyjne – Część 5: Łączniki do rur miedzianych z krótkimi końcówkami do kapilarnego lutowania twardego.</w:t>
            </w:r>
          </w:p>
        </w:tc>
      </w:tr>
      <w:tr w:rsidR="000A3B2B" w14:paraId="1119AF38" w14:textId="77777777">
        <w:trPr>
          <w:trHeight w:val="60"/>
          <w:tblCellSpacing w:w="0" w:type="dxa"/>
        </w:trPr>
        <w:tc>
          <w:tcPr>
            <w:tcW w:w="382" w:type="dxa"/>
            <w:tcBorders>
              <w:top w:val="nil"/>
              <w:left w:val="nil"/>
              <w:bottom w:val="nil"/>
              <w:right w:val="nil"/>
            </w:tcBorders>
          </w:tcPr>
          <w:p w14:paraId="3873CEE5"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9.</w:t>
            </w:r>
          </w:p>
        </w:tc>
        <w:tc>
          <w:tcPr>
            <w:tcW w:w="3000" w:type="dxa"/>
            <w:tcBorders>
              <w:top w:val="nil"/>
              <w:left w:val="nil"/>
              <w:bottom w:val="nil"/>
              <w:right w:val="nil"/>
            </w:tcBorders>
          </w:tcPr>
          <w:p w14:paraId="4DD4FEEF"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1254-6:2013-04</w:t>
            </w:r>
          </w:p>
        </w:tc>
        <w:tc>
          <w:tcPr>
            <w:tcW w:w="5746" w:type="dxa"/>
            <w:tcBorders>
              <w:top w:val="nil"/>
              <w:left w:val="nil"/>
              <w:bottom w:val="nil"/>
              <w:right w:val="nil"/>
            </w:tcBorders>
          </w:tcPr>
          <w:p w14:paraId="7F44E532"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Miedź i stopy miedzi – Łączniki instalacyjne – Część 6: Łączniki z końcówkami samozaciskowymi.</w:t>
            </w:r>
          </w:p>
        </w:tc>
      </w:tr>
      <w:tr w:rsidR="000A3B2B" w14:paraId="4CA5EDE8" w14:textId="77777777">
        <w:trPr>
          <w:trHeight w:val="60"/>
          <w:tblCellSpacing w:w="0" w:type="dxa"/>
        </w:trPr>
        <w:tc>
          <w:tcPr>
            <w:tcW w:w="382" w:type="dxa"/>
            <w:tcBorders>
              <w:top w:val="nil"/>
              <w:left w:val="nil"/>
              <w:bottom w:val="nil"/>
              <w:right w:val="nil"/>
            </w:tcBorders>
          </w:tcPr>
          <w:p w14:paraId="2163BB28"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10.</w:t>
            </w:r>
          </w:p>
        </w:tc>
        <w:tc>
          <w:tcPr>
            <w:tcW w:w="3000" w:type="dxa"/>
            <w:tcBorders>
              <w:top w:val="nil"/>
              <w:left w:val="nil"/>
              <w:bottom w:val="nil"/>
              <w:right w:val="nil"/>
            </w:tcBorders>
          </w:tcPr>
          <w:p w14:paraId="0A0FAFC5"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1254-8:2013-04</w:t>
            </w:r>
          </w:p>
        </w:tc>
        <w:tc>
          <w:tcPr>
            <w:tcW w:w="5746" w:type="dxa"/>
            <w:tcBorders>
              <w:top w:val="nil"/>
              <w:left w:val="nil"/>
              <w:bottom w:val="nil"/>
              <w:right w:val="nil"/>
            </w:tcBorders>
          </w:tcPr>
          <w:p w14:paraId="16D6E1ED"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Miedź i stopy miedzi – Łączniki instalacyjne – Część 8: Łączniki z końcówkami zaprasowywanymi do rur z tworzyw sztucznych i rur wielowarstwowych.</w:t>
            </w:r>
          </w:p>
        </w:tc>
      </w:tr>
      <w:tr w:rsidR="000A3B2B" w14:paraId="4F2D3FDE" w14:textId="77777777">
        <w:trPr>
          <w:trHeight w:val="60"/>
          <w:tblCellSpacing w:w="0" w:type="dxa"/>
        </w:trPr>
        <w:tc>
          <w:tcPr>
            <w:tcW w:w="382" w:type="dxa"/>
            <w:tcBorders>
              <w:top w:val="nil"/>
              <w:left w:val="nil"/>
              <w:bottom w:val="nil"/>
              <w:right w:val="nil"/>
            </w:tcBorders>
          </w:tcPr>
          <w:p w14:paraId="14A4A896"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11.</w:t>
            </w:r>
          </w:p>
        </w:tc>
        <w:tc>
          <w:tcPr>
            <w:tcW w:w="3000" w:type="dxa"/>
            <w:tcBorders>
              <w:top w:val="nil"/>
              <w:left w:val="nil"/>
              <w:bottom w:val="nil"/>
              <w:right w:val="nil"/>
            </w:tcBorders>
          </w:tcPr>
          <w:p w14:paraId="0BE44B07"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PN-B-02414:1999</w:t>
            </w:r>
          </w:p>
        </w:tc>
        <w:tc>
          <w:tcPr>
            <w:tcW w:w="5746" w:type="dxa"/>
            <w:tcBorders>
              <w:top w:val="nil"/>
              <w:left w:val="nil"/>
              <w:bottom w:val="nil"/>
              <w:right w:val="nil"/>
            </w:tcBorders>
          </w:tcPr>
          <w:p w14:paraId="501EF86D"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Ogrzewnictwo i ciepłownictwo. Zabezpieczenie instalacji </w:t>
            </w:r>
            <w:proofErr w:type="spellStart"/>
            <w:r>
              <w:rPr>
                <w:rFonts w:ascii="Arial" w:hAnsi="Arial" w:cs="Arial"/>
                <w:color w:val="000000"/>
                <w:sz w:val="18"/>
                <w:szCs w:val="18"/>
                <w:lang w:val="x-none"/>
              </w:rPr>
              <w:t>ogrzewań</w:t>
            </w:r>
            <w:proofErr w:type="spellEnd"/>
            <w:r>
              <w:rPr>
                <w:rFonts w:ascii="Arial" w:hAnsi="Arial" w:cs="Arial"/>
                <w:color w:val="000000"/>
                <w:sz w:val="18"/>
                <w:szCs w:val="18"/>
                <w:lang w:val="x-none"/>
              </w:rPr>
              <w:t xml:space="preserve"> wodnych systemu zamkniętego z naczyniami </w:t>
            </w:r>
            <w:proofErr w:type="spellStart"/>
            <w:r>
              <w:rPr>
                <w:rFonts w:ascii="Arial" w:hAnsi="Arial" w:cs="Arial"/>
                <w:color w:val="000000"/>
                <w:sz w:val="18"/>
                <w:szCs w:val="18"/>
                <w:lang w:val="x-none"/>
              </w:rPr>
              <w:t>wzbiorczymi</w:t>
            </w:r>
            <w:proofErr w:type="spellEnd"/>
            <w:r>
              <w:rPr>
                <w:rFonts w:ascii="Arial" w:hAnsi="Arial" w:cs="Arial"/>
                <w:color w:val="000000"/>
                <w:sz w:val="18"/>
                <w:szCs w:val="18"/>
                <w:lang w:val="x-none"/>
              </w:rPr>
              <w:t xml:space="preserve"> przeponowymi. Wymagania.</w:t>
            </w:r>
          </w:p>
        </w:tc>
      </w:tr>
      <w:tr w:rsidR="000A3B2B" w14:paraId="0494B8DF" w14:textId="77777777">
        <w:trPr>
          <w:trHeight w:val="60"/>
          <w:tblCellSpacing w:w="0" w:type="dxa"/>
        </w:trPr>
        <w:tc>
          <w:tcPr>
            <w:tcW w:w="382" w:type="dxa"/>
            <w:tcBorders>
              <w:top w:val="nil"/>
              <w:left w:val="nil"/>
              <w:bottom w:val="nil"/>
              <w:right w:val="nil"/>
            </w:tcBorders>
          </w:tcPr>
          <w:p w14:paraId="15F8126D"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12.</w:t>
            </w:r>
          </w:p>
        </w:tc>
        <w:tc>
          <w:tcPr>
            <w:tcW w:w="3000" w:type="dxa"/>
            <w:tcBorders>
              <w:top w:val="nil"/>
              <w:left w:val="nil"/>
              <w:bottom w:val="nil"/>
              <w:right w:val="nil"/>
            </w:tcBorders>
          </w:tcPr>
          <w:p w14:paraId="68E78CDA"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PN-B-02421:2000</w:t>
            </w:r>
          </w:p>
        </w:tc>
        <w:tc>
          <w:tcPr>
            <w:tcW w:w="5746" w:type="dxa"/>
            <w:tcBorders>
              <w:top w:val="nil"/>
              <w:left w:val="nil"/>
              <w:bottom w:val="nil"/>
              <w:right w:val="nil"/>
            </w:tcBorders>
          </w:tcPr>
          <w:p w14:paraId="16137C50"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Ogrzewnictwo i ciepłownictwo. Izolacja cieplna rurociągów, armatury i urządzeń. Wymagania i badania odbiorcze.</w:t>
            </w:r>
          </w:p>
        </w:tc>
      </w:tr>
      <w:tr w:rsidR="000A3B2B" w14:paraId="3714885B" w14:textId="77777777">
        <w:trPr>
          <w:trHeight w:val="60"/>
          <w:tblCellSpacing w:w="0" w:type="dxa"/>
        </w:trPr>
        <w:tc>
          <w:tcPr>
            <w:tcW w:w="382" w:type="dxa"/>
            <w:tcBorders>
              <w:top w:val="nil"/>
              <w:left w:val="nil"/>
              <w:bottom w:val="nil"/>
              <w:right w:val="nil"/>
            </w:tcBorders>
          </w:tcPr>
          <w:p w14:paraId="5884F224"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13.</w:t>
            </w:r>
          </w:p>
        </w:tc>
        <w:tc>
          <w:tcPr>
            <w:tcW w:w="3000" w:type="dxa"/>
            <w:tcBorders>
              <w:top w:val="nil"/>
              <w:left w:val="nil"/>
              <w:bottom w:val="nil"/>
              <w:right w:val="nil"/>
            </w:tcBorders>
          </w:tcPr>
          <w:p w14:paraId="7F4A3294"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PN-H-74200:1998</w:t>
            </w:r>
          </w:p>
        </w:tc>
        <w:tc>
          <w:tcPr>
            <w:tcW w:w="5746" w:type="dxa"/>
            <w:tcBorders>
              <w:top w:val="nil"/>
              <w:left w:val="nil"/>
              <w:bottom w:val="nil"/>
              <w:right w:val="nil"/>
            </w:tcBorders>
          </w:tcPr>
          <w:p w14:paraId="5C83605C"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Rury stalowe ze szwem, gwintowane.</w:t>
            </w:r>
          </w:p>
        </w:tc>
      </w:tr>
      <w:tr w:rsidR="000A3B2B" w14:paraId="6D7CA27C" w14:textId="77777777">
        <w:trPr>
          <w:trHeight w:val="60"/>
          <w:tblCellSpacing w:w="0" w:type="dxa"/>
        </w:trPr>
        <w:tc>
          <w:tcPr>
            <w:tcW w:w="382" w:type="dxa"/>
            <w:tcBorders>
              <w:top w:val="nil"/>
              <w:left w:val="nil"/>
              <w:bottom w:val="nil"/>
              <w:right w:val="nil"/>
            </w:tcBorders>
          </w:tcPr>
          <w:p w14:paraId="29BFEA38"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14.</w:t>
            </w:r>
          </w:p>
        </w:tc>
        <w:tc>
          <w:tcPr>
            <w:tcW w:w="3000" w:type="dxa"/>
            <w:tcBorders>
              <w:top w:val="nil"/>
              <w:left w:val="nil"/>
              <w:bottom w:val="nil"/>
              <w:right w:val="nil"/>
            </w:tcBorders>
          </w:tcPr>
          <w:p w14:paraId="4289340B"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10224:2006</w:t>
            </w:r>
          </w:p>
        </w:tc>
        <w:tc>
          <w:tcPr>
            <w:tcW w:w="5746" w:type="dxa"/>
            <w:tcBorders>
              <w:top w:val="nil"/>
              <w:left w:val="nil"/>
              <w:bottom w:val="nil"/>
              <w:right w:val="nil"/>
            </w:tcBorders>
          </w:tcPr>
          <w:p w14:paraId="249E71B3"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Rury i złączki ze stali niestopowej do transportu wody i innych płynów wodnych – Warunki techniczne dostawy.</w:t>
            </w:r>
          </w:p>
        </w:tc>
      </w:tr>
      <w:tr w:rsidR="000A3B2B" w14:paraId="7536B7BE" w14:textId="77777777">
        <w:trPr>
          <w:trHeight w:val="60"/>
          <w:tblCellSpacing w:w="0" w:type="dxa"/>
        </w:trPr>
        <w:tc>
          <w:tcPr>
            <w:tcW w:w="382" w:type="dxa"/>
            <w:tcBorders>
              <w:top w:val="nil"/>
              <w:left w:val="nil"/>
              <w:bottom w:val="nil"/>
              <w:right w:val="nil"/>
            </w:tcBorders>
          </w:tcPr>
          <w:p w14:paraId="617273AB"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 xml:space="preserve">15. </w:t>
            </w:r>
          </w:p>
        </w:tc>
        <w:tc>
          <w:tcPr>
            <w:tcW w:w="3000" w:type="dxa"/>
            <w:tcBorders>
              <w:top w:val="nil"/>
              <w:left w:val="nil"/>
              <w:bottom w:val="nil"/>
              <w:right w:val="nil"/>
            </w:tcBorders>
          </w:tcPr>
          <w:p w14:paraId="7ECC5470"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15874-1:2013-06</w:t>
            </w:r>
          </w:p>
        </w:tc>
        <w:tc>
          <w:tcPr>
            <w:tcW w:w="5746" w:type="dxa"/>
            <w:tcBorders>
              <w:top w:val="nil"/>
              <w:left w:val="nil"/>
              <w:bottom w:val="nil"/>
              <w:right w:val="nil"/>
            </w:tcBorders>
          </w:tcPr>
          <w:p w14:paraId="7FD04D69"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Systemy przewodów rurowych z tworzyw sztucznych do instalacji wody ciepłej i zimnej – Polipropylen (PP) – Część 1: Postanowienia ogólne.</w:t>
            </w:r>
          </w:p>
        </w:tc>
      </w:tr>
      <w:tr w:rsidR="000A3B2B" w14:paraId="4A42D142" w14:textId="77777777">
        <w:trPr>
          <w:trHeight w:val="60"/>
          <w:tblCellSpacing w:w="0" w:type="dxa"/>
        </w:trPr>
        <w:tc>
          <w:tcPr>
            <w:tcW w:w="382" w:type="dxa"/>
            <w:tcBorders>
              <w:top w:val="nil"/>
              <w:left w:val="nil"/>
              <w:bottom w:val="nil"/>
              <w:right w:val="nil"/>
            </w:tcBorders>
          </w:tcPr>
          <w:p w14:paraId="4F33E4F1"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 xml:space="preserve">16. </w:t>
            </w:r>
          </w:p>
        </w:tc>
        <w:tc>
          <w:tcPr>
            <w:tcW w:w="3000" w:type="dxa"/>
            <w:tcBorders>
              <w:top w:val="nil"/>
              <w:left w:val="nil"/>
              <w:bottom w:val="nil"/>
              <w:right w:val="nil"/>
            </w:tcBorders>
          </w:tcPr>
          <w:p w14:paraId="14E2C134"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15874-2:2013-06</w:t>
            </w:r>
          </w:p>
        </w:tc>
        <w:tc>
          <w:tcPr>
            <w:tcW w:w="5746" w:type="dxa"/>
            <w:tcBorders>
              <w:top w:val="nil"/>
              <w:left w:val="nil"/>
              <w:bottom w:val="nil"/>
              <w:right w:val="nil"/>
            </w:tcBorders>
          </w:tcPr>
          <w:p w14:paraId="5A1A9E96"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Systemy przewodów rurowych z tworzyw sztucznych do instalacji wody ciepłej i zimnej – Polipropylen (PP) – Część 2: Rury.</w:t>
            </w:r>
          </w:p>
        </w:tc>
      </w:tr>
      <w:tr w:rsidR="000A3B2B" w14:paraId="73281E63" w14:textId="77777777">
        <w:trPr>
          <w:trHeight w:val="60"/>
          <w:tblCellSpacing w:w="0" w:type="dxa"/>
        </w:trPr>
        <w:tc>
          <w:tcPr>
            <w:tcW w:w="382" w:type="dxa"/>
            <w:tcBorders>
              <w:top w:val="nil"/>
              <w:left w:val="nil"/>
              <w:bottom w:val="nil"/>
              <w:right w:val="nil"/>
            </w:tcBorders>
          </w:tcPr>
          <w:p w14:paraId="0062B8FB"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17.</w:t>
            </w:r>
          </w:p>
        </w:tc>
        <w:tc>
          <w:tcPr>
            <w:tcW w:w="3000" w:type="dxa"/>
            <w:tcBorders>
              <w:top w:val="nil"/>
              <w:left w:val="nil"/>
              <w:bottom w:val="nil"/>
              <w:right w:val="nil"/>
            </w:tcBorders>
          </w:tcPr>
          <w:p w14:paraId="665F2D27"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 xml:space="preserve"> PN-EN 15874-3:2013-06</w:t>
            </w:r>
          </w:p>
        </w:tc>
        <w:tc>
          <w:tcPr>
            <w:tcW w:w="5746" w:type="dxa"/>
            <w:tcBorders>
              <w:top w:val="nil"/>
              <w:left w:val="nil"/>
              <w:bottom w:val="nil"/>
              <w:right w:val="nil"/>
            </w:tcBorders>
          </w:tcPr>
          <w:p w14:paraId="6C54254E"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Systemy przewodów rurowych z tworzyw sztucznych do instalacji wody ciepłej i zimnej – Polipropylen (PP) – Część 3: Kształtki.</w:t>
            </w:r>
          </w:p>
        </w:tc>
      </w:tr>
      <w:tr w:rsidR="000A3B2B" w14:paraId="0B059AF6" w14:textId="77777777">
        <w:trPr>
          <w:trHeight w:val="60"/>
          <w:tblCellSpacing w:w="0" w:type="dxa"/>
        </w:trPr>
        <w:tc>
          <w:tcPr>
            <w:tcW w:w="382" w:type="dxa"/>
            <w:tcBorders>
              <w:top w:val="nil"/>
              <w:left w:val="nil"/>
              <w:bottom w:val="nil"/>
              <w:right w:val="nil"/>
            </w:tcBorders>
          </w:tcPr>
          <w:p w14:paraId="6522C24F"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18.</w:t>
            </w:r>
          </w:p>
        </w:tc>
        <w:tc>
          <w:tcPr>
            <w:tcW w:w="3000" w:type="dxa"/>
            <w:tcBorders>
              <w:top w:val="nil"/>
              <w:left w:val="nil"/>
              <w:bottom w:val="nil"/>
              <w:right w:val="nil"/>
            </w:tcBorders>
          </w:tcPr>
          <w:p w14:paraId="018544C4"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 xml:space="preserve"> PN-EN 15874-5:2013-06</w:t>
            </w:r>
          </w:p>
        </w:tc>
        <w:tc>
          <w:tcPr>
            <w:tcW w:w="5746" w:type="dxa"/>
            <w:tcBorders>
              <w:top w:val="nil"/>
              <w:left w:val="nil"/>
              <w:bottom w:val="nil"/>
              <w:right w:val="nil"/>
            </w:tcBorders>
          </w:tcPr>
          <w:p w14:paraId="70ABD48A"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Systemy przewodów rurowych z tworzyw sztucznych do instalacji wody ciepłej i zimnej – Polipropylen (PP) – Część 5: Przydatność systemu do stosowania.</w:t>
            </w:r>
          </w:p>
        </w:tc>
      </w:tr>
      <w:tr w:rsidR="000A3B2B" w14:paraId="5BA99536" w14:textId="77777777">
        <w:trPr>
          <w:trHeight w:val="60"/>
          <w:tblCellSpacing w:w="0" w:type="dxa"/>
        </w:trPr>
        <w:tc>
          <w:tcPr>
            <w:tcW w:w="382" w:type="dxa"/>
            <w:tcBorders>
              <w:top w:val="nil"/>
              <w:left w:val="nil"/>
              <w:bottom w:val="nil"/>
              <w:right w:val="nil"/>
            </w:tcBorders>
          </w:tcPr>
          <w:p w14:paraId="711692E0"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19.</w:t>
            </w:r>
          </w:p>
        </w:tc>
        <w:tc>
          <w:tcPr>
            <w:tcW w:w="3000" w:type="dxa"/>
            <w:tcBorders>
              <w:top w:val="nil"/>
              <w:left w:val="nil"/>
              <w:bottom w:val="nil"/>
              <w:right w:val="nil"/>
            </w:tcBorders>
          </w:tcPr>
          <w:p w14:paraId="0A0D8E78"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ISO 15875-1:2005</w:t>
            </w:r>
            <w:r>
              <w:rPr>
                <w:rFonts w:ascii="Arial" w:hAnsi="Arial" w:cs="Arial"/>
                <w:color w:val="000000"/>
                <w:sz w:val="18"/>
                <w:szCs w:val="18"/>
                <w:lang w:val="x-none"/>
              </w:rPr>
              <w:br/>
              <w:t>PN-EN ISO 15875-1:2005/ A1:2008</w:t>
            </w:r>
          </w:p>
        </w:tc>
        <w:tc>
          <w:tcPr>
            <w:tcW w:w="5746" w:type="dxa"/>
            <w:tcBorders>
              <w:top w:val="nil"/>
              <w:left w:val="nil"/>
              <w:bottom w:val="nil"/>
              <w:right w:val="nil"/>
            </w:tcBorders>
          </w:tcPr>
          <w:p w14:paraId="451F4512"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Systemy przewodów rurowych z tworzyw sztucznych do instalacji wody ciepłej i zimnej. Usieciowany polietylen (PE-X). Część 1: Wymagania ogólne.</w:t>
            </w:r>
          </w:p>
        </w:tc>
      </w:tr>
      <w:tr w:rsidR="000A3B2B" w14:paraId="56441EAB" w14:textId="77777777">
        <w:trPr>
          <w:trHeight w:val="60"/>
          <w:tblCellSpacing w:w="0" w:type="dxa"/>
        </w:trPr>
        <w:tc>
          <w:tcPr>
            <w:tcW w:w="382" w:type="dxa"/>
            <w:tcBorders>
              <w:top w:val="nil"/>
              <w:left w:val="nil"/>
              <w:bottom w:val="nil"/>
              <w:right w:val="nil"/>
            </w:tcBorders>
          </w:tcPr>
          <w:p w14:paraId="13CE1202"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20.</w:t>
            </w:r>
          </w:p>
        </w:tc>
        <w:tc>
          <w:tcPr>
            <w:tcW w:w="3000" w:type="dxa"/>
            <w:tcBorders>
              <w:top w:val="nil"/>
              <w:left w:val="nil"/>
              <w:bottom w:val="nil"/>
              <w:right w:val="nil"/>
            </w:tcBorders>
          </w:tcPr>
          <w:p w14:paraId="6395A4F3"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ISO 15875-2:2005</w:t>
            </w:r>
            <w:r>
              <w:rPr>
                <w:rFonts w:ascii="Arial" w:hAnsi="Arial" w:cs="Arial"/>
                <w:color w:val="000000"/>
                <w:sz w:val="18"/>
                <w:szCs w:val="18"/>
                <w:lang w:val="x-none"/>
              </w:rPr>
              <w:br/>
              <w:t>PN-EN ISO 15875-2:2005/ A1:2008</w:t>
            </w:r>
          </w:p>
        </w:tc>
        <w:tc>
          <w:tcPr>
            <w:tcW w:w="5746" w:type="dxa"/>
            <w:tcBorders>
              <w:top w:val="nil"/>
              <w:left w:val="nil"/>
              <w:bottom w:val="nil"/>
              <w:right w:val="nil"/>
            </w:tcBorders>
          </w:tcPr>
          <w:p w14:paraId="7EE5F064"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Systemy przewodów rurowych z tworzyw sztucznych do instalacji wody ciepłej i zimnej. Usieciowany polietylen (PE-X). Część 2: Rury.</w:t>
            </w:r>
          </w:p>
        </w:tc>
      </w:tr>
      <w:tr w:rsidR="000A3B2B" w14:paraId="4D445EDF" w14:textId="77777777">
        <w:trPr>
          <w:trHeight w:val="60"/>
          <w:tblCellSpacing w:w="0" w:type="dxa"/>
        </w:trPr>
        <w:tc>
          <w:tcPr>
            <w:tcW w:w="382" w:type="dxa"/>
            <w:tcBorders>
              <w:top w:val="nil"/>
              <w:left w:val="nil"/>
              <w:bottom w:val="nil"/>
              <w:right w:val="nil"/>
            </w:tcBorders>
          </w:tcPr>
          <w:p w14:paraId="0E596728"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21.</w:t>
            </w:r>
          </w:p>
        </w:tc>
        <w:tc>
          <w:tcPr>
            <w:tcW w:w="3000" w:type="dxa"/>
            <w:tcBorders>
              <w:top w:val="nil"/>
              <w:left w:val="nil"/>
              <w:bottom w:val="nil"/>
              <w:right w:val="nil"/>
            </w:tcBorders>
          </w:tcPr>
          <w:p w14:paraId="16D725A0"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ISO 15875-3:2005</w:t>
            </w:r>
          </w:p>
        </w:tc>
        <w:tc>
          <w:tcPr>
            <w:tcW w:w="5746" w:type="dxa"/>
            <w:tcBorders>
              <w:top w:val="nil"/>
              <w:left w:val="nil"/>
              <w:bottom w:val="nil"/>
              <w:right w:val="nil"/>
            </w:tcBorders>
          </w:tcPr>
          <w:p w14:paraId="56CB3886"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Systemy przewodów rurowych z tworzyw sztucznych do instalacji wody ciepłej i zimnej. Usieciowany polietylen (PE-X). Część 3: Kształtki.</w:t>
            </w:r>
          </w:p>
        </w:tc>
      </w:tr>
      <w:tr w:rsidR="000A3B2B" w14:paraId="22C2CF35" w14:textId="77777777">
        <w:trPr>
          <w:trHeight w:val="60"/>
          <w:tblCellSpacing w:w="0" w:type="dxa"/>
        </w:trPr>
        <w:tc>
          <w:tcPr>
            <w:tcW w:w="382" w:type="dxa"/>
            <w:tcBorders>
              <w:top w:val="nil"/>
              <w:left w:val="nil"/>
              <w:bottom w:val="nil"/>
              <w:right w:val="nil"/>
            </w:tcBorders>
          </w:tcPr>
          <w:p w14:paraId="52F863F5"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22.</w:t>
            </w:r>
          </w:p>
        </w:tc>
        <w:tc>
          <w:tcPr>
            <w:tcW w:w="3000" w:type="dxa"/>
            <w:tcBorders>
              <w:top w:val="nil"/>
              <w:left w:val="nil"/>
              <w:bottom w:val="nil"/>
              <w:right w:val="nil"/>
            </w:tcBorders>
          </w:tcPr>
          <w:p w14:paraId="1E1F8AC4"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ISO 15875-5:2005</w:t>
            </w:r>
          </w:p>
        </w:tc>
        <w:tc>
          <w:tcPr>
            <w:tcW w:w="5746" w:type="dxa"/>
            <w:tcBorders>
              <w:top w:val="nil"/>
              <w:left w:val="nil"/>
              <w:bottom w:val="nil"/>
              <w:right w:val="nil"/>
            </w:tcBorders>
          </w:tcPr>
          <w:p w14:paraId="3B1B5619"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Systemy przewodów rurowych z tworzyw sztucznych do instalacji wody ciepłej i zimnej. Usieciowany polietylen (PE-X). Część 5: Przydatność systemu do stosowania.</w:t>
            </w:r>
          </w:p>
        </w:tc>
      </w:tr>
      <w:tr w:rsidR="000A3B2B" w14:paraId="2EA8125D" w14:textId="77777777">
        <w:trPr>
          <w:trHeight w:val="60"/>
          <w:tblCellSpacing w:w="0" w:type="dxa"/>
        </w:trPr>
        <w:tc>
          <w:tcPr>
            <w:tcW w:w="382" w:type="dxa"/>
            <w:tcBorders>
              <w:top w:val="nil"/>
              <w:left w:val="nil"/>
              <w:bottom w:val="nil"/>
              <w:right w:val="nil"/>
            </w:tcBorders>
          </w:tcPr>
          <w:p w14:paraId="2693DABB"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23.</w:t>
            </w:r>
          </w:p>
        </w:tc>
        <w:tc>
          <w:tcPr>
            <w:tcW w:w="3000" w:type="dxa"/>
            <w:tcBorders>
              <w:top w:val="nil"/>
              <w:left w:val="nil"/>
              <w:bottom w:val="nil"/>
              <w:right w:val="nil"/>
            </w:tcBorders>
          </w:tcPr>
          <w:p w14:paraId="113AED70"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ISO 15876-1:2009</w:t>
            </w:r>
          </w:p>
        </w:tc>
        <w:tc>
          <w:tcPr>
            <w:tcW w:w="5746" w:type="dxa"/>
            <w:tcBorders>
              <w:top w:val="nil"/>
              <w:left w:val="nil"/>
              <w:bottom w:val="nil"/>
              <w:right w:val="nil"/>
            </w:tcBorders>
          </w:tcPr>
          <w:p w14:paraId="1CB38954"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Systemy przewodów rurowych z tworzyw sztucznych do instalacji wody ciepłej i zimnej – </w:t>
            </w:r>
            <w:proofErr w:type="spellStart"/>
            <w:r>
              <w:rPr>
                <w:rFonts w:ascii="Arial" w:hAnsi="Arial" w:cs="Arial"/>
                <w:color w:val="000000"/>
                <w:sz w:val="18"/>
                <w:szCs w:val="18"/>
                <w:lang w:val="x-none"/>
              </w:rPr>
              <w:t>Polibutylen</w:t>
            </w:r>
            <w:proofErr w:type="spellEnd"/>
            <w:r>
              <w:rPr>
                <w:rFonts w:ascii="Arial" w:hAnsi="Arial" w:cs="Arial"/>
                <w:color w:val="000000"/>
                <w:sz w:val="18"/>
                <w:szCs w:val="18"/>
                <w:lang w:val="x-none"/>
              </w:rPr>
              <w:t xml:space="preserve"> (PB) – Część 1: Wymagania ogólne.</w:t>
            </w:r>
          </w:p>
        </w:tc>
      </w:tr>
      <w:tr w:rsidR="000A3B2B" w14:paraId="2E96A52C" w14:textId="77777777">
        <w:trPr>
          <w:trHeight w:val="60"/>
          <w:tblCellSpacing w:w="0" w:type="dxa"/>
        </w:trPr>
        <w:tc>
          <w:tcPr>
            <w:tcW w:w="382" w:type="dxa"/>
            <w:tcBorders>
              <w:top w:val="nil"/>
              <w:left w:val="nil"/>
              <w:bottom w:val="nil"/>
              <w:right w:val="nil"/>
            </w:tcBorders>
          </w:tcPr>
          <w:p w14:paraId="00D55221"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 xml:space="preserve">24. </w:t>
            </w:r>
          </w:p>
        </w:tc>
        <w:tc>
          <w:tcPr>
            <w:tcW w:w="3000" w:type="dxa"/>
            <w:tcBorders>
              <w:top w:val="nil"/>
              <w:left w:val="nil"/>
              <w:bottom w:val="nil"/>
              <w:right w:val="nil"/>
            </w:tcBorders>
          </w:tcPr>
          <w:p w14:paraId="12BC7563"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ISO 15876-2:2009</w:t>
            </w:r>
          </w:p>
        </w:tc>
        <w:tc>
          <w:tcPr>
            <w:tcW w:w="5746" w:type="dxa"/>
            <w:tcBorders>
              <w:top w:val="nil"/>
              <w:left w:val="nil"/>
              <w:bottom w:val="nil"/>
              <w:right w:val="nil"/>
            </w:tcBorders>
          </w:tcPr>
          <w:p w14:paraId="62F00FAF"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Systemy przewodów rurowych z tworzyw sztucznych do instalacji wody ciepłej i zimnej – </w:t>
            </w:r>
            <w:proofErr w:type="spellStart"/>
            <w:r>
              <w:rPr>
                <w:rFonts w:ascii="Arial" w:hAnsi="Arial" w:cs="Arial"/>
                <w:color w:val="000000"/>
                <w:sz w:val="18"/>
                <w:szCs w:val="18"/>
                <w:lang w:val="x-none"/>
              </w:rPr>
              <w:t>Polibutylen</w:t>
            </w:r>
            <w:proofErr w:type="spellEnd"/>
            <w:r>
              <w:rPr>
                <w:rFonts w:ascii="Arial" w:hAnsi="Arial" w:cs="Arial"/>
                <w:color w:val="000000"/>
                <w:sz w:val="18"/>
                <w:szCs w:val="18"/>
                <w:lang w:val="x-none"/>
              </w:rPr>
              <w:t xml:space="preserve"> (PB) – Część 2: Rury.</w:t>
            </w:r>
          </w:p>
        </w:tc>
      </w:tr>
      <w:tr w:rsidR="000A3B2B" w14:paraId="0ACFE21D" w14:textId="77777777">
        <w:trPr>
          <w:trHeight w:val="60"/>
          <w:tblCellSpacing w:w="0" w:type="dxa"/>
        </w:trPr>
        <w:tc>
          <w:tcPr>
            <w:tcW w:w="382" w:type="dxa"/>
            <w:tcBorders>
              <w:top w:val="nil"/>
              <w:left w:val="nil"/>
              <w:bottom w:val="nil"/>
              <w:right w:val="nil"/>
            </w:tcBorders>
          </w:tcPr>
          <w:p w14:paraId="644B5D0D"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 xml:space="preserve">25. </w:t>
            </w:r>
          </w:p>
        </w:tc>
        <w:tc>
          <w:tcPr>
            <w:tcW w:w="3000" w:type="dxa"/>
            <w:tcBorders>
              <w:top w:val="nil"/>
              <w:left w:val="nil"/>
              <w:bottom w:val="nil"/>
              <w:right w:val="nil"/>
            </w:tcBorders>
          </w:tcPr>
          <w:p w14:paraId="3A3DB448"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ISO 15876-3:2009</w:t>
            </w:r>
          </w:p>
        </w:tc>
        <w:tc>
          <w:tcPr>
            <w:tcW w:w="5746" w:type="dxa"/>
            <w:tcBorders>
              <w:top w:val="nil"/>
              <w:left w:val="nil"/>
              <w:bottom w:val="nil"/>
              <w:right w:val="nil"/>
            </w:tcBorders>
          </w:tcPr>
          <w:p w14:paraId="6C3A11F5"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Systemy przewodów rurowych z tworzyw sztucznych do instalacji wody ciepłej i zimnej – </w:t>
            </w:r>
            <w:proofErr w:type="spellStart"/>
            <w:r>
              <w:rPr>
                <w:rFonts w:ascii="Arial" w:hAnsi="Arial" w:cs="Arial"/>
                <w:color w:val="000000"/>
                <w:sz w:val="18"/>
                <w:szCs w:val="18"/>
                <w:lang w:val="x-none"/>
              </w:rPr>
              <w:t>Polibutylen</w:t>
            </w:r>
            <w:proofErr w:type="spellEnd"/>
            <w:r>
              <w:rPr>
                <w:rFonts w:ascii="Arial" w:hAnsi="Arial" w:cs="Arial"/>
                <w:color w:val="000000"/>
                <w:sz w:val="18"/>
                <w:szCs w:val="18"/>
                <w:lang w:val="x-none"/>
              </w:rPr>
              <w:t xml:space="preserve"> (PB) – Część 3: Kształtki.</w:t>
            </w:r>
          </w:p>
        </w:tc>
      </w:tr>
      <w:tr w:rsidR="000A3B2B" w14:paraId="7BB3B2D6" w14:textId="77777777">
        <w:trPr>
          <w:trHeight w:val="60"/>
          <w:tblCellSpacing w:w="0" w:type="dxa"/>
        </w:trPr>
        <w:tc>
          <w:tcPr>
            <w:tcW w:w="382" w:type="dxa"/>
            <w:tcBorders>
              <w:top w:val="nil"/>
              <w:left w:val="nil"/>
              <w:bottom w:val="nil"/>
              <w:right w:val="nil"/>
            </w:tcBorders>
          </w:tcPr>
          <w:p w14:paraId="64221A9F"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 xml:space="preserve">26. </w:t>
            </w:r>
          </w:p>
        </w:tc>
        <w:tc>
          <w:tcPr>
            <w:tcW w:w="3000" w:type="dxa"/>
            <w:tcBorders>
              <w:top w:val="nil"/>
              <w:left w:val="nil"/>
              <w:bottom w:val="nil"/>
              <w:right w:val="nil"/>
            </w:tcBorders>
          </w:tcPr>
          <w:p w14:paraId="0B64266C"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ISO 15876-5:2009</w:t>
            </w:r>
          </w:p>
        </w:tc>
        <w:tc>
          <w:tcPr>
            <w:tcW w:w="5746" w:type="dxa"/>
            <w:tcBorders>
              <w:top w:val="nil"/>
              <w:left w:val="nil"/>
              <w:bottom w:val="nil"/>
              <w:right w:val="nil"/>
            </w:tcBorders>
          </w:tcPr>
          <w:p w14:paraId="1C22BCDA"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Systemy przewodów rurowych z tworzyw sztucznych do instalacji wody ciepłej i zimnej – </w:t>
            </w:r>
            <w:proofErr w:type="spellStart"/>
            <w:r>
              <w:rPr>
                <w:rFonts w:ascii="Arial" w:hAnsi="Arial" w:cs="Arial"/>
                <w:color w:val="000000"/>
                <w:sz w:val="18"/>
                <w:szCs w:val="18"/>
                <w:lang w:val="x-none"/>
              </w:rPr>
              <w:t>Polibutylen</w:t>
            </w:r>
            <w:proofErr w:type="spellEnd"/>
            <w:r>
              <w:rPr>
                <w:rFonts w:ascii="Arial" w:hAnsi="Arial" w:cs="Arial"/>
                <w:color w:val="000000"/>
                <w:sz w:val="18"/>
                <w:szCs w:val="18"/>
                <w:lang w:val="x-none"/>
              </w:rPr>
              <w:t xml:space="preserve"> (PB) – Część 5: Przydatność systemu do stosowania.</w:t>
            </w:r>
          </w:p>
        </w:tc>
      </w:tr>
      <w:tr w:rsidR="000A3B2B" w14:paraId="73EFF63A" w14:textId="77777777">
        <w:trPr>
          <w:trHeight w:val="60"/>
          <w:tblCellSpacing w:w="0" w:type="dxa"/>
        </w:trPr>
        <w:tc>
          <w:tcPr>
            <w:tcW w:w="382" w:type="dxa"/>
            <w:tcBorders>
              <w:top w:val="nil"/>
              <w:left w:val="nil"/>
              <w:bottom w:val="nil"/>
              <w:right w:val="nil"/>
            </w:tcBorders>
          </w:tcPr>
          <w:p w14:paraId="37E0AC0F"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 xml:space="preserve">27. </w:t>
            </w:r>
          </w:p>
        </w:tc>
        <w:tc>
          <w:tcPr>
            <w:tcW w:w="3000" w:type="dxa"/>
            <w:tcBorders>
              <w:top w:val="nil"/>
              <w:left w:val="nil"/>
              <w:bottom w:val="nil"/>
              <w:right w:val="nil"/>
            </w:tcBorders>
          </w:tcPr>
          <w:p w14:paraId="4135A014"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PN-M-75016:1992</w:t>
            </w:r>
          </w:p>
        </w:tc>
        <w:tc>
          <w:tcPr>
            <w:tcW w:w="5746" w:type="dxa"/>
            <w:tcBorders>
              <w:top w:val="nil"/>
              <w:left w:val="nil"/>
              <w:bottom w:val="nil"/>
              <w:right w:val="nil"/>
            </w:tcBorders>
          </w:tcPr>
          <w:p w14:paraId="414AF6EF" w14:textId="77777777" w:rsidR="000A3B2B" w:rsidRDefault="000A3B2B">
            <w:pPr>
              <w:autoSpaceDE w:val="0"/>
              <w:autoSpaceDN w:val="0"/>
              <w:adjustRightInd w:val="0"/>
              <w:spacing w:after="30" w:line="240" w:lineRule="auto"/>
              <w:jc w:val="both"/>
              <w:rPr>
                <w:rFonts w:ascii="Arial" w:hAnsi="Arial" w:cs="Arial"/>
                <w:i/>
                <w:iCs/>
                <w:color w:val="000000"/>
                <w:sz w:val="18"/>
                <w:szCs w:val="18"/>
                <w:lang w:val="x-none"/>
              </w:rPr>
            </w:pPr>
            <w:r>
              <w:rPr>
                <w:rFonts w:ascii="Arial" w:hAnsi="Arial" w:cs="Arial"/>
                <w:color w:val="000000"/>
                <w:sz w:val="18"/>
                <w:szCs w:val="18"/>
                <w:lang w:val="x-none"/>
              </w:rPr>
              <w:t xml:space="preserve">Armatura instalacji centralnego ogrzewania – Zawory grzejnikowe </w:t>
            </w:r>
            <w:r>
              <w:rPr>
                <w:rFonts w:ascii="Arial" w:hAnsi="Arial" w:cs="Arial"/>
                <w:i/>
                <w:iCs/>
                <w:color w:val="000000"/>
                <w:sz w:val="18"/>
                <w:szCs w:val="18"/>
                <w:lang w:val="x-none"/>
              </w:rPr>
              <w:t>(norma wycofana).</w:t>
            </w:r>
          </w:p>
        </w:tc>
      </w:tr>
      <w:tr w:rsidR="000A3B2B" w14:paraId="5678D2B7" w14:textId="77777777">
        <w:trPr>
          <w:trHeight w:val="60"/>
          <w:tblCellSpacing w:w="0" w:type="dxa"/>
        </w:trPr>
        <w:tc>
          <w:tcPr>
            <w:tcW w:w="382" w:type="dxa"/>
            <w:tcBorders>
              <w:top w:val="nil"/>
              <w:left w:val="nil"/>
              <w:bottom w:val="nil"/>
              <w:right w:val="nil"/>
            </w:tcBorders>
          </w:tcPr>
          <w:p w14:paraId="57C6133E"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 xml:space="preserve">28. </w:t>
            </w:r>
          </w:p>
        </w:tc>
        <w:tc>
          <w:tcPr>
            <w:tcW w:w="3000" w:type="dxa"/>
            <w:tcBorders>
              <w:top w:val="nil"/>
              <w:left w:val="nil"/>
              <w:bottom w:val="nil"/>
              <w:right w:val="nil"/>
            </w:tcBorders>
          </w:tcPr>
          <w:p w14:paraId="64DD1B3F"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 xml:space="preserve">PN-EN 215:2005 </w:t>
            </w:r>
            <w:r>
              <w:rPr>
                <w:rFonts w:ascii="Arial" w:hAnsi="Arial" w:cs="Arial"/>
                <w:color w:val="000000"/>
                <w:sz w:val="18"/>
                <w:szCs w:val="18"/>
                <w:lang w:val="x-none"/>
              </w:rPr>
              <w:br/>
              <w:t>PN-EN 215:2005/A1:2006</w:t>
            </w:r>
          </w:p>
        </w:tc>
        <w:tc>
          <w:tcPr>
            <w:tcW w:w="5746" w:type="dxa"/>
            <w:tcBorders>
              <w:top w:val="nil"/>
              <w:left w:val="nil"/>
              <w:bottom w:val="nil"/>
              <w:right w:val="nil"/>
            </w:tcBorders>
          </w:tcPr>
          <w:p w14:paraId="116B250B" w14:textId="77777777" w:rsidR="000A3B2B" w:rsidRDefault="000A3B2B">
            <w:pPr>
              <w:autoSpaceDE w:val="0"/>
              <w:autoSpaceDN w:val="0"/>
              <w:adjustRightInd w:val="0"/>
              <w:spacing w:after="30" w:line="240" w:lineRule="auto"/>
              <w:jc w:val="both"/>
              <w:rPr>
                <w:rFonts w:ascii="Arial" w:hAnsi="Arial" w:cs="Arial"/>
                <w:i/>
                <w:iCs/>
                <w:color w:val="000000"/>
                <w:sz w:val="18"/>
                <w:szCs w:val="18"/>
                <w:lang w:val="x-none"/>
              </w:rPr>
            </w:pPr>
            <w:r>
              <w:rPr>
                <w:rFonts w:ascii="Arial" w:hAnsi="Arial" w:cs="Arial"/>
                <w:color w:val="000000"/>
                <w:sz w:val="18"/>
                <w:szCs w:val="18"/>
                <w:lang w:val="x-none"/>
              </w:rPr>
              <w:t>Termostatyczne zawory grzejnikowe – Wymagania i metody badań</w:t>
            </w:r>
            <w:r>
              <w:rPr>
                <w:rFonts w:ascii="Arial" w:hAnsi="Arial" w:cs="Arial"/>
                <w:i/>
                <w:iCs/>
                <w:color w:val="000000"/>
                <w:sz w:val="18"/>
                <w:szCs w:val="18"/>
                <w:lang w:val="x-none"/>
              </w:rPr>
              <w:t xml:space="preserve"> (wersja angielska).</w:t>
            </w:r>
          </w:p>
        </w:tc>
      </w:tr>
      <w:tr w:rsidR="000A3B2B" w14:paraId="0F27B4F2" w14:textId="77777777">
        <w:trPr>
          <w:trHeight w:val="60"/>
          <w:tblCellSpacing w:w="0" w:type="dxa"/>
        </w:trPr>
        <w:tc>
          <w:tcPr>
            <w:tcW w:w="382" w:type="dxa"/>
            <w:tcBorders>
              <w:top w:val="nil"/>
              <w:left w:val="nil"/>
              <w:bottom w:val="nil"/>
              <w:right w:val="nil"/>
            </w:tcBorders>
          </w:tcPr>
          <w:p w14:paraId="74388766"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29.</w:t>
            </w:r>
          </w:p>
        </w:tc>
        <w:tc>
          <w:tcPr>
            <w:tcW w:w="3000" w:type="dxa"/>
            <w:tcBorders>
              <w:top w:val="nil"/>
              <w:left w:val="nil"/>
              <w:bottom w:val="nil"/>
              <w:right w:val="nil"/>
            </w:tcBorders>
          </w:tcPr>
          <w:p w14:paraId="37AF5ADA"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442-1:2015-02</w:t>
            </w:r>
          </w:p>
        </w:tc>
        <w:tc>
          <w:tcPr>
            <w:tcW w:w="5746" w:type="dxa"/>
            <w:tcBorders>
              <w:top w:val="nil"/>
              <w:left w:val="nil"/>
              <w:bottom w:val="nil"/>
              <w:right w:val="nil"/>
            </w:tcBorders>
          </w:tcPr>
          <w:p w14:paraId="5D3D2E57"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Grzejniki i konwektory – Część 1: Wymagania i warunki techniczne.</w:t>
            </w:r>
          </w:p>
        </w:tc>
      </w:tr>
      <w:tr w:rsidR="000A3B2B" w14:paraId="063A3EA8" w14:textId="77777777">
        <w:trPr>
          <w:trHeight w:val="570"/>
          <w:tblCellSpacing w:w="0" w:type="dxa"/>
        </w:trPr>
        <w:tc>
          <w:tcPr>
            <w:tcW w:w="382" w:type="dxa"/>
            <w:tcBorders>
              <w:top w:val="nil"/>
              <w:left w:val="nil"/>
              <w:bottom w:val="nil"/>
              <w:right w:val="nil"/>
            </w:tcBorders>
          </w:tcPr>
          <w:p w14:paraId="01556CA1"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30.</w:t>
            </w:r>
          </w:p>
        </w:tc>
        <w:tc>
          <w:tcPr>
            <w:tcW w:w="3000" w:type="dxa"/>
            <w:tcBorders>
              <w:top w:val="nil"/>
              <w:left w:val="nil"/>
              <w:bottom w:val="nil"/>
              <w:right w:val="nil"/>
            </w:tcBorders>
          </w:tcPr>
          <w:p w14:paraId="4534FF41"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442-2:2015-02</w:t>
            </w:r>
          </w:p>
        </w:tc>
        <w:tc>
          <w:tcPr>
            <w:tcW w:w="5746" w:type="dxa"/>
            <w:tcBorders>
              <w:top w:val="nil"/>
              <w:left w:val="nil"/>
              <w:bottom w:val="nil"/>
              <w:right w:val="nil"/>
            </w:tcBorders>
          </w:tcPr>
          <w:p w14:paraId="1D31453F"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Grzejniki i konwektory – Część 2: Moc cieplna i metody badań.</w:t>
            </w:r>
          </w:p>
        </w:tc>
      </w:tr>
      <w:tr w:rsidR="000A3B2B" w14:paraId="695A9C60" w14:textId="77777777">
        <w:trPr>
          <w:trHeight w:val="60"/>
          <w:tblCellSpacing w:w="0" w:type="dxa"/>
        </w:trPr>
        <w:tc>
          <w:tcPr>
            <w:tcW w:w="382" w:type="dxa"/>
            <w:tcBorders>
              <w:top w:val="nil"/>
              <w:left w:val="nil"/>
              <w:bottom w:val="nil"/>
              <w:right w:val="nil"/>
            </w:tcBorders>
          </w:tcPr>
          <w:p w14:paraId="0382726D"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31.</w:t>
            </w:r>
          </w:p>
        </w:tc>
        <w:tc>
          <w:tcPr>
            <w:tcW w:w="3000" w:type="dxa"/>
            <w:tcBorders>
              <w:top w:val="nil"/>
              <w:left w:val="nil"/>
              <w:bottom w:val="nil"/>
              <w:right w:val="nil"/>
            </w:tcBorders>
          </w:tcPr>
          <w:p w14:paraId="3E6C6656"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835:1999</w:t>
            </w:r>
          </w:p>
        </w:tc>
        <w:tc>
          <w:tcPr>
            <w:tcW w:w="5746" w:type="dxa"/>
            <w:tcBorders>
              <w:top w:val="nil"/>
              <w:left w:val="nil"/>
              <w:bottom w:val="nil"/>
              <w:right w:val="nil"/>
            </w:tcBorders>
          </w:tcPr>
          <w:p w14:paraId="5F9EC78F"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Podzielniki kosztów ogrzewania do rejestrowania zużycia ciepła przez grzejniki – Przyrządy bez zasilania energią elektryczną działające na zasadzie parowania dyfuzyjnego.</w:t>
            </w:r>
          </w:p>
        </w:tc>
      </w:tr>
      <w:tr w:rsidR="000A3B2B" w14:paraId="13011AD9" w14:textId="77777777">
        <w:trPr>
          <w:trHeight w:val="60"/>
          <w:tblCellSpacing w:w="0" w:type="dxa"/>
        </w:trPr>
        <w:tc>
          <w:tcPr>
            <w:tcW w:w="382" w:type="dxa"/>
            <w:tcBorders>
              <w:top w:val="nil"/>
              <w:left w:val="nil"/>
              <w:bottom w:val="nil"/>
              <w:right w:val="nil"/>
            </w:tcBorders>
          </w:tcPr>
          <w:p w14:paraId="542E1080"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32.</w:t>
            </w:r>
          </w:p>
        </w:tc>
        <w:tc>
          <w:tcPr>
            <w:tcW w:w="3000" w:type="dxa"/>
            <w:tcBorders>
              <w:top w:val="nil"/>
              <w:left w:val="nil"/>
              <w:bottom w:val="nil"/>
              <w:right w:val="nil"/>
            </w:tcBorders>
          </w:tcPr>
          <w:p w14:paraId="063BE17C"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 xml:space="preserve">PN-EN 834:2013-12 </w:t>
            </w:r>
          </w:p>
        </w:tc>
        <w:tc>
          <w:tcPr>
            <w:tcW w:w="5746" w:type="dxa"/>
            <w:tcBorders>
              <w:top w:val="nil"/>
              <w:left w:val="nil"/>
              <w:bottom w:val="nil"/>
              <w:right w:val="nil"/>
            </w:tcBorders>
          </w:tcPr>
          <w:p w14:paraId="42460380" w14:textId="77777777" w:rsidR="000A3B2B" w:rsidRDefault="000A3B2B">
            <w:pPr>
              <w:autoSpaceDE w:val="0"/>
              <w:autoSpaceDN w:val="0"/>
              <w:adjustRightInd w:val="0"/>
              <w:spacing w:after="30" w:line="240" w:lineRule="auto"/>
              <w:jc w:val="both"/>
              <w:rPr>
                <w:rFonts w:ascii="Arial" w:hAnsi="Arial" w:cs="Arial"/>
                <w:i/>
                <w:iCs/>
                <w:color w:val="000000"/>
                <w:sz w:val="18"/>
                <w:szCs w:val="18"/>
                <w:lang w:val="x-none"/>
              </w:rPr>
            </w:pPr>
            <w:r>
              <w:rPr>
                <w:rFonts w:ascii="Arial" w:hAnsi="Arial" w:cs="Arial"/>
                <w:color w:val="000000"/>
                <w:sz w:val="18"/>
                <w:szCs w:val="18"/>
                <w:lang w:val="x-none"/>
              </w:rPr>
              <w:t xml:space="preserve">Podzielniki kosztów ogrzewania do rejestrowania zużycia ciepła przez grzejniki – Przyrządy zasilane energią elektryczną </w:t>
            </w:r>
            <w:r>
              <w:rPr>
                <w:rFonts w:ascii="Arial" w:hAnsi="Arial" w:cs="Arial"/>
                <w:i/>
                <w:iCs/>
                <w:color w:val="000000"/>
                <w:sz w:val="18"/>
                <w:szCs w:val="18"/>
                <w:lang w:val="x-none"/>
              </w:rPr>
              <w:t>(wersja angielska).</w:t>
            </w:r>
          </w:p>
        </w:tc>
      </w:tr>
      <w:tr w:rsidR="000A3B2B" w14:paraId="48886B96" w14:textId="77777777">
        <w:trPr>
          <w:trHeight w:val="60"/>
          <w:tblCellSpacing w:w="0" w:type="dxa"/>
        </w:trPr>
        <w:tc>
          <w:tcPr>
            <w:tcW w:w="382" w:type="dxa"/>
            <w:tcBorders>
              <w:top w:val="nil"/>
              <w:left w:val="nil"/>
              <w:bottom w:val="nil"/>
              <w:right w:val="nil"/>
            </w:tcBorders>
          </w:tcPr>
          <w:p w14:paraId="2C6FA60A"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33.</w:t>
            </w:r>
          </w:p>
        </w:tc>
        <w:tc>
          <w:tcPr>
            <w:tcW w:w="3000" w:type="dxa"/>
            <w:tcBorders>
              <w:top w:val="nil"/>
              <w:left w:val="nil"/>
              <w:bottom w:val="nil"/>
              <w:right w:val="nil"/>
            </w:tcBorders>
          </w:tcPr>
          <w:p w14:paraId="524191BE" w14:textId="77777777" w:rsidR="000A3B2B" w:rsidRDefault="000A3B2B">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PN-B-10400:1964</w:t>
            </w:r>
          </w:p>
        </w:tc>
        <w:tc>
          <w:tcPr>
            <w:tcW w:w="5746" w:type="dxa"/>
            <w:tcBorders>
              <w:top w:val="nil"/>
              <w:left w:val="nil"/>
              <w:bottom w:val="nil"/>
              <w:right w:val="nil"/>
            </w:tcBorders>
          </w:tcPr>
          <w:p w14:paraId="38810422" w14:textId="77777777" w:rsidR="000A3B2B" w:rsidRDefault="000A3B2B">
            <w:pPr>
              <w:autoSpaceDE w:val="0"/>
              <w:autoSpaceDN w:val="0"/>
              <w:adjustRightInd w:val="0"/>
              <w:spacing w:after="30" w:line="240" w:lineRule="auto"/>
              <w:jc w:val="both"/>
              <w:rPr>
                <w:rFonts w:ascii="Arial" w:hAnsi="Arial" w:cs="Arial"/>
                <w:i/>
                <w:iCs/>
                <w:color w:val="000000"/>
                <w:sz w:val="18"/>
                <w:szCs w:val="18"/>
                <w:lang w:val="x-none"/>
              </w:rPr>
            </w:pPr>
            <w:r>
              <w:rPr>
                <w:rFonts w:ascii="Arial" w:hAnsi="Arial" w:cs="Arial"/>
                <w:color w:val="000000"/>
                <w:sz w:val="18"/>
                <w:szCs w:val="18"/>
                <w:lang w:val="x-none"/>
              </w:rPr>
              <w:t xml:space="preserve">Urządzenia centralnego ogrzewania w budownictwie powszechnym. Wymagania i badania techniczne przy odbiorze </w:t>
            </w:r>
            <w:r>
              <w:rPr>
                <w:rFonts w:ascii="Arial" w:hAnsi="Arial" w:cs="Arial"/>
                <w:i/>
                <w:iCs/>
                <w:color w:val="000000"/>
                <w:sz w:val="18"/>
                <w:szCs w:val="18"/>
                <w:lang w:val="x-none"/>
              </w:rPr>
              <w:t>(norma wycofana).</w:t>
            </w:r>
          </w:p>
        </w:tc>
      </w:tr>
    </w:tbl>
    <w:p w14:paraId="34942E2A"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33BBBE7A"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44871128"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10.2. Ustawy</w:t>
      </w:r>
    </w:p>
    <w:p w14:paraId="0CAA0646"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Ustawa z dnia 7 lipca 1994 r. – Prawo Budowlane (jednolity tekst Dz. U. z 2016 poz. 290).</w:t>
      </w:r>
    </w:p>
    <w:p w14:paraId="71BF5DA1"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Ustawa z dnia 16 kwietnia 2004 r. – o wyrobach budowlanych (tekst jednolity Dz. U. z 2016 r. Nr 0, poz. 1570).</w:t>
      </w:r>
    </w:p>
    <w:p w14:paraId="5577DE27"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Ustawa z dnia 21 grudnia 2000 r. – o dozorze technicznym (Dz. U. Nr 122, poz. 1321 z </w:t>
      </w:r>
      <w:proofErr w:type="spellStart"/>
      <w:r>
        <w:rPr>
          <w:rFonts w:ascii="Arial" w:hAnsi="Arial" w:cs="Arial"/>
          <w:color w:val="000000"/>
          <w:sz w:val="18"/>
          <w:szCs w:val="18"/>
          <w:lang w:val="x-none"/>
        </w:rPr>
        <w:t>późn</w:t>
      </w:r>
      <w:proofErr w:type="spellEnd"/>
      <w:r>
        <w:rPr>
          <w:rFonts w:ascii="Arial" w:hAnsi="Arial" w:cs="Arial"/>
          <w:color w:val="000000"/>
          <w:sz w:val="18"/>
          <w:szCs w:val="18"/>
          <w:lang w:val="x-none"/>
        </w:rPr>
        <w:t>. zmianami – tekst jednolity Dz. U. 2015 nr 0, poz. 1125).</w:t>
      </w:r>
    </w:p>
    <w:p w14:paraId="729250F6"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7238E28D" w14:textId="77777777" w:rsidR="000A3B2B" w:rsidRDefault="000A3B2B" w:rsidP="009E5295">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10.3. Inne dokumenty i instrukcje</w:t>
      </w:r>
    </w:p>
    <w:p w14:paraId="0B583EBA"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Specyfikacja techniczna wykonania i odbioru robót budowlanych – Wymagania ogólne Kod CPV 45000000-7, wydanie 3. OWEOB Promocja – 2017 rok.</w:t>
      </w:r>
    </w:p>
    <w:p w14:paraId="536B10A7"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Zeszyt 6: Warunki techniczne wykonania i odbioru instalacji ogrzewczych – wyd. COBRTI INSTAL.</w:t>
      </w:r>
    </w:p>
    <w:p w14:paraId="4D6AC184" w14:textId="77777777" w:rsidR="000A3B2B" w:rsidRDefault="000A3B2B" w:rsidP="009E5295">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Zeszyt 10: Wytyczne stosowania i projektowania instalacji z rur miedzianych – wyd. COBRTI INSTAL.</w:t>
      </w:r>
    </w:p>
    <w:p w14:paraId="138EBF8B"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6657021F"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32F95C2B" w14:textId="77777777" w:rsidR="000A3B2B" w:rsidRDefault="000A3B2B" w:rsidP="009E5295">
      <w:pPr>
        <w:autoSpaceDE w:val="0"/>
        <w:autoSpaceDN w:val="0"/>
        <w:adjustRightInd w:val="0"/>
        <w:spacing w:after="30" w:line="240" w:lineRule="auto"/>
        <w:jc w:val="right"/>
        <w:rPr>
          <w:rFonts w:ascii="Arial" w:hAnsi="Arial" w:cs="Arial"/>
          <w:i/>
          <w:iCs/>
          <w:color w:val="000000"/>
          <w:sz w:val="18"/>
          <w:szCs w:val="18"/>
          <w:lang w:val="x-none"/>
        </w:rPr>
      </w:pPr>
      <w:r>
        <w:rPr>
          <w:rFonts w:ascii="Arial" w:hAnsi="Arial" w:cs="Arial"/>
          <w:color w:val="000000"/>
          <w:sz w:val="18"/>
          <w:szCs w:val="18"/>
          <w:lang w:val="x-none"/>
        </w:rPr>
        <w:br w:type="page"/>
      </w:r>
      <w:r>
        <w:rPr>
          <w:rFonts w:ascii="Arial" w:hAnsi="Arial" w:cs="Arial"/>
          <w:i/>
          <w:iCs/>
          <w:color w:val="000000"/>
          <w:sz w:val="18"/>
          <w:szCs w:val="18"/>
          <w:lang w:val="x-none"/>
        </w:rPr>
        <w:t>Załącznik 1</w:t>
      </w:r>
    </w:p>
    <w:p w14:paraId="2351AF98" w14:textId="77777777" w:rsidR="000A3B2B" w:rsidRDefault="000A3B2B" w:rsidP="009E5295">
      <w:pPr>
        <w:autoSpaceDE w:val="0"/>
        <w:autoSpaceDN w:val="0"/>
        <w:adjustRightInd w:val="0"/>
        <w:spacing w:after="30" w:line="240" w:lineRule="auto"/>
        <w:jc w:val="right"/>
        <w:rPr>
          <w:rFonts w:ascii="Arial" w:hAnsi="Arial" w:cs="Arial"/>
          <w:i/>
          <w:iCs/>
          <w:color w:val="000000"/>
          <w:sz w:val="18"/>
          <w:szCs w:val="18"/>
          <w:lang w:val="x-none"/>
        </w:rPr>
      </w:pPr>
    </w:p>
    <w:p w14:paraId="0FCA291F" w14:textId="77777777" w:rsidR="000A3B2B" w:rsidRDefault="000A3B2B" w:rsidP="009E5295">
      <w:pPr>
        <w:autoSpaceDE w:val="0"/>
        <w:autoSpaceDN w:val="0"/>
        <w:adjustRightInd w:val="0"/>
        <w:spacing w:after="30" w:line="240" w:lineRule="auto"/>
        <w:jc w:val="right"/>
        <w:rPr>
          <w:rFonts w:ascii="Arial" w:hAnsi="Arial" w:cs="Arial"/>
          <w:color w:val="000000"/>
          <w:sz w:val="18"/>
          <w:szCs w:val="18"/>
          <w:lang w:val="x-none"/>
        </w:rPr>
      </w:pPr>
      <w:r>
        <w:rPr>
          <w:rFonts w:ascii="Arial" w:hAnsi="Arial" w:cs="Arial"/>
          <w:color w:val="000000"/>
          <w:sz w:val="18"/>
          <w:szCs w:val="18"/>
          <w:lang w:val="x-none"/>
        </w:rPr>
        <w:t>..........................................., dnia ....................... r.</w:t>
      </w:r>
    </w:p>
    <w:p w14:paraId="59984800"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420F1B9D"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58A33A4A" w14:textId="77777777" w:rsidR="000A3B2B" w:rsidRDefault="000A3B2B" w:rsidP="009E5295">
      <w:pPr>
        <w:autoSpaceDE w:val="0"/>
        <w:autoSpaceDN w:val="0"/>
        <w:adjustRightInd w:val="0"/>
        <w:spacing w:after="30" w:line="240" w:lineRule="auto"/>
        <w:jc w:val="center"/>
        <w:rPr>
          <w:rFonts w:ascii="Arial" w:hAnsi="Arial" w:cs="Arial"/>
          <w:b/>
          <w:bCs/>
          <w:color w:val="000000"/>
          <w:sz w:val="18"/>
          <w:szCs w:val="18"/>
          <w:lang w:val="x-none"/>
        </w:rPr>
      </w:pPr>
      <w:r>
        <w:rPr>
          <w:rFonts w:ascii="Arial" w:hAnsi="Arial" w:cs="Arial"/>
          <w:b/>
          <w:bCs/>
          <w:color w:val="000000"/>
          <w:sz w:val="18"/>
          <w:szCs w:val="18"/>
          <w:lang w:val="x-none"/>
        </w:rPr>
        <w:t>PROTOKÓŁ BADANIA ODBIORCZEGO INSTALACJI  OGRZEWCZEJ</w:t>
      </w:r>
    </w:p>
    <w:p w14:paraId="09000413" w14:textId="77777777" w:rsidR="000A3B2B" w:rsidRDefault="000A3B2B" w:rsidP="009E5295">
      <w:pPr>
        <w:autoSpaceDE w:val="0"/>
        <w:autoSpaceDN w:val="0"/>
        <w:adjustRightInd w:val="0"/>
        <w:spacing w:after="30" w:line="240" w:lineRule="auto"/>
        <w:jc w:val="center"/>
        <w:rPr>
          <w:rFonts w:ascii="Arial" w:hAnsi="Arial" w:cs="Arial"/>
          <w:b/>
          <w:bCs/>
          <w:color w:val="000000"/>
          <w:sz w:val="18"/>
          <w:szCs w:val="18"/>
          <w:lang w:val="x-none"/>
        </w:rPr>
      </w:pPr>
    </w:p>
    <w:p w14:paraId="60A9028D" w14:textId="77777777" w:rsidR="000A3B2B" w:rsidRDefault="000A3B2B" w:rsidP="009E5295">
      <w:pPr>
        <w:autoSpaceDE w:val="0"/>
        <w:autoSpaceDN w:val="0"/>
        <w:adjustRightInd w:val="0"/>
        <w:spacing w:after="30" w:line="240" w:lineRule="auto"/>
        <w:jc w:val="center"/>
        <w:rPr>
          <w:rFonts w:ascii="Arial" w:hAnsi="Arial" w:cs="Arial"/>
          <w:color w:val="000000"/>
          <w:sz w:val="18"/>
          <w:szCs w:val="18"/>
          <w:lang w:val="x-none"/>
        </w:rPr>
      </w:pPr>
    </w:p>
    <w:p w14:paraId="4ED3B729" w14:textId="77777777" w:rsidR="000A3B2B" w:rsidRDefault="000A3B2B" w:rsidP="009E5295">
      <w:pPr>
        <w:autoSpaceDE w:val="0"/>
        <w:autoSpaceDN w:val="0"/>
        <w:adjustRightInd w:val="0"/>
        <w:spacing w:after="30" w:line="240" w:lineRule="auto"/>
        <w:jc w:val="both"/>
        <w:rPr>
          <w:rFonts w:ascii="Arial" w:hAnsi="Arial" w:cs="Arial"/>
          <w:b/>
          <w:bCs/>
          <w:color w:val="000000"/>
          <w:sz w:val="18"/>
          <w:szCs w:val="18"/>
          <w:lang w:val="x-none"/>
        </w:rPr>
      </w:pPr>
      <w:r>
        <w:rPr>
          <w:rFonts w:ascii="Arial" w:hAnsi="Arial" w:cs="Arial"/>
          <w:b/>
          <w:bCs/>
          <w:color w:val="000000"/>
          <w:sz w:val="18"/>
          <w:szCs w:val="18"/>
          <w:lang w:val="x-none"/>
        </w:rPr>
        <w:t>1. Identyfikacja instalacji</w:t>
      </w:r>
    </w:p>
    <w:p w14:paraId="2B2674DD"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Instalacja ogrzewcza  ...................................................................................... realizowana </w:t>
      </w:r>
    </w:p>
    <w:p w14:paraId="7D5E1B5F"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 ........................................................................... ul. .........................................................</w:t>
      </w:r>
    </w:p>
    <w:p w14:paraId="1E4D0A98" w14:textId="77777777" w:rsidR="000A3B2B" w:rsidRDefault="000A3B2B" w:rsidP="009E5295">
      <w:pPr>
        <w:autoSpaceDE w:val="0"/>
        <w:autoSpaceDN w:val="0"/>
        <w:adjustRightInd w:val="0"/>
        <w:spacing w:after="30" w:line="240" w:lineRule="auto"/>
        <w:jc w:val="both"/>
        <w:rPr>
          <w:rFonts w:ascii="Arial" w:hAnsi="Arial" w:cs="Arial"/>
          <w:color w:val="000000"/>
          <w:sz w:val="14"/>
          <w:szCs w:val="14"/>
          <w:lang w:val="x-none"/>
        </w:rPr>
      </w:pPr>
      <w:r>
        <w:rPr>
          <w:rFonts w:ascii="Arial" w:hAnsi="Arial" w:cs="Arial"/>
          <w:color w:val="000000"/>
          <w:sz w:val="14"/>
          <w:szCs w:val="14"/>
          <w:lang w:val="x-none"/>
        </w:rPr>
        <w:tab/>
        <w:t xml:space="preserve">        (nazwa miejscowości)</w:t>
      </w:r>
    </w:p>
    <w:p w14:paraId="0C9C1F18" w14:textId="77777777" w:rsidR="000A3B2B" w:rsidRDefault="000A3B2B" w:rsidP="009E5295">
      <w:pPr>
        <w:tabs>
          <w:tab w:val="right" w:leader="dot" w:pos="7080"/>
        </w:tabs>
        <w:autoSpaceDE w:val="0"/>
        <w:autoSpaceDN w:val="0"/>
        <w:adjustRightInd w:val="0"/>
        <w:spacing w:after="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zaprojektowana przez </w:t>
      </w:r>
      <w:r>
        <w:rPr>
          <w:rFonts w:ascii="Arial" w:hAnsi="Arial" w:cs="Arial"/>
          <w:color w:val="000000"/>
          <w:sz w:val="18"/>
          <w:szCs w:val="18"/>
          <w:lang w:val="x-none"/>
        </w:rPr>
        <w:tab/>
      </w:r>
    </w:p>
    <w:p w14:paraId="5C61A632" w14:textId="77777777" w:rsidR="000A3B2B" w:rsidRDefault="000A3B2B" w:rsidP="009E5295">
      <w:pPr>
        <w:tabs>
          <w:tab w:val="right" w:leader="dot" w:pos="7080"/>
        </w:tabs>
        <w:autoSpaceDE w:val="0"/>
        <w:autoSpaceDN w:val="0"/>
        <w:adjustRightInd w:val="0"/>
        <w:spacing w:after="0" w:line="240" w:lineRule="auto"/>
        <w:jc w:val="both"/>
        <w:rPr>
          <w:rFonts w:ascii="Arial" w:hAnsi="Arial" w:cs="Arial"/>
          <w:color w:val="000000"/>
          <w:sz w:val="18"/>
          <w:szCs w:val="18"/>
          <w:lang w:val="x-none"/>
        </w:rPr>
      </w:pPr>
    </w:p>
    <w:p w14:paraId="2931BB22" w14:textId="77777777" w:rsidR="000A3B2B" w:rsidRDefault="000A3B2B" w:rsidP="009E5295">
      <w:pPr>
        <w:autoSpaceDE w:val="0"/>
        <w:autoSpaceDN w:val="0"/>
        <w:adjustRightInd w:val="0"/>
        <w:spacing w:after="30" w:line="240" w:lineRule="auto"/>
        <w:jc w:val="both"/>
        <w:rPr>
          <w:rFonts w:ascii="Arial" w:hAnsi="Arial" w:cs="Arial"/>
          <w:b/>
          <w:bCs/>
          <w:color w:val="000000"/>
          <w:sz w:val="18"/>
          <w:szCs w:val="18"/>
          <w:lang w:val="x-none"/>
        </w:rPr>
      </w:pPr>
      <w:r>
        <w:rPr>
          <w:rFonts w:ascii="Arial" w:hAnsi="Arial" w:cs="Arial"/>
          <w:b/>
          <w:bCs/>
          <w:color w:val="000000"/>
          <w:sz w:val="18"/>
          <w:szCs w:val="18"/>
          <w:lang w:val="x-none"/>
        </w:rPr>
        <w:t>2. Przedmiot badania</w:t>
      </w:r>
    </w:p>
    <w:p w14:paraId="73E4E190" w14:textId="77777777" w:rsidR="000A3B2B" w:rsidRDefault="000A3B2B" w:rsidP="009E5295">
      <w:pPr>
        <w:tabs>
          <w:tab w:val="right" w:leader="dot" w:pos="7080"/>
        </w:tabs>
        <w:autoSpaceDE w:val="0"/>
        <w:autoSpaceDN w:val="0"/>
        <w:adjustRightInd w:val="0"/>
        <w:spacing w:after="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Badaniem objęto: </w:t>
      </w:r>
      <w:r>
        <w:rPr>
          <w:rFonts w:ascii="Arial" w:hAnsi="Arial" w:cs="Arial"/>
          <w:color w:val="000000"/>
          <w:sz w:val="18"/>
          <w:szCs w:val="18"/>
          <w:lang w:val="x-none"/>
        </w:rPr>
        <w:tab/>
      </w:r>
    </w:p>
    <w:p w14:paraId="2EAE45D4" w14:textId="77777777" w:rsidR="000A3B2B" w:rsidRDefault="000A3B2B" w:rsidP="009E5295">
      <w:pPr>
        <w:tabs>
          <w:tab w:val="right" w:leader="dot" w:pos="7080"/>
        </w:tabs>
        <w:autoSpaceDE w:val="0"/>
        <w:autoSpaceDN w:val="0"/>
        <w:adjustRightInd w:val="0"/>
        <w:spacing w:after="0" w:line="240" w:lineRule="auto"/>
        <w:jc w:val="both"/>
        <w:rPr>
          <w:rFonts w:ascii="Arial" w:hAnsi="Arial" w:cs="Arial"/>
          <w:color w:val="000000"/>
          <w:sz w:val="18"/>
          <w:szCs w:val="18"/>
          <w:lang w:val="x-none"/>
        </w:rPr>
      </w:pPr>
      <w:r>
        <w:rPr>
          <w:rFonts w:ascii="Arial" w:hAnsi="Arial" w:cs="Arial"/>
          <w:color w:val="000000"/>
          <w:sz w:val="18"/>
          <w:szCs w:val="18"/>
          <w:lang w:val="x-none"/>
        </w:rPr>
        <w:tab/>
      </w:r>
    </w:p>
    <w:p w14:paraId="6EB99ADF" w14:textId="77777777" w:rsidR="000A3B2B" w:rsidRDefault="000A3B2B" w:rsidP="009E5295">
      <w:pPr>
        <w:autoSpaceDE w:val="0"/>
        <w:autoSpaceDN w:val="0"/>
        <w:adjustRightInd w:val="0"/>
        <w:spacing w:after="30" w:line="240" w:lineRule="auto"/>
        <w:jc w:val="center"/>
        <w:rPr>
          <w:rFonts w:ascii="Arial" w:hAnsi="Arial" w:cs="Arial"/>
          <w:color w:val="000000"/>
          <w:sz w:val="14"/>
          <w:szCs w:val="14"/>
          <w:lang w:val="x-none"/>
        </w:rPr>
      </w:pPr>
      <w:r>
        <w:rPr>
          <w:rFonts w:ascii="Arial" w:hAnsi="Arial" w:cs="Arial"/>
          <w:color w:val="000000"/>
          <w:sz w:val="14"/>
          <w:szCs w:val="14"/>
          <w:lang w:val="x-none"/>
        </w:rPr>
        <w:t>(opis jednoznacznie identyfikujący zakres instalacji objęty badaniem)</w:t>
      </w:r>
    </w:p>
    <w:p w14:paraId="61775A71" w14:textId="77777777" w:rsidR="000A3B2B" w:rsidRDefault="000A3B2B" w:rsidP="009E5295">
      <w:pPr>
        <w:autoSpaceDE w:val="0"/>
        <w:autoSpaceDN w:val="0"/>
        <w:adjustRightInd w:val="0"/>
        <w:spacing w:after="30" w:line="240" w:lineRule="auto"/>
        <w:jc w:val="center"/>
        <w:rPr>
          <w:rFonts w:ascii="Arial" w:hAnsi="Arial" w:cs="Arial"/>
          <w:color w:val="000000"/>
          <w:sz w:val="14"/>
          <w:szCs w:val="14"/>
          <w:lang w:val="x-none"/>
        </w:rPr>
      </w:pPr>
    </w:p>
    <w:p w14:paraId="3AD57D96" w14:textId="77777777" w:rsidR="000A3B2B" w:rsidRDefault="000A3B2B" w:rsidP="009E5295">
      <w:pPr>
        <w:autoSpaceDE w:val="0"/>
        <w:autoSpaceDN w:val="0"/>
        <w:adjustRightInd w:val="0"/>
        <w:spacing w:after="30" w:line="240" w:lineRule="auto"/>
        <w:jc w:val="both"/>
        <w:rPr>
          <w:rFonts w:ascii="Arial" w:hAnsi="Arial" w:cs="Arial"/>
          <w:b/>
          <w:bCs/>
          <w:color w:val="000000"/>
          <w:sz w:val="18"/>
          <w:szCs w:val="18"/>
          <w:lang w:val="x-none"/>
        </w:rPr>
      </w:pPr>
      <w:r>
        <w:rPr>
          <w:rFonts w:ascii="Arial" w:hAnsi="Arial" w:cs="Arial"/>
          <w:b/>
          <w:bCs/>
          <w:color w:val="000000"/>
          <w:sz w:val="18"/>
          <w:szCs w:val="18"/>
          <w:lang w:val="x-none"/>
        </w:rPr>
        <w:t>3. Skład Komisji</w:t>
      </w:r>
    </w:p>
    <w:tbl>
      <w:tblPr>
        <w:tblW w:w="0" w:type="auto"/>
        <w:tblCellSpacing w:w="0" w:type="dxa"/>
        <w:tblInd w:w="-8" w:type="dxa"/>
        <w:tblLayout w:type="fixed"/>
        <w:tblCellMar>
          <w:left w:w="0" w:type="dxa"/>
          <w:right w:w="0" w:type="dxa"/>
        </w:tblCellMar>
        <w:tblLook w:val="0000" w:firstRow="0" w:lastRow="0" w:firstColumn="0" w:lastColumn="0" w:noHBand="0" w:noVBand="0"/>
      </w:tblPr>
      <w:tblGrid>
        <w:gridCol w:w="502"/>
        <w:gridCol w:w="1380"/>
        <w:gridCol w:w="1320"/>
        <w:gridCol w:w="1320"/>
        <w:gridCol w:w="1320"/>
        <w:gridCol w:w="1320"/>
      </w:tblGrid>
      <w:tr w:rsidR="000A3B2B" w14:paraId="1293EF58" w14:textId="77777777">
        <w:trPr>
          <w:trHeight w:val="60"/>
          <w:tblCellSpacing w:w="0" w:type="dxa"/>
        </w:trPr>
        <w:tc>
          <w:tcPr>
            <w:tcW w:w="502" w:type="dxa"/>
            <w:tcBorders>
              <w:top w:val="single" w:sz="6" w:space="0" w:color="000000"/>
              <w:left w:val="single" w:sz="6" w:space="0" w:color="000000"/>
              <w:bottom w:val="single" w:sz="6" w:space="0" w:color="000000"/>
              <w:right w:val="single" w:sz="6" w:space="0" w:color="000000"/>
            </w:tcBorders>
            <w:vAlign w:val="center"/>
          </w:tcPr>
          <w:p w14:paraId="2B3FC9D9"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Poz.</w:t>
            </w:r>
          </w:p>
        </w:tc>
        <w:tc>
          <w:tcPr>
            <w:tcW w:w="1380" w:type="dxa"/>
            <w:tcBorders>
              <w:top w:val="single" w:sz="6" w:space="0" w:color="000000"/>
              <w:left w:val="single" w:sz="6" w:space="0" w:color="000000"/>
              <w:bottom w:val="single" w:sz="6" w:space="0" w:color="000000"/>
              <w:right w:val="single" w:sz="6" w:space="0" w:color="000000"/>
            </w:tcBorders>
            <w:vAlign w:val="center"/>
          </w:tcPr>
          <w:p w14:paraId="492F41F4"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w:t>
            </w:r>
          </w:p>
        </w:tc>
        <w:tc>
          <w:tcPr>
            <w:tcW w:w="1320" w:type="dxa"/>
            <w:tcBorders>
              <w:top w:val="single" w:sz="6" w:space="0" w:color="000000"/>
              <w:left w:val="single" w:sz="6" w:space="0" w:color="000000"/>
              <w:bottom w:val="single" w:sz="6" w:space="0" w:color="000000"/>
              <w:right w:val="single" w:sz="6" w:space="0" w:color="000000"/>
            </w:tcBorders>
            <w:vAlign w:val="center"/>
          </w:tcPr>
          <w:p w14:paraId="3502095B"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Imię i nazwisko</w:t>
            </w:r>
          </w:p>
        </w:tc>
        <w:tc>
          <w:tcPr>
            <w:tcW w:w="1320" w:type="dxa"/>
            <w:tcBorders>
              <w:top w:val="single" w:sz="6" w:space="0" w:color="000000"/>
              <w:left w:val="single" w:sz="6" w:space="0" w:color="000000"/>
              <w:bottom w:val="single" w:sz="6" w:space="0" w:color="000000"/>
              <w:right w:val="single" w:sz="6" w:space="0" w:color="000000"/>
            </w:tcBorders>
            <w:vAlign w:val="center"/>
          </w:tcPr>
          <w:p w14:paraId="2A2DA820"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Instytucja</w:t>
            </w:r>
          </w:p>
        </w:tc>
        <w:tc>
          <w:tcPr>
            <w:tcW w:w="1320" w:type="dxa"/>
            <w:tcBorders>
              <w:top w:val="single" w:sz="6" w:space="0" w:color="000000"/>
              <w:left w:val="single" w:sz="6" w:space="0" w:color="000000"/>
              <w:bottom w:val="single" w:sz="6" w:space="0" w:color="000000"/>
              <w:right w:val="single" w:sz="6" w:space="0" w:color="000000"/>
            </w:tcBorders>
            <w:vAlign w:val="center"/>
          </w:tcPr>
          <w:p w14:paraId="349792B7"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Stanowisko</w:t>
            </w:r>
          </w:p>
        </w:tc>
        <w:tc>
          <w:tcPr>
            <w:tcW w:w="1320" w:type="dxa"/>
            <w:tcBorders>
              <w:top w:val="single" w:sz="6" w:space="0" w:color="000000"/>
              <w:left w:val="single" w:sz="6" w:space="0" w:color="000000"/>
              <w:bottom w:val="single" w:sz="6" w:space="0" w:color="000000"/>
              <w:right w:val="single" w:sz="6" w:space="0" w:color="000000"/>
            </w:tcBorders>
            <w:vAlign w:val="center"/>
          </w:tcPr>
          <w:p w14:paraId="35E44E13" w14:textId="77777777" w:rsidR="000A3B2B" w:rsidRDefault="000A3B2B">
            <w:pPr>
              <w:autoSpaceDE w:val="0"/>
              <w:autoSpaceDN w:val="0"/>
              <w:adjustRightInd w:val="0"/>
              <w:spacing w:after="30" w:line="240" w:lineRule="auto"/>
              <w:jc w:val="center"/>
              <w:rPr>
                <w:rFonts w:ascii="Arial" w:hAnsi="Arial" w:cs="Arial"/>
                <w:color w:val="000000"/>
                <w:position w:val="4"/>
                <w:sz w:val="8"/>
                <w:szCs w:val="8"/>
                <w:lang w:val="x-none"/>
              </w:rPr>
            </w:pPr>
            <w:r>
              <w:rPr>
                <w:rFonts w:ascii="Arial" w:hAnsi="Arial" w:cs="Arial"/>
                <w:color w:val="000000"/>
                <w:sz w:val="18"/>
                <w:szCs w:val="18"/>
                <w:lang w:val="x-none"/>
              </w:rPr>
              <w:t>Uwagi</w:t>
            </w:r>
            <w:r>
              <w:rPr>
                <w:rFonts w:ascii="Arial" w:hAnsi="Arial" w:cs="Arial"/>
                <w:color w:val="000000"/>
                <w:position w:val="4"/>
                <w:sz w:val="8"/>
                <w:szCs w:val="8"/>
                <w:lang w:val="x-none"/>
              </w:rPr>
              <w:t>1)</w:t>
            </w:r>
          </w:p>
        </w:tc>
      </w:tr>
      <w:tr w:rsidR="000A3B2B" w14:paraId="7951DA42" w14:textId="77777777">
        <w:trPr>
          <w:trHeight w:val="60"/>
          <w:tblCellSpacing w:w="0" w:type="dxa"/>
        </w:trPr>
        <w:tc>
          <w:tcPr>
            <w:tcW w:w="502" w:type="dxa"/>
            <w:tcBorders>
              <w:top w:val="single" w:sz="6" w:space="0" w:color="000000"/>
              <w:left w:val="single" w:sz="6" w:space="0" w:color="000000"/>
              <w:bottom w:val="single" w:sz="6" w:space="0" w:color="000000"/>
              <w:right w:val="single" w:sz="6" w:space="0" w:color="000000"/>
            </w:tcBorders>
            <w:vAlign w:val="center"/>
          </w:tcPr>
          <w:p w14:paraId="5051BE89"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w:t>
            </w:r>
          </w:p>
        </w:tc>
        <w:tc>
          <w:tcPr>
            <w:tcW w:w="1380" w:type="dxa"/>
            <w:tcBorders>
              <w:top w:val="single" w:sz="6" w:space="0" w:color="000000"/>
              <w:left w:val="single" w:sz="6" w:space="0" w:color="000000"/>
              <w:bottom w:val="single" w:sz="6" w:space="0" w:color="000000"/>
              <w:right w:val="single" w:sz="6" w:space="0" w:color="000000"/>
            </w:tcBorders>
            <w:vAlign w:val="center"/>
          </w:tcPr>
          <w:p w14:paraId="6B07771E"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Inwestor</w:t>
            </w:r>
          </w:p>
        </w:tc>
        <w:tc>
          <w:tcPr>
            <w:tcW w:w="1320" w:type="dxa"/>
            <w:tcBorders>
              <w:top w:val="single" w:sz="6" w:space="0" w:color="000000"/>
              <w:left w:val="single" w:sz="6" w:space="0" w:color="000000"/>
              <w:bottom w:val="single" w:sz="6" w:space="0" w:color="000000"/>
              <w:right w:val="single" w:sz="6" w:space="0" w:color="000000"/>
            </w:tcBorders>
            <w:vAlign w:val="center"/>
          </w:tcPr>
          <w:p w14:paraId="1871A293"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1320" w:type="dxa"/>
            <w:tcBorders>
              <w:top w:val="single" w:sz="6" w:space="0" w:color="000000"/>
              <w:left w:val="single" w:sz="6" w:space="0" w:color="000000"/>
              <w:bottom w:val="single" w:sz="6" w:space="0" w:color="000000"/>
              <w:right w:val="single" w:sz="6" w:space="0" w:color="000000"/>
            </w:tcBorders>
            <w:vAlign w:val="center"/>
          </w:tcPr>
          <w:p w14:paraId="5A76B1CD"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1320" w:type="dxa"/>
            <w:tcBorders>
              <w:top w:val="single" w:sz="6" w:space="0" w:color="000000"/>
              <w:left w:val="single" w:sz="6" w:space="0" w:color="000000"/>
              <w:bottom w:val="single" w:sz="6" w:space="0" w:color="000000"/>
              <w:right w:val="single" w:sz="6" w:space="0" w:color="000000"/>
            </w:tcBorders>
            <w:vAlign w:val="center"/>
          </w:tcPr>
          <w:p w14:paraId="168FDB7E"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1320" w:type="dxa"/>
            <w:tcBorders>
              <w:top w:val="single" w:sz="6" w:space="0" w:color="000000"/>
              <w:left w:val="single" w:sz="6" w:space="0" w:color="000000"/>
              <w:bottom w:val="single" w:sz="6" w:space="0" w:color="000000"/>
              <w:right w:val="single" w:sz="6" w:space="0" w:color="000000"/>
            </w:tcBorders>
            <w:vAlign w:val="center"/>
          </w:tcPr>
          <w:p w14:paraId="27E43855" w14:textId="77777777" w:rsidR="000A3B2B" w:rsidRDefault="000A3B2B">
            <w:pPr>
              <w:autoSpaceDE w:val="0"/>
              <w:autoSpaceDN w:val="0"/>
              <w:adjustRightInd w:val="0"/>
              <w:spacing w:after="0" w:line="240" w:lineRule="auto"/>
              <w:rPr>
                <w:rFonts w:ascii="Arial" w:hAnsi="Arial" w:cs="Arial"/>
                <w:sz w:val="24"/>
                <w:szCs w:val="24"/>
                <w:lang w:val="x-none"/>
              </w:rPr>
            </w:pPr>
          </w:p>
        </w:tc>
      </w:tr>
      <w:tr w:rsidR="000A3B2B" w14:paraId="27082524" w14:textId="77777777">
        <w:trPr>
          <w:trHeight w:val="60"/>
          <w:tblCellSpacing w:w="0" w:type="dxa"/>
        </w:trPr>
        <w:tc>
          <w:tcPr>
            <w:tcW w:w="502" w:type="dxa"/>
            <w:tcBorders>
              <w:top w:val="single" w:sz="6" w:space="0" w:color="000000"/>
              <w:left w:val="single" w:sz="6" w:space="0" w:color="000000"/>
              <w:bottom w:val="single" w:sz="6" w:space="0" w:color="000000"/>
              <w:right w:val="single" w:sz="6" w:space="0" w:color="000000"/>
            </w:tcBorders>
            <w:vAlign w:val="center"/>
          </w:tcPr>
          <w:p w14:paraId="542F1DD2"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2.</w:t>
            </w:r>
          </w:p>
        </w:tc>
        <w:tc>
          <w:tcPr>
            <w:tcW w:w="1380" w:type="dxa"/>
            <w:tcBorders>
              <w:top w:val="single" w:sz="6" w:space="0" w:color="000000"/>
              <w:left w:val="single" w:sz="6" w:space="0" w:color="000000"/>
              <w:bottom w:val="single" w:sz="6" w:space="0" w:color="000000"/>
              <w:right w:val="single" w:sz="6" w:space="0" w:color="000000"/>
            </w:tcBorders>
            <w:vAlign w:val="center"/>
          </w:tcPr>
          <w:p w14:paraId="2E97E745"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Wykonawca</w:t>
            </w:r>
          </w:p>
        </w:tc>
        <w:tc>
          <w:tcPr>
            <w:tcW w:w="1320" w:type="dxa"/>
            <w:tcBorders>
              <w:top w:val="single" w:sz="6" w:space="0" w:color="000000"/>
              <w:left w:val="single" w:sz="6" w:space="0" w:color="000000"/>
              <w:bottom w:val="single" w:sz="6" w:space="0" w:color="000000"/>
              <w:right w:val="single" w:sz="6" w:space="0" w:color="000000"/>
            </w:tcBorders>
            <w:vAlign w:val="center"/>
          </w:tcPr>
          <w:p w14:paraId="148FFDB6"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1320" w:type="dxa"/>
            <w:tcBorders>
              <w:top w:val="single" w:sz="6" w:space="0" w:color="000000"/>
              <w:left w:val="single" w:sz="6" w:space="0" w:color="000000"/>
              <w:bottom w:val="single" w:sz="6" w:space="0" w:color="000000"/>
              <w:right w:val="single" w:sz="6" w:space="0" w:color="000000"/>
            </w:tcBorders>
            <w:vAlign w:val="center"/>
          </w:tcPr>
          <w:p w14:paraId="7304F912"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1320" w:type="dxa"/>
            <w:tcBorders>
              <w:top w:val="single" w:sz="6" w:space="0" w:color="000000"/>
              <w:left w:val="single" w:sz="6" w:space="0" w:color="000000"/>
              <w:bottom w:val="single" w:sz="6" w:space="0" w:color="000000"/>
              <w:right w:val="single" w:sz="6" w:space="0" w:color="000000"/>
            </w:tcBorders>
            <w:vAlign w:val="center"/>
          </w:tcPr>
          <w:p w14:paraId="20D40C18"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1320" w:type="dxa"/>
            <w:tcBorders>
              <w:top w:val="single" w:sz="6" w:space="0" w:color="000000"/>
              <w:left w:val="single" w:sz="6" w:space="0" w:color="000000"/>
              <w:bottom w:val="single" w:sz="6" w:space="0" w:color="000000"/>
              <w:right w:val="single" w:sz="6" w:space="0" w:color="000000"/>
            </w:tcBorders>
            <w:vAlign w:val="center"/>
          </w:tcPr>
          <w:p w14:paraId="01E0C592" w14:textId="77777777" w:rsidR="000A3B2B" w:rsidRDefault="000A3B2B">
            <w:pPr>
              <w:autoSpaceDE w:val="0"/>
              <w:autoSpaceDN w:val="0"/>
              <w:adjustRightInd w:val="0"/>
              <w:spacing w:after="0" w:line="240" w:lineRule="auto"/>
              <w:rPr>
                <w:rFonts w:ascii="Arial" w:hAnsi="Arial" w:cs="Arial"/>
                <w:sz w:val="24"/>
                <w:szCs w:val="24"/>
                <w:lang w:val="x-none"/>
              </w:rPr>
            </w:pPr>
          </w:p>
        </w:tc>
      </w:tr>
      <w:tr w:rsidR="000A3B2B" w14:paraId="5923B043" w14:textId="77777777">
        <w:trPr>
          <w:trHeight w:val="60"/>
          <w:tblCellSpacing w:w="0" w:type="dxa"/>
        </w:trPr>
        <w:tc>
          <w:tcPr>
            <w:tcW w:w="502" w:type="dxa"/>
            <w:tcBorders>
              <w:top w:val="single" w:sz="6" w:space="0" w:color="000000"/>
              <w:left w:val="single" w:sz="6" w:space="0" w:color="000000"/>
              <w:bottom w:val="single" w:sz="6" w:space="0" w:color="000000"/>
              <w:right w:val="single" w:sz="6" w:space="0" w:color="000000"/>
            </w:tcBorders>
            <w:vAlign w:val="center"/>
          </w:tcPr>
          <w:p w14:paraId="7E85AB45"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3.</w:t>
            </w:r>
          </w:p>
        </w:tc>
        <w:tc>
          <w:tcPr>
            <w:tcW w:w="1380" w:type="dxa"/>
            <w:tcBorders>
              <w:top w:val="single" w:sz="6" w:space="0" w:color="000000"/>
              <w:left w:val="single" w:sz="6" w:space="0" w:color="000000"/>
              <w:bottom w:val="single" w:sz="6" w:space="0" w:color="000000"/>
              <w:right w:val="single" w:sz="6" w:space="0" w:color="000000"/>
            </w:tcBorders>
            <w:vAlign w:val="center"/>
          </w:tcPr>
          <w:p w14:paraId="69087B10"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Nadzór</w:t>
            </w:r>
          </w:p>
        </w:tc>
        <w:tc>
          <w:tcPr>
            <w:tcW w:w="1320" w:type="dxa"/>
            <w:tcBorders>
              <w:top w:val="single" w:sz="6" w:space="0" w:color="000000"/>
              <w:left w:val="single" w:sz="6" w:space="0" w:color="000000"/>
              <w:bottom w:val="single" w:sz="6" w:space="0" w:color="000000"/>
              <w:right w:val="single" w:sz="6" w:space="0" w:color="000000"/>
            </w:tcBorders>
            <w:vAlign w:val="center"/>
          </w:tcPr>
          <w:p w14:paraId="0565FE8A"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1320" w:type="dxa"/>
            <w:tcBorders>
              <w:top w:val="single" w:sz="6" w:space="0" w:color="000000"/>
              <w:left w:val="single" w:sz="6" w:space="0" w:color="000000"/>
              <w:bottom w:val="single" w:sz="6" w:space="0" w:color="000000"/>
              <w:right w:val="single" w:sz="6" w:space="0" w:color="000000"/>
            </w:tcBorders>
            <w:vAlign w:val="center"/>
          </w:tcPr>
          <w:p w14:paraId="34E2B2EC"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1320" w:type="dxa"/>
            <w:tcBorders>
              <w:top w:val="single" w:sz="6" w:space="0" w:color="000000"/>
              <w:left w:val="single" w:sz="6" w:space="0" w:color="000000"/>
              <w:bottom w:val="single" w:sz="6" w:space="0" w:color="000000"/>
              <w:right w:val="single" w:sz="6" w:space="0" w:color="000000"/>
            </w:tcBorders>
            <w:vAlign w:val="center"/>
          </w:tcPr>
          <w:p w14:paraId="77F6E9D0"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1320" w:type="dxa"/>
            <w:tcBorders>
              <w:top w:val="single" w:sz="6" w:space="0" w:color="000000"/>
              <w:left w:val="single" w:sz="6" w:space="0" w:color="000000"/>
              <w:bottom w:val="single" w:sz="6" w:space="0" w:color="000000"/>
              <w:right w:val="single" w:sz="6" w:space="0" w:color="000000"/>
            </w:tcBorders>
            <w:vAlign w:val="center"/>
          </w:tcPr>
          <w:p w14:paraId="5674C7D9" w14:textId="77777777" w:rsidR="000A3B2B" w:rsidRDefault="000A3B2B">
            <w:pPr>
              <w:autoSpaceDE w:val="0"/>
              <w:autoSpaceDN w:val="0"/>
              <w:adjustRightInd w:val="0"/>
              <w:spacing w:after="0" w:line="240" w:lineRule="auto"/>
              <w:rPr>
                <w:rFonts w:ascii="Arial" w:hAnsi="Arial" w:cs="Arial"/>
                <w:sz w:val="24"/>
                <w:szCs w:val="24"/>
                <w:lang w:val="x-none"/>
              </w:rPr>
            </w:pPr>
          </w:p>
        </w:tc>
      </w:tr>
      <w:tr w:rsidR="000A3B2B" w14:paraId="190D9A2F" w14:textId="77777777">
        <w:trPr>
          <w:trHeight w:val="60"/>
          <w:tblCellSpacing w:w="0" w:type="dxa"/>
        </w:trPr>
        <w:tc>
          <w:tcPr>
            <w:tcW w:w="502" w:type="dxa"/>
            <w:tcBorders>
              <w:top w:val="single" w:sz="6" w:space="0" w:color="000000"/>
              <w:left w:val="single" w:sz="6" w:space="0" w:color="000000"/>
              <w:bottom w:val="single" w:sz="6" w:space="0" w:color="000000"/>
              <w:right w:val="single" w:sz="6" w:space="0" w:color="000000"/>
            </w:tcBorders>
            <w:vAlign w:val="center"/>
          </w:tcPr>
          <w:p w14:paraId="492DF1C6"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4.</w:t>
            </w:r>
          </w:p>
        </w:tc>
        <w:tc>
          <w:tcPr>
            <w:tcW w:w="1380" w:type="dxa"/>
            <w:tcBorders>
              <w:top w:val="single" w:sz="6" w:space="0" w:color="000000"/>
              <w:left w:val="single" w:sz="6" w:space="0" w:color="000000"/>
              <w:bottom w:val="single" w:sz="6" w:space="0" w:color="000000"/>
              <w:right w:val="single" w:sz="6" w:space="0" w:color="000000"/>
            </w:tcBorders>
            <w:vAlign w:val="center"/>
          </w:tcPr>
          <w:p w14:paraId="02A1274E"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Użytkownik</w:t>
            </w:r>
          </w:p>
        </w:tc>
        <w:tc>
          <w:tcPr>
            <w:tcW w:w="1320" w:type="dxa"/>
            <w:tcBorders>
              <w:top w:val="single" w:sz="6" w:space="0" w:color="000000"/>
              <w:left w:val="single" w:sz="6" w:space="0" w:color="000000"/>
              <w:bottom w:val="single" w:sz="6" w:space="0" w:color="000000"/>
              <w:right w:val="single" w:sz="6" w:space="0" w:color="000000"/>
            </w:tcBorders>
            <w:vAlign w:val="center"/>
          </w:tcPr>
          <w:p w14:paraId="7B6D7DCD"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1320" w:type="dxa"/>
            <w:tcBorders>
              <w:top w:val="single" w:sz="6" w:space="0" w:color="000000"/>
              <w:left w:val="single" w:sz="6" w:space="0" w:color="000000"/>
              <w:bottom w:val="single" w:sz="6" w:space="0" w:color="000000"/>
              <w:right w:val="single" w:sz="6" w:space="0" w:color="000000"/>
            </w:tcBorders>
            <w:vAlign w:val="center"/>
          </w:tcPr>
          <w:p w14:paraId="32801098"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1320" w:type="dxa"/>
            <w:tcBorders>
              <w:top w:val="single" w:sz="6" w:space="0" w:color="000000"/>
              <w:left w:val="single" w:sz="6" w:space="0" w:color="000000"/>
              <w:bottom w:val="single" w:sz="6" w:space="0" w:color="000000"/>
              <w:right w:val="single" w:sz="6" w:space="0" w:color="000000"/>
            </w:tcBorders>
            <w:vAlign w:val="center"/>
          </w:tcPr>
          <w:p w14:paraId="76097001"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1320" w:type="dxa"/>
            <w:tcBorders>
              <w:top w:val="single" w:sz="6" w:space="0" w:color="000000"/>
              <w:left w:val="single" w:sz="6" w:space="0" w:color="000000"/>
              <w:bottom w:val="single" w:sz="6" w:space="0" w:color="000000"/>
              <w:right w:val="single" w:sz="6" w:space="0" w:color="000000"/>
            </w:tcBorders>
            <w:vAlign w:val="center"/>
          </w:tcPr>
          <w:p w14:paraId="631ADFEE" w14:textId="77777777" w:rsidR="000A3B2B" w:rsidRDefault="000A3B2B">
            <w:pPr>
              <w:autoSpaceDE w:val="0"/>
              <w:autoSpaceDN w:val="0"/>
              <w:adjustRightInd w:val="0"/>
              <w:spacing w:after="0" w:line="240" w:lineRule="auto"/>
              <w:rPr>
                <w:rFonts w:ascii="Arial" w:hAnsi="Arial" w:cs="Arial"/>
                <w:sz w:val="24"/>
                <w:szCs w:val="24"/>
                <w:lang w:val="x-none"/>
              </w:rPr>
            </w:pPr>
          </w:p>
        </w:tc>
      </w:tr>
      <w:tr w:rsidR="000A3B2B" w14:paraId="73BB4257" w14:textId="77777777">
        <w:trPr>
          <w:trHeight w:val="60"/>
          <w:tblCellSpacing w:w="0" w:type="dxa"/>
        </w:trPr>
        <w:tc>
          <w:tcPr>
            <w:tcW w:w="502" w:type="dxa"/>
            <w:tcBorders>
              <w:top w:val="single" w:sz="6" w:space="0" w:color="000000"/>
              <w:left w:val="single" w:sz="6" w:space="0" w:color="000000"/>
              <w:bottom w:val="single" w:sz="6" w:space="0" w:color="000000"/>
              <w:right w:val="single" w:sz="6" w:space="0" w:color="000000"/>
            </w:tcBorders>
            <w:vAlign w:val="center"/>
          </w:tcPr>
          <w:p w14:paraId="39E0C60E"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5.</w:t>
            </w:r>
          </w:p>
        </w:tc>
        <w:tc>
          <w:tcPr>
            <w:tcW w:w="1380" w:type="dxa"/>
            <w:tcBorders>
              <w:top w:val="single" w:sz="6" w:space="0" w:color="000000"/>
              <w:left w:val="single" w:sz="6" w:space="0" w:color="000000"/>
              <w:bottom w:val="single" w:sz="6" w:space="0" w:color="000000"/>
              <w:right w:val="single" w:sz="6" w:space="0" w:color="000000"/>
            </w:tcBorders>
            <w:vAlign w:val="center"/>
          </w:tcPr>
          <w:p w14:paraId="7F1ADDC6"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Projektant</w:t>
            </w:r>
          </w:p>
        </w:tc>
        <w:tc>
          <w:tcPr>
            <w:tcW w:w="1320" w:type="dxa"/>
            <w:tcBorders>
              <w:top w:val="single" w:sz="6" w:space="0" w:color="000000"/>
              <w:left w:val="single" w:sz="6" w:space="0" w:color="000000"/>
              <w:bottom w:val="single" w:sz="6" w:space="0" w:color="000000"/>
              <w:right w:val="single" w:sz="6" w:space="0" w:color="000000"/>
            </w:tcBorders>
            <w:vAlign w:val="center"/>
          </w:tcPr>
          <w:p w14:paraId="44BAFB34"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1320" w:type="dxa"/>
            <w:tcBorders>
              <w:top w:val="single" w:sz="6" w:space="0" w:color="000000"/>
              <w:left w:val="single" w:sz="6" w:space="0" w:color="000000"/>
              <w:bottom w:val="single" w:sz="6" w:space="0" w:color="000000"/>
              <w:right w:val="single" w:sz="6" w:space="0" w:color="000000"/>
            </w:tcBorders>
            <w:vAlign w:val="center"/>
          </w:tcPr>
          <w:p w14:paraId="5443C08C"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1320" w:type="dxa"/>
            <w:tcBorders>
              <w:top w:val="single" w:sz="6" w:space="0" w:color="000000"/>
              <w:left w:val="single" w:sz="6" w:space="0" w:color="000000"/>
              <w:bottom w:val="single" w:sz="6" w:space="0" w:color="000000"/>
              <w:right w:val="single" w:sz="6" w:space="0" w:color="000000"/>
            </w:tcBorders>
            <w:vAlign w:val="center"/>
          </w:tcPr>
          <w:p w14:paraId="463E9FB6"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1320" w:type="dxa"/>
            <w:tcBorders>
              <w:top w:val="single" w:sz="6" w:space="0" w:color="000000"/>
              <w:left w:val="single" w:sz="6" w:space="0" w:color="000000"/>
              <w:bottom w:val="single" w:sz="6" w:space="0" w:color="000000"/>
              <w:right w:val="single" w:sz="6" w:space="0" w:color="000000"/>
            </w:tcBorders>
            <w:vAlign w:val="center"/>
          </w:tcPr>
          <w:p w14:paraId="6B81F5B0" w14:textId="77777777" w:rsidR="000A3B2B" w:rsidRDefault="000A3B2B">
            <w:pPr>
              <w:autoSpaceDE w:val="0"/>
              <w:autoSpaceDN w:val="0"/>
              <w:adjustRightInd w:val="0"/>
              <w:spacing w:after="0" w:line="240" w:lineRule="auto"/>
              <w:rPr>
                <w:rFonts w:ascii="Arial" w:hAnsi="Arial" w:cs="Arial"/>
                <w:sz w:val="24"/>
                <w:szCs w:val="24"/>
                <w:lang w:val="x-none"/>
              </w:rPr>
            </w:pPr>
          </w:p>
        </w:tc>
      </w:tr>
      <w:tr w:rsidR="000A3B2B" w14:paraId="2D7B6527" w14:textId="77777777">
        <w:trPr>
          <w:trHeight w:val="60"/>
          <w:tblCellSpacing w:w="0" w:type="dxa"/>
        </w:trPr>
        <w:tc>
          <w:tcPr>
            <w:tcW w:w="7162" w:type="dxa"/>
            <w:gridSpan w:val="6"/>
            <w:tcBorders>
              <w:top w:val="single" w:sz="6" w:space="0" w:color="000000"/>
              <w:left w:val="single" w:sz="6" w:space="0" w:color="000000"/>
              <w:bottom w:val="single" w:sz="6" w:space="0" w:color="000000"/>
              <w:right w:val="single" w:sz="6" w:space="0" w:color="000000"/>
            </w:tcBorders>
            <w:vAlign w:val="center"/>
          </w:tcPr>
          <w:p w14:paraId="71ED08E6" w14:textId="77777777" w:rsidR="000A3B2B" w:rsidRDefault="000A3B2B">
            <w:pPr>
              <w:autoSpaceDE w:val="0"/>
              <w:autoSpaceDN w:val="0"/>
              <w:adjustRightInd w:val="0"/>
              <w:spacing w:after="30" w:line="240" w:lineRule="auto"/>
              <w:ind w:left="165" w:hanging="165"/>
              <w:jc w:val="both"/>
              <w:rPr>
                <w:rFonts w:ascii="Arial" w:hAnsi="Arial" w:cs="Arial"/>
                <w:color w:val="000000"/>
                <w:sz w:val="16"/>
                <w:szCs w:val="16"/>
                <w:lang w:val="x-none"/>
              </w:rPr>
            </w:pPr>
            <w:r>
              <w:rPr>
                <w:rFonts w:ascii="Arial" w:hAnsi="Arial" w:cs="Arial"/>
                <w:color w:val="000000"/>
                <w:position w:val="4"/>
                <w:sz w:val="8"/>
                <w:szCs w:val="8"/>
                <w:lang w:val="x-none"/>
              </w:rPr>
              <w:t>1)</w:t>
            </w:r>
            <w:r>
              <w:rPr>
                <w:rFonts w:ascii="Arial" w:hAnsi="Arial" w:cs="Arial"/>
                <w:color w:val="000000"/>
                <w:sz w:val="16"/>
                <w:szCs w:val="16"/>
                <w:lang w:val="x-none"/>
              </w:rPr>
              <w:t xml:space="preserve">  dla osób pełniących samodzielne funkcje w budownictwie, numer uprawnień budowlanych</w:t>
            </w:r>
          </w:p>
        </w:tc>
      </w:tr>
    </w:tbl>
    <w:p w14:paraId="71E45DE9"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ab/>
      </w:r>
    </w:p>
    <w:p w14:paraId="60F39E31" w14:textId="77777777" w:rsidR="000A3B2B" w:rsidRDefault="000A3B2B" w:rsidP="009E5295">
      <w:pPr>
        <w:autoSpaceDE w:val="0"/>
        <w:autoSpaceDN w:val="0"/>
        <w:adjustRightInd w:val="0"/>
        <w:spacing w:after="30" w:line="240" w:lineRule="auto"/>
        <w:jc w:val="both"/>
        <w:rPr>
          <w:rFonts w:ascii="Arial" w:hAnsi="Arial" w:cs="Arial"/>
          <w:b/>
          <w:bCs/>
          <w:color w:val="000000"/>
          <w:sz w:val="18"/>
          <w:szCs w:val="18"/>
          <w:lang w:val="x-none"/>
        </w:rPr>
      </w:pPr>
      <w:r>
        <w:rPr>
          <w:rFonts w:ascii="Arial" w:hAnsi="Arial" w:cs="Arial"/>
          <w:b/>
          <w:bCs/>
          <w:color w:val="000000"/>
          <w:sz w:val="18"/>
          <w:szCs w:val="18"/>
          <w:lang w:val="x-none"/>
        </w:rPr>
        <w:t>4. Opis badania:</w:t>
      </w:r>
    </w:p>
    <w:p w14:paraId="7D08A307" w14:textId="77777777" w:rsidR="000A3B2B" w:rsidRDefault="000A3B2B" w:rsidP="009E5295">
      <w:pPr>
        <w:tabs>
          <w:tab w:val="right" w:leader="dot" w:pos="7080"/>
        </w:tabs>
        <w:autoSpaceDE w:val="0"/>
        <w:autoSpaceDN w:val="0"/>
        <w:adjustRightInd w:val="0"/>
        <w:spacing w:after="0" w:line="240" w:lineRule="auto"/>
        <w:jc w:val="both"/>
        <w:rPr>
          <w:rFonts w:ascii="Arial" w:hAnsi="Arial" w:cs="Arial"/>
          <w:color w:val="000000"/>
          <w:sz w:val="18"/>
          <w:szCs w:val="18"/>
          <w:lang w:val="x-none"/>
        </w:rPr>
      </w:pPr>
      <w:r>
        <w:rPr>
          <w:rFonts w:ascii="Arial" w:hAnsi="Arial" w:cs="Arial"/>
          <w:color w:val="000000"/>
          <w:sz w:val="18"/>
          <w:szCs w:val="18"/>
          <w:lang w:val="x-none"/>
        </w:rPr>
        <w:tab/>
      </w:r>
    </w:p>
    <w:p w14:paraId="4F632C98" w14:textId="77777777" w:rsidR="000A3B2B" w:rsidRDefault="000A3B2B" w:rsidP="009E5295">
      <w:pPr>
        <w:tabs>
          <w:tab w:val="right" w:leader="dot" w:pos="7080"/>
        </w:tabs>
        <w:autoSpaceDE w:val="0"/>
        <w:autoSpaceDN w:val="0"/>
        <w:adjustRightInd w:val="0"/>
        <w:spacing w:after="0" w:line="240" w:lineRule="auto"/>
        <w:jc w:val="both"/>
        <w:rPr>
          <w:rFonts w:ascii="Arial" w:hAnsi="Arial" w:cs="Arial"/>
          <w:color w:val="000000"/>
          <w:sz w:val="18"/>
          <w:szCs w:val="18"/>
          <w:lang w:val="x-none"/>
        </w:rPr>
      </w:pPr>
      <w:r>
        <w:rPr>
          <w:rFonts w:ascii="Arial" w:hAnsi="Arial" w:cs="Arial"/>
          <w:color w:val="000000"/>
          <w:sz w:val="18"/>
          <w:szCs w:val="18"/>
          <w:lang w:val="x-none"/>
        </w:rPr>
        <w:tab/>
      </w:r>
    </w:p>
    <w:p w14:paraId="2AB2902C" w14:textId="77777777" w:rsidR="000A3B2B" w:rsidRDefault="000A3B2B" w:rsidP="009E5295">
      <w:pPr>
        <w:tabs>
          <w:tab w:val="right" w:leader="dot" w:pos="7080"/>
        </w:tabs>
        <w:autoSpaceDE w:val="0"/>
        <w:autoSpaceDN w:val="0"/>
        <w:adjustRightInd w:val="0"/>
        <w:spacing w:after="0" w:line="240" w:lineRule="auto"/>
        <w:jc w:val="both"/>
        <w:rPr>
          <w:rFonts w:ascii="Arial" w:hAnsi="Arial" w:cs="Arial"/>
          <w:color w:val="000000"/>
          <w:sz w:val="18"/>
          <w:szCs w:val="18"/>
          <w:lang w:val="x-none"/>
        </w:rPr>
      </w:pPr>
    </w:p>
    <w:p w14:paraId="1F51B05E" w14:textId="77777777" w:rsidR="000A3B2B" w:rsidRDefault="000A3B2B" w:rsidP="009E5295">
      <w:pPr>
        <w:autoSpaceDE w:val="0"/>
        <w:autoSpaceDN w:val="0"/>
        <w:adjustRightInd w:val="0"/>
        <w:spacing w:after="30" w:line="240" w:lineRule="auto"/>
        <w:jc w:val="both"/>
        <w:rPr>
          <w:rFonts w:ascii="Arial" w:hAnsi="Arial" w:cs="Arial"/>
          <w:b/>
          <w:bCs/>
          <w:color w:val="000000"/>
          <w:sz w:val="18"/>
          <w:szCs w:val="18"/>
          <w:lang w:val="x-none"/>
        </w:rPr>
      </w:pPr>
      <w:r>
        <w:rPr>
          <w:rFonts w:ascii="Arial" w:hAnsi="Arial" w:cs="Arial"/>
          <w:b/>
          <w:bCs/>
          <w:color w:val="000000"/>
          <w:sz w:val="18"/>
          <w:szCs w:val="18"/>
          <w:lang w:val="x-none"/>
        </w:rPr>
        <w:t>5. Wykonawca załączył do protokołu następujące dokumenty:</w:t>
      </w:r>
    </w:p>
    <w:p w14:paraId="1BE7CB76" w14:textId="77777777" w:rsidR="000A3B2B" w:rsidRDefault="000A3B2B" w:rsidP="009E5295">
      <w:pPr>
        <w:tabs>
          <w:tab w:val="right" w:leader="dot" w:pos="7080"/>
        </w:tabs>
        <w:autoSpaceDE w:val="0"/>
        <w:autoSpaceDN w:val="0"/>
        <w:adjustRightInd w:val="0"/>
        <w:spacing w:after="0" w:line="240" w:lineRule="auto"/>
        <w:jc w:val="both"/>
        <w:rPr>
          <w:rFonts w:ascii="Arial" w:hAnsi="Arial" w:cs="Arial"/>
          <w:color w:val="000000"/>
          <w:sz w:val="18"/>
          <w:szCs w:val="18"/>
          <w:lang w:val="x-none"/>
        </w:rPr>
      </w:pPr>
      <w:r>
        <w:rPr>
          <w:rFonts w:ascii="Arial" w:hAnsi="Arial" w:cs="Arial"/>
          <w:color w:val="000000"/>
          <w:sz w:val="18"/>
          <w:szCs w:val="18"/>
          <w:lang w:val="x-none"/>
        </w:rPr>
        <w:tab/>
      </w:r>
    </w:p>
    <w:p w14:paraId="26752205" w14:textId="77777777" w:rsidR="000A3B2B" w:rsidRDefault="000A3B2B" w:rsidP="009E5295">
      <w:pPr>
        <w:tabs>
          <w:tab w:val="right" w:leader="dot" w:pos="7080"/>
        </w:tabs>
        <w:autoSpaceDE w:val="0"/>
        <w:autoSpaceDN w:val="0"/>
        <w:adjustRightInd w:val="0"/>
        <w:spacing w:after="0" w:line="240" w:lineRule="auto"/>
        <w:jc w:val="both"/>
        <w:rPr>
          <w:rFonts w:ascii="Arial" w:hAnsi="Arial" w:cs="Arial"/>
          <w:color w:val="000000"/>
          <w:sz w:val="18"/>
          <w:szCs w:val="18"/>
          <w:lang w:val="x-none"/>
        </w:rPr>
      </w:pPr>
      <w:r>
        <w:rPr>
          <w:rFonts w:ascii="Arial" w:hAnsi="Arial" w:cs="Arial"/>
          <w:color w:val="000000"/>
          <w:sz w:val="18"/>
          <w:szCs w:val="18"/>
          <w:lang w:val="x-none"/>
        </w:rPr>
        <w:tab/>
      </w:r>
    </w:p>
    <w:p w14:paraId="76A6DD79" w14:textId="77777777" w:rsidR="000A3B2B" w:rsidRDefault="000A3B2B" w:rsidP="009E5295">
      <w:pPr>
        <w:autoSpaceDE w:val="0"/>
        <w:autoSpaceDN w:val="0"/>
        <w:adjustRightInd w:val="0"/>
        <w:spacing w:after="30" w:line="240" w:lineRule="auto"/>
        <w:ind w:left="285" w:hanging="285"/>
        <w:jc w:val="both"/>
        <w:rPr>
          <w:rFonts w:ascii="Arial" w:hAnsi="Arial" w:cs="Arial"/>
          <w:b/>
          <w:bCs/>
          <w:color w:val="000000"/>
          <w:sz w:val="18"/>
          <w:szCs w:val="18"/>
          <w:lang w:val="x-none"/>
        </w:rPr>
      </w:pPr>
    </w:p>
    <w:p w14:paraId="7A8B6BFB" w14:textId="77777777" w:rsidR="000A3B2B" w:rsidRDefault="000A3B2B" w:rsidP="009E5295">
      <w:pPr>
        <w:autoSpaceDE w:val="0"/>
        <w:autoSpaceDN w:val="0"/>
        <w:adjustRightInd w:val="0"/>
        <w:spacing w:after="3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6. Komisja stwierdza, że badanie:</w:t>
      </w:r>
    </w:p>
    <w:p w14:paraId="51BA744B" w14:textId="77777777" w:rsidR="000A3B2B" w:rsidRDefault="000A3B2B" w:rsidP="009E5295">
      <w:pPr>
        <w:autoSpaceDE w:val="0"/>
        <w:autoSpaceDN w:val="0"/>
        <w:adjustRightInd w:val="0"/>
        <w:spacing w:after="3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6.1.</w:t>
      </w:r>
      <w:r>
        <w:rPr>
          <w:rFonts w:ascii="Arial" w:hAnsi="Arial" w:cs="Arial"/>
          <w:b/>
          <w:bCs/>
          <w:color w:val="000000"/>
          <w:sz w:val="18"/>
          <w:szCs w:val="18"/>
          <w:lang w:val="x-none"/>
        </w:rPr>
        <w:tab/>
        <w:t>zostało przeprowadzone z wynikiem (pozytywnym)* (negatywnym)*</w:t>
      </w:r>
    </w:p>
    <w:p w14:paraId="790C41AD" w14:textId="77777777" w:rsidR="000A3B2B" w:rsidRDefault="000A3B2B" w:rsidP="009E5295">
      <w:pPr>
        <w:autoSpaceDE w:val="0"/>
        <w:autoSpaceDN w:val="0"/>
        <w:adjustRightInd w:val="0"/>
        <w:spacing w:after="3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6.2.</w:t>
      </w:r>
      <w:r>
        <w:rPr>
          <w:rFonts w:ascii="Arial" w:hAnsi="Arial" w:cs="Arial"/>
          <w:b/>
          <w:bCs/>
          <w:color w:val="000000"/>
          <w:sz w:val="18"/>
          <w:szCs w:val="18"/>
          <w:lang w:val="x-none"/>
        </w:rPr>
        <w:tab/>
        <w:t>ponieważ wynik badania był negatywny, instalacja powinna zostać przedstawiona do badania w terminie do dnia  ...................................*</w:t>
      </w:r>
    </w:p>
    <w:p w14:paraId="66408148"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Na odwrotnej stronie niniejszego protokołu (nie zostały zamieszczone)* (zostały zamieszczone)* i podpisane inne ustalenia Komisji dotyczące przeprowadzonego badania.</w:t>
      </w:r>
    </w:p>
    <w:p w14:paraId="53AC95AD" w14:textId="77777777" w:rsidR="000A3B2B" w:rsidRDefault="000A3B2B" w:rsidP="009E5295">
      <w:pPr>
        <w:autoSpaceDE w:val="0"/>
        <w:autoSpaceDN w:val="0"/>
        <w:adjustRightInd w:val="0"/>
        <w:spacing w:after="30" w:line="240" w:lineRule="auto"/>
        <w:jc w:val="both"/>
        <w:rPr>
          <w:rFonts w:ascii="Arial" w:hAnsi="Arial" w:cs="Arial"/>
          <w:b/>
          <w:bCs/>
          <w:color w:val="000000"/>
          <w:sz w:val="18"/>
          <w:szCs w:val="18"/>
          <w:lang w:val="x-none"/>
        </w:rPr>
      </w:pPr>
    </w:p>
    <w:p w14:paraId="1EF6E49E" w14:textId="77777777" w:rsidR="000A3B2B" w:rsidRDefault="000A3B2B" w:rsidP="009E5295">
      <w:pPr>
        <w:autoSpaceDE w:val="0"/>
        <w:autoSpaceDN w:val="0"/>
        <w:adjustRightInd w:val="0"/>
        <w:spacing w:after="30" w:line="240" w:lineRule="auto"/>
        <w:jc w:val="both"/>
        <w:rPr>
          <w:rFonts w:ascii="Arial" w:hAnsi="Arial" w:cs="Arial"/>
          <w:b/>
          <w:bCs/>
          <w:color w:val="000000"/>
          <w:sz w:val="18"/>
          <w:szCs w:val="18"/>
          <w:lang w:val="x-none"/>
        </w:rPr>
      </w:pPr>
      <w:r>
        <w:rPr>
          <w:rFonts w:ascii="Arial" w:hAnsi="Arial" w:cs="Arial"/>
          <w:b/>
          <w:bCs/>
          <w:color w:val="000000"/>
          <w:sz w:val="18"/>
          <w:szCs w:val="18"/>
          <w:lang w:val="x-none"/>
        </w:rPr>
        <w:t>7. Podpisy członków Komisji</w:t>
      </w:r>
    </w:p>
    <w:p w14:paraId="00AD41EA" w14:textId="77777777" w:rsidR="000A3B2B" w:rsidRDefault="000A3B2B" w:rsidP="009E5295">
      <w:pPr>
        <w:tabs>
          <w:tab w:val="center" w:pos="840"/>
          <w:tab w:val="center" w:pos="2220"/>
          <w:tab w:val="center" w:pos="3615"/>
          <w:tab w:val="center" w:pos="5025"/>
          <w:tab w:val="center" w:pos="6435"/>
        </w:tabs>
        <w:autoSpaceDE w:val="0"/>
        <w:autoSpaceDN w:val="0"/>
        <w:adjustRightInd w:val="0"/>
        <w:spacing w:after="0" w:line="240" w:lineRule="auto"/>
        <w:jc w:val="both"/>
        <w:rPr>
          <w:rFonts w:ascii="Arial" w:hAnsi="Arial" w:cs="Arial"/>
          <w:color w:val="000000"/>
          <w:sz w:val="18"/>
          <w:szCs w:val="18"/>
          <w:lang w:val="x-none"/>
        </w:rPr>
      </w:pPr>
    </w:p>
    <w:p w14:paraId="11C6708C" w14:textId="77777777" w:rsidR="000A3B2B" w:rsidRDefault="000A3B2B" w:rsidP="009E5295">
      <w:pPr>
        <w:tabs>
          <w:tab w:val="center" w:pos="840"/>
          <w:tab w:val="center" w:pos="2220"/>
          <w:tab w:val="center" w:pos="3615"/>
          <w:tab w:val="center" w:pos="5025"/>
          <w:tab w:val="center" w:pos="6435"/>
        </w:tabs>
        <w:autoSpaceDE w:val="0"/>
        <w:autoSpaceDN w:val="0"/>
        <w:adjustRightInd w:val="0"/>
        <w:spacing w:after="0" w:line="240" w:lineRule="auto"/>
        <w:jc w:val="both"/>
        <w:rPr>
          <w:rFonts w:ascii="Arial" w:hAnsi="Arial" w:cs="Arial"/>
          <w:color w:val="000000"/>
          <w:sz w:val="18"/>
          <w:szCs w:val="18"/>
          <w:lang w:val="x-none"/>
        </w:rPr>
      </w:pPr>
      <w:r>
        <w:rPr>
          <w:rFonts w:ascii="Arial" w:hAnsi="Arial" w:cs="Arial"/>
          <w:color w:val="000000"/>
          <w:sz w:val="18"/>
          <w:szCs w:val="18"/>
          <w:lang w:val="x-none"/>
        </w:rPr>
        <w:tab/>
        <w:t>Inwestor</w:t>
      </w:r>
      <w:r>
        <w:rPr>
          <w:rFonts w:ascii="Arial" w:hAnsi="Arial" w:cs="Arial"/>
          <w:color w:val="000000"/>
          <w:sz w:val="18"/>
          <w:szCs w:val="18"/>
          <w:lang w:val="x-none"/>
        </w:rPr>
        <w:tab/>
        <w:t>Wykonawca</w:t>
      </w:r>
      <w:r>
        <w:rPr>
          <w:rFonts w:ascii="Arial" w:hAnsi="Arial" w:cs="Arial"/>
          <w:color w:val="000000"/>
          <w:sz w:val="18"/>
          <w:szCs w:val="18"/>
          <w:lang w:val="x-none"/>
        </w:rPr>
        <w:tab/>
        <w:t>Nadzór</w:t>
      </w:r>
      <w:r>
        <w:rPr>
          <w:rFonts w:ascii="Arial" w:hAnsi="Arial" w:cs="Arial"/>
          <w:color w:val="000000"/>
          <w:sz w:val="18"/>
          <w:szCs w:val="18"/>
          <w:lang w:val="x-none"/>
        </w:rPr>
        <w:tab/>
        <w:t>Użytkownik</w:t>
      </w:r>
      <w:r>
        <w:rPr>
          <w:rFonts w:ascii="Arial" w:hAnsi="Arial" w:cs="Arial"/>
          <w:color w:val="000000"/>
          <w:sz w:val="18"/>
          <w:szCs w:val="18"/>
          <w:lang w:val="x-none"/>
        </w:rPr>
        <w:tab/>
        <w:t>Projektant</w:t>
      </w:r>
    </w:p>
    <w:p w14:paraId="04D869BB" w14:textId="77777777" w:rsidR="000A3B2B" w:rsidRDefault="000A3B2B" w:rsidP="009E5295">
      <w:pPr>
        <w:tabs>
          <w:tab w:val="center" w:pos="840"/>
          <w:tab w:val="center" w:pos="2220"/>
          <w:tab w:val="center" w:pos="3615"/>
          <w:tab w:val="center" w:pos="5025"/>
          <w:tab w:val="center" w:pos="6435"/>
        </w:tabs>
        <w:autoSpaceDE w:val="0"/>
        <w:autoSpaceDN w:val="0"/>
        <w:adjustRightInd w:val="0"/>
        <w:spacing w:after="0" w:line="240" w:lineRule="auto"/>
        <w:jc w:val="both"/>
        <w:rPr>
          <w:rFonts w:ascii="Arial" w:hAnsi="Arial" w:cs="Arial"/>
          <w:color w:val="000000"/>
          <w:sz w:val="18"/>
          <w:szCs w:val="18"/>
          <w:lang w:val="x-none"/>
        </w:rPr>
      </w:pPr>
      <w:r>
        <w:rPr>
          <w:rFonts w:ascii="Arial" w:hAnsi="Arial" w:cs="Arial"/>
          <w:color w:val="000000"/>
          <w:sz w:val="18"/>
          <w:szCs w:val="18"/>
          <w:lang w:val="x-none"/>
        </w:rPr>
        <w:tab/>
        <w:t>1.</w:t>
      </w:r>
      <w:r>
        <w:rPr>
          <w:rFonts w:ascii="Arial" w:hAnsi="Arial" w:cs="Arial"/>
          <w:color w:val="000000"/>
          <w:sz w:val="18"/>
          <w:szCs w:val="18"/>
          <w:lang w:val="x-none"/>
        </w:rPr>
        <w:tab/>
        <w:t>2.</w:t>
      </w:r>
      <w:r>
        <w:rPr>
          <w:rFonts w:ascii="Arial" w:hAnsi="Arial" w:cs="Arial"/>
          <w:color w:val="000000"/>
          <w:sz w:val="18"/>
          <w:szCs w:val="18"/>
          <w:lang w:val="x-none"/>
        </w:rPr>
        <w:tab/>
        <w:t>3.</w:t>
      </w:r>
      <w:r>
        <w:rPr>
          <w:rFonts w:ascii="Arial" w:hAnsi="Arial" w:cs="Arial"/>
          <w:color w:val="000000"/>
          <w:sz w:val="18"/>
          <w:szCs w:val="18"/>
          <w:lang w:val="x-none"/>
        </w:rPr>
        <w:tab/>
        <w:t>4.</w:t>
      </w:r>
      <w:r>
        <w:rPr>
          <w:rFonts w:ascii="Arial" w:hAnsi="Arial" w:cs="Arial"/>
          <w:color w:val="000000"/>
          <w:sz w:val="18"/>
          <w:szCs w:val="18"/>
          <w:lang w:val="x-none"/>
        </w:rPr>
        <w:tab/>
        <w:t>5.</w:t>
      </w:r>
    </w:p>
    <w:p w14:paraId="7D5CD2C1" w14:textId="77777777" w:rsidR="000A3B2B" w:rsidRDefault="000A3B2B" w:rsidP="009E5295">
      <w:pPr>
        <w:tabs>
          <w:tab w:val="center" w:pos="840"/>
          <w:tab w:val="center" w:pos="2220"/>
          <w:tab w:val="center" w:pos="3615"/>
          <w:tab w:val="center" w:pos="5025"/>
          <w:tab w:val="center" w:pos="6435"/>
        </w:tabs>
        <w:autoSpaceDE w:val="0"/>
        <w:autoSpaceDN w:val="0"/>
        <w:adjustRightInd w:val="0"/>
        <w:spacing w:after="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   ........................     ........................    ........................    ........................    ........................</w:t>
      </w:r>
    </w:p>
    <w:p w14:paraId="6D0E37ED" w14:textId="77777777" w:rsidR="000A3B2B" w:rsidRDefault="000A3B2B" w:rsidP="009E5295">
      <w:pPr>
        <w:autoSpaceDE w:val="0"/>
        <w:autoSpaceDN w:val="0"/>
        <w:adjustRightInd w:val="0"/>
        <w:spacing w:after="30" w:line="240" w:lineRule="auto"/>
        <w:jc w:val="both"/>
        <w:rPr>
          <w:rFonts w:ascii="Arial" w:hAnsi="Arial" w:cs="Arial"/>
          <w:color w:val="000000"/>
          <w:sz w:val="14"/>
          <w:szCs w:val="14"/>
          <w:lang w:val="x-none"/>
        </w:rPr>
      </w:pPr>
    </w:p>
    <w:p w14:paraId="5584606E" w14:textId="77777777" w:rsidR="000A3B2B" w:rsidRDefault="000A3B2B" w:rsidP="009E5295">
      <w:pPr>
        <w:autoSpaceDE w:val="0"/>
        <w:autoSpaceDN w:val="0"/>
        <w:adjustRightInd w:val="0"/>
        <w:spacing w:after="30" w:line="240" w:lineRule="auto"/>
        <w:jc w:val="both"/>
        <w:rPr>
          <w:rFonts w:ascii="Arial" w:hAnsi="Arial" w:cs="Arial"/>
          <w:color w:val="000000"/>
          <w:sz w:val="14"/>
          <w:szCs w:val="14"/>
          <w:lang w:val="x-none"/>
        </w:rPr>
      </w:pPr>
      <w:r>
        <w:rPr>
          <w:rFonts w:ascii="Arial" w:hAnsi="Arial" w:cs="Arial"/>
          <w:color w:val="000000"/>
          <w:sz w:val="14"/>
          <w:szCs w:val="14"/>
          <w:lang w:val="x-none"/>
        </w:rPr>
        <w:t>* niepotrzebne skreślić</w:t>
      </w:r>
      <w:r>
        <w:rPr>
          <w:rFonts w:ascii="Arial" w:hAnsi="Arial" w:cs="Arial"/>
          <w:color w:val="000000"/>
          <w:sz w:val="14"/>
          <w:szCs w:val="14"/>
          <w:lang w:val="x-none"/>
        </w:rPr>
        <w:tab/>
        <w:t xml:space="preserve"> </w:t>
      </w:r>
    </w:p>
    <w:p w14:paraId="52743400" w14:textId="77777777" w:rsidR="000A3B2B" w:rsidRDefault="000A3B2B" w:rsidP="009E5295">
      <w:pPr>
        <w:autoSpaceDE w:val="0"/>
        <w:autoSpaceDN w:val="0"/>
        <w:adjustRightInd w:val="0"/>
        <w:spacing w:after="30" w:line="240" w:lineRule="auto"/>
        <w:jc w:val="right"/>
        <w:rPr>
          <w:rFonts w:ascii="Arial" w:hAnsi="Arial" w:cs="Arial"/>
          <w:i/>
          <w:iCs/>
          <w:color w:val="000000"/>
          <w:sz w:val="18"/>
          <w:szCs w:val="18"/>
          <w:lang w:val="x-none"/>
        </w:rPr>
      </w:pPr>
      <w:r>
        <w:rPr>
          <w:rFonts w:ascii="Arial" w:hAnsi="Arial" w:cs="Arial"/>
          <w:color w:val="000000"/>
          <w:sz w:val="14"/>
          <w:szCs w:val="14"/>
          <w:lang w:val="x-none"/>
        </w:rPr>
        <w:br w:type="page"/>
      </w:r>
      <w:r>
        <w:rPr>
          <w:rFonts w:ascii="Arial" w:hAnsi="Arial" w:cs="Arial"/>
          <w:i/>
          <w:iCs/>
          <w:color w:val="000000"/>
          <w:sz w:val="18"/>
          <w:szCs w:val="18"/>
          <w:lang w:val="x-none"/>
        </w:rPr>
        <w:t>Załącznik 2</w:t>
      </w:r>
    </w:p>
    <w:p w14:paraId="4EFBCE3F" w14:textId="77777777" w:rsidR="000A3B2B" w:rsidRDefault="000A3B2B" w:rsidP="009E5295">
      <w:pPr>
        <w:autoSpaceDE w:val="0"/>
        <w:autoSpaceDN w:val="0"/>
        <w:adjustRightInd w:val="0"/>
        <w:spacing w:after="30" w:line="240" w:lineRule="auto"/>
        <w:jc w:val="right"/>
        <w:rPr>
          <w:rFonts w:ascii="Arial" w:hAnsi="Arial" w:cs="Arial"/>
          <w:i/>
          <w:iCs/>
          <w:color w:val="000000"/>
          <w:sz w:val="18"/>
          <w:szCs w:val="18"/>
          <w:lang w:val="x-none"/>
        </w:rPr>
      </w:pPr>
    </w:p>
    <w:p w14:paraId="2D243675" w14:textId="77777777" w:rsidR="000A3B2B" w:rsidRDefault="000A3B2B" w:rsidP="009E5295">
      <w:pPr>
        <w:autoSpaceDE w:val="0"/>
        <w:autoSpaceDN w:val="0"/>
        <w:adjustRightInd w:val="0"/>
        <w:spacing w:after="30" w:line="240" w:lineRule="auto"/>
        <w:jc w:val="right"/>
        <w:rPr>
          <w:rFonts w:ascii="Arial" w:hAnsi="Arial" w:cs="Arial"/>
          <w:color w:val="000000"/>
          <w:sz w:val="18"/>
          <w:szCs w:val="18"/>
          <w:lang w:val="x-none"/>
        </w:rPr>
      </w:pPr>
      <w:r>
        <w:rPr>
          <w:rFonts w:ascii="Arial" w:hAnsi="Arial" w:cs="Arial"/>
          <w:color w:val="000000"/>
          <w:sz w:val="18"/>
          <w:szCs w:val="18"/>
          <w:lang w:val="x-none"/>
        </w:rPr>
        <w:t>..........................................., dnia ....................... r.</w:t>
      </w:r>
    </w:p>
    <w:p w14:paraId="6149EBBC" w14:textId="77777777" w:rsidR="000A3B2B" w:rsidRDefault="000A3B2B" w:rsidP="009E5295">
      <w:pPr>
        <w:autoSpaceDE w:val="0"/>
        <w:autoSpaceDN w:val="0"/>
        <w:adjustRightInd w:val="0"/>
        <w:spacing w:after="30" w:line="240" w:lineRule="auto"/>
        <w:jc w:val="center"/>
        <w:rPr>
          <w:rFonts w:ascii="Arial" w:hAnsi="Arial" w:cs="Arial"/>
          <w:b/>
          <w:bCs/>
          <w:color w:val="000000"/>
          <w:sz w:val="18"/>
          <w:szCs w:val="18"/>
          <w:lang w:val="x-none"/>
        </w:rPr>
      </w:pPr>
    </w:p>
    <w:p w14:paraId="6BE58534" w14:textId="77777777" w:rsidR="000A3B2B" w:rsidRDefault="000A3B2B" w:rsidP="009E5295">
      <w:pPr>
        <w:autoSpaceDE w:val="0"/>
        <w:autoSpaceDN w:val="0"/>
        <w:adjustRightInd w:val="0"/>
        <w:spacing w:after="30" w:line="240" w:lineRule="auto"/>
        <w:jc w:val="center"/>
        <w:rPr>
          <w:rFonts w:ascii="Arial" w:hAnsi="Arial" w:cs="Arial"/>
          <w:b/>
          <w:bCs/>
          <w:color w:val="000000"/>
          <w:sz w:val="18"/>
          <w:szCs w:val="18"/>
          <w:lang w:val="x-none"/>
        </w:rPr>
      </w:pPr>
    </w:p>
    <w:p w14:paraId="5F340A09" w14:textId="77777777" w:rsidR="000A3B2B" w:rsidRDefault="000A3B2B" w:rsidP="009E5295">
      <w:pPr>
        <w:autoSpaceDE w:val="0"/>
        <w:autoSpaceDN w:val="0"/>
        <w:adjustRightInd w:val="0"/>
        <w:spacing w:after="30" w:line="240" w:lineRule="auto"/>
        <w:jc w:val="center"/>
        <w:rPr>
          <w:rFonts w:ascii="Arial" w:hAnsi="Arial" w:cs="Arial"/>
          <w:b/>
          <w:bCs/>
          <w:color w:val="000000"/>
          <w:sz w:val="18"/>
          <w:szCs w:val="18"/>
          <w:lang w:val="x-none"/>
        </w:rPr>
      </w:pPr>
      <w:r>
        <w:rPr>
          <w:rFonts w:ascii="Arial" w:hAnsi="Arial" w:cs="Arial"/>
          <w:b/>
          <w:bCs/>
          <w:color w:val="000000"/>
          <w:sz w:val="18"/>
          <w:szCs w:val="18"/>
          <w:lang w:val="x-none"/>
        </w:rPr>
        <w:t>PROTOKÓŁ ODBIORU MIĘDZYOPERACYJNEGO INSTALACJI OGRZEWCZEJ</w:t>
      </w:r>
    </w:p>
    <w:p w14:paraId="6A71D5B5" w14:textId="77777777" w:rsidR="000A3B2B" w:rsidRDefault="000A3B2B" w:rsidP="009E5295">
      <w:pPr>
        <w:autoSpaceDE w:val="0"/>
        <w:autoSpaceDN w:val="0"/>
        <w:adjustRightInd w:val="0"/>
        <w:spacing w:after="30" w:line="240" w:lineRule="auto"/>
        <w:jc w:val="center"/>
        <w:rPr>
          <w:rFonts w:ascii="Arial" w:hAnsi="Arial" w:cs="Arial"/>
          <w:color w:val="000000"/>
          <w:sz w:val="18"/>
          <w:szCs w:val="18"/>
          <w:lang w:val="x-none"/>
        </w:rPr>
      </w:pPr>
    </w:p>
    <w:p w14:paraId="2C2063D0"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71A1DAFB" w14:textId="77777777" w:rsidR="000A3B2B" w:rsidRDefault="000A3B2B" w:rsidP="009E5295">
      <w:pPr>
        <w:autoSpaceDE w:val="0"/>
        <w:autoSpaceDN w:val="0"/>
        <w:adjustRightInd w:val="0"/>
        <w:spacing w:after="30" w:line="240" w:lineRule="auto"/>
        <w:jc w:val="both"/>
        <w:rPr>
          <w:rFonts w:ascii="Arial" w:hAnsi="Arial" w:cs="Arial"/>
          <w:b/>
          <w:bCs/>
          <w:color w:val="000000"/>
          <w:sz w:val="18"/>
          <w:szCs w:val="18"/>
          <w:lang w:val="x-none"/>
        </w:rPr>
      </w:pPr>
      <w:r>
        <w:rPr>
          <w:rFonts w:ascii="Arial" w:hAnsi="Arial" w:cs="Arial"/>
          <w:b/>
          <w:bCs/>
          <w:color w:val="000000"/>
          <w:sz w:val="18"/>
          <w:szCs w:val="18"/>
          <w:lang w:val="x-none"/>
        </w:rPr>
        <w:t>1. Identyfikacja instalacji</w:t>
      </w:r>
    </w:p>
    <w:p w14:paraId="695AC6C4"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Instalacja ogrzewcza  ...................................................................................... realizowana </w:t>
      </w:r>
    </w:p>
    <w:p w14:paraId="5A884982"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 ........................................................................... ul. .........................................................</w:t>
      </w:r>
    </w:p>
    <w:p w14:paraId="3978E72E" w14:textId="77777777" w:rsidR="000A3B2B" w:rsidRDefault="000A3B2B" w:rsidP="009E5295">
      <w:pPr>
        <w:autoSpaceDE w:val="0"/>
        <w:autoSpaceDN w:val="0"/>
        <w:adjustRightInd w:val="0"/>
        <w:spacing w:after="30" w:line="240" w:lineRule="auto"/>
        <w:jc w:val="both"/>
        <w:rPr>
          <w:rFonts w:ascii="Arial" w:hAnsi="Arial" w:cs="Arial"/>
          <w:color w:val="000000"/>
          <w:sz w:val="14"/>
          <w:szCs w:val="14"/>
          <w:lang w:val="x-none"/>
        </w:rPr>
      </w:pPr>
      <w:r>
        <w:rPr>
          <w:rFonts w:ascii="Arial" w:hAnsi="Arial" w:cs="Arial"/>
          <w:color w:val="000000"/>
          <w:sz w:val="14"/>
          <w:szCs w:val="14"/>
          <w:lang w:val="x-none"/>
        </w:rPr>
        <w:tab/>
        <w:t xml:space="preserve">        (nazwa miejscowości)</w:t>
      </w:r>
    </w:p>
    <w:p w14:paraId="6E499937" w14:textId="77777777" w:rsidR="000A3B2B" w:rsidRDefault="000A3B2B" w:rsidP="009E5295">
      <w:pPr>
        <w:tabs>
          <w:tab w:val="right" w:leader="dot" w:pos="7080"/>
        </w:tabs>
        <w:autoSpaceDE w:val="0"/>
        <w:autoSpaceDN w:val="0"/>
        <w:adjustRightInd w:val="0"/>
        <w:spacing w:after="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zaprojektowana przez </w:t>
      </w:r>
      <w:r>
        <w:rPr>
          <w:rFonts w:ascii="Arial" w:hAnsi="Arial" w:cs="Arial"/>
          <w:color w:val="000000"/>
          <w:sz w:val="18"/>
          <w:szCs w:val="18"/>
          <w:lang w:val="x-none"/>
        </w:rPr>
        <w:tab/>
      </w:r>
    </w:p>
    <w:p w14:paraId="1887B417" w14:textId="77777777" w:rsidR="000A3B2B" w:rsidRDefault="000A3B2B" w:rsidP="009E5295">
      <w:pPr>
        <w:tabs>
          <w:tab w:val="right" w:leader="dot" w:pos="7080"/>
        </w:tabs>
        <w:autoSpaceDE w:val="0"/>
        <w:autoSpaceDN w:val="0"/>
        <w:adjustRightInd w:val="0"/>
        <w:spacing w:after="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Projekt zweryfikowany przez </w:t>
      </w:r>
      <w:r>
        <w:rPr>
          <w:rFonts w:ascii="Arial" w:hAnsi="Arial" w:cs="Arial"/>
          <w:color w:val="000000"/>
          <w:sz w:val="18"/>
          <w:szCs w:val="18"/>
          <w:lang w:val="x-none"/>
        </w:rPr>
        <w:tab/>
      </w:r>
    </w:p>
    <w:p w14:paraId="2914996B" w14:textId="77777777" w:rsidR="000A3B2B" w:rsidRDefault="000A3B2B" w:rsidP="009E5295">
      <w:pPr>
        <w:tabs>
          <w:tab w:val="right" w:leader="dot" w:pos="7080"/>
        </w:tabs>
        <w:autoSpaceDE w:val="0"/>
        <w:autoSpaceDN w:val="0"/>
        <w:adjustRightInd w:val="0"/>
        <w:spacing w:after="0" w:line="240" w:lineRule="auto"/>
        <w:jc w:val="both"/>
        <w:rPr>
          <w:rFonts w:ascii="Arial" w:hAnsi="Arial" w:cs="Arial"/>
          <w:color w:val="000000"/>
          <w:sz w:val="18"/>
          <w:szCs w:val="18"/>
          <w:lang w:val="x-none"/>
        </w:rPr>
      </w:pPr>
    </w:p>
    <w:p w14:paraId="164E6727" w14:textId="77777777" w:rsidR="000A3B2B" w:rsidRDefault="000A3B2B" w:rsidP="009E5295">
      <w:pPr>
        <w:tabs>
          <w:tab w:val="right" w:leader="dot" w:pos="7080"/>
        </w:tabs>
        <w:autoSpaceDE w:val="0"/>
        <w:autoSpaceDN w:val="0"/>
        <w:adjustRightInd w:val="0"/>
        <w:spacing w:after="0" w:line="240" w:lineRule="auto"/>
        <w:jc w:val="both"/>
        <w:rPr>
          <w:rFonts w:ascii="Arial" w:hAnsi="Arial" w:cs="Arial"/>
          <w:b/>
          <w:bCs/>
          <w:color w:val="000000"/>
          <w:sz w:val="18"/>
          <w:szCs w:val="18"/>
          <w:lang w:val="x-none"/>
        </w:rPr>
      </w:pPr>
      <w:r>
        <w:rPr>
          <w:rFonts w:ascii="Arial" w:hAnsi="Arial" w:cs="Arial"/>
          <w:b/>
          <w:bCs/>
          <w:color w:val="000000"/>
          <w:sz w:val="18"/>
          <w:szCs w:val="18"/>
          <w:lang w:val="x-none"/>
        </w:rPr>
        <w:t>2. Przedmiot i zakres odbioru międzyoperacyjnego</w:t>
      </w:r>
    </w:p>
    <w:p w14:paraId="58D80F5E" w14:textId="77777777" w:rsidR="000A3B2B" w:rsidRDefault="000A3B2B" w:rsidP="009E5295">
      <w:pPr>
        <w:tabs>
          <w:tab w:val="right" w:leader="dot" w:pos="7080"/>
        </w:tabs>
        <w:autoSpaceDE w:val="0"/>
        <w:autoSpaceDN w:val="0"/>
        <w:adjustRightInd w:val="0"/>
        <w:spacing w:after="0" w:line="240" w:lineRule="auto"/>
        <w:jc w:val="both"/>
        <w:rPr>
          <w:rFonts w:ascii="Arial" w:hAnsi="Arial" w:cs="Arial"/>
          <w:color w:val="000000"/>
          <w:sz w:val="18"/>
          <w:szCs w:val="18"/>
          <w:lang w:val="x-none"/>
        </w:rPr>
      </w:pPr>
      <w:r>
        <w:rPr>
          <w:rFonts w:ascii="Arial" w:hAnsi="Arial" w:cs="Arial"/>
          <w:color w:val="000000"/>
          <w:sz w:val="18"/>
          <w:szCs w:val="18"/>
          <w:lang w:val="x-none"/>
        </w:rPr>
        <w:tab/>
      </w:r>
    </w:p>
    <w:p w14:paraId="73D27EEF" w14:textId="77777777" w:rsidR="000A3B2B" w:rsidRDefault="000A3B2B" w:rsidP="009E5295">
      <w:pPr>
        <w:tabs>
          <w:tab w:val="right" w:leader="dot" w:pos="7080"/>
        </w:tabs>
        <w:autoSpaceDE w:val="0"/>
        <w:autoSpaceDN w:val="0"/>
        <w:adjustRightInd w:val="0"/>
        <w:spacing w:after="0" w:line="240" w:lineRule="auto"/>
        <w:jc w:val="both"/>
        <w:rPr>
          <w:rFonts w:ascii="Arial" w:hAnsi="Arial" w:cs="Arial"/>
          <w:color w:val="000000"/>
          <w:sz w:val="18"/>
          <w:szCs w:val="18"/>
          <w:lang w:val="x-none"/>
        </w:rPr>
      </w:pPr>
      <w:r>
        <w:rPr>
          <w:rFonts w:ascii="Arial" w:hAnsi="Arial" w:cs="Arial"/>
          <w:color w:val="000000"/>
          <w:sz w:val="18"/>
          <w:szCs w:val="18"/>
          <w:lang w:val="x-none"/>
        </w:rPr>
        <w:tab/>
      </w:r>
    </w:p>
    <w:p w14:paraId="6D5C8557" w14:textId="77777777" w:rsidR="000A3B2B" w:rsidRDefault="000A3B2B" w:rsidP="009E5295">
      <w:pPr>
        <w:tabs>
          <w:tab w:val="right" w:leader="dot" w:pos="7080"/>
        </w:tabs>
        <w:autoSpaceDE w:val="0"/>
        <w:autoSpaceDN w:val="0"/>
        <w:adjustRightInd w:val="0"/>
        <w:spacing w:after="0" w:line="240" w:lineRule="auto"/>
        <w:jc w:val="both"/>
        <w:rPr>
          <w:rFonts w:ascii="Arial" w:hAnsi="Arial" w:cs="Arial"/>
          <w:color w:val="000000"/>
          <w:sz w:val="18"/>
          <w:szCs w:val="18"/>
          <w:lang w:val="x-none"/>
        </w:rPr>
      </w:pPr>
    </w:p>
    <w:p w14:paraId="117457D0" w14:textId="77777777" w:rsidR="000A3B2B" w:rsidRDefault="000A3B2B" w:rsidP="009E5295">
      <w:pPr>
        <w:autoSpaceDE w:val="0"/>
        <w:autoSpaceDN w:val="0"/>
        <w:adjustRightInd w:val="0"/>
        <w:spacing w:after="30" w:line="240" w:lineRule="auto"/>
        <w:jc w:val="both"/>
        <w:rPr>
          <w:rFonts w:ascii="Arial" w:hAnsi="Arial" w:cs="Arial"/>
          <w:b/>
          <w:bCs/>
          <w:color w:val="000000"/>
          <w:sz w:val="18"/>
          <w:szCs w:val="18"/>
          <w:lang w:val="x-none"/>
        </w:rPr>
      </w:pPr>
      <w:r>
        <w:rPr>
          <w:rFonts w:ascii="Arial" w:hAnsi="Arial" w:cs="Arial"/>
          <w:b/>
          <w:bCs/>
          <w:color w:val="000000"/>
          <w:sz w:val="18"/>
          <w:szCs w:val="18"/>
          <w:lang w:val="x-none"/>
        </w:rPr>
        <w:t>3. Skład Komisji</w:t>
      </w:r>
    </w:p>
    <w:tbl>
      <w:tblPr>
        <w:tblW w:w="0" w:type="auto"/>
        <w:tblCellSpacing w:w="0" w:type="dxa"/>
        <w:tblInd w:w="-8" w:type="dxa"/>
        <w:tblLayout w:type="fixed"/>
        <w:tblCellMar>
          <w:left w:w="0" w:type="dxa"/>
          <w:right w:w="0" w:type="dxa"/>
        </w:tblCellMar>
        <w:tblLook w:val="0000" w:firstRow="0" w:lastRow="0" w:firstColumn="0" w:lastColumn="0" w:noHBand="0" w:noVBand="0"/>
      </w:tblPr>
      <w:tblGrid>
        <w:gridCol w:w="502"/>
        <w:gridCol w:w="1380"/>
        <w:gridCol w:w="1320"/>
        <w:gridCol w:w="1320"/>
        <w:gridCol w:w="1320"/>
        <w:gridCol w:w="1320"/>
      </w:tblGrid>
      <w:tr w:rsidR="000A3B2B" w14:paraId="304A57F0" w14:textId="77777777">
        <w:trPr>
          <w:trHeight w:val="60"/>
          <w:tblCellSpacing w:w="0" w:type="dxa"/>
        </w:trPr>
        <w:tc>
          <w:tcPr>
            <w:tcW w:w="502" w:type="dxa"/>
            <w:tcBorders>
              <w:top w:val="single" w:sz="6" w:space="0" w:color="000000"/>
              <w:left w:val="single" w:sz="6" w:space="0" w:color="000000"/>
              <w:bottom w:val="single" w:sz="6" w:space="0" w:color="000000"/>
              <w:right w:val="single" w:sz="6" w:space="0" w:color="000000"/>
            </w:tcBorders>
            <w:vAlign w:val="center"/>
          </w:tcPr>
          <w:p w14:paraId="37598E1F"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Poz.</w:t>
            </w:r>
          </w:p>
        </w:tc>
        <w:tc>
          <w:tcPr>
            <w:tcW w:w="1380" w:type="dxa"/>
            <w:tcBorders>
              <w:top w:val="single" w:sz="6" w:space="0" w:color="000000"/>
              <w:left w:val="single" w:sz="6" w:space="0" w:color="000000"/>
              <w:bottom w:val="single" w:sz="6" w:space="0" w:color="000000"/>
              <w:right w:val="single" w:sz="6" w:space="0" w:color="000000"/>
            </w:tcBorders>
            <w:vAlign w:val="center"/>
          </w:tcPr>
          <w:p w14:paraId="01AE00A6"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w:t>
            </w:r>
          </w:p>
        </w:tc>
        <w:tc>
          <w:tcPr>
            <w:tcW w:w="1320" w:type="dxa"/>
            <w:tcBorders>
              <w:top w:val="single" w:sz="6" w:space="0" w:color="000000"/>
              <w:left w:val="single" w:sz="6" w:space="0" w:color="000000"/>
              <w:bottom w:val="single" w:sz="6" w:space="0" w:color="000000"/>
              <w:right w:val="single" w:sz="6" w:space="0" w:color="000000"/>
            </w:tcBorders>
            <w:vAlign w:val="center"/>
          </w:tcPr>
          <w:p w14:paraId="0B5B9B6D"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Imię i nazwisko</w:t>
            </w:r>
          </w:p>
        </w:tc>
        <w:tc>
          <w:tcPr>
            <w:tcW w:w="1320" w:type="dxa"/>
            <w:tcBorders>
              <w:top w:val="single" w:sz="6" w:space="0" w:color="000000"/>
              <w:left w:val="single" w:sz="6" w:space="0" w:color="000000"/>
              <w:bottom w:val="single" w:sz="6" w:space="0" w:color="000000"/>
              <w:right w:val="single" w:sz="6" w:space="0" w:color="000000"/>
            </w:tcBorders>
            <w:vAlign w:val="center"/>
          </w:tcPr>
          <w:p w14:paraId="54666423"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Instytucja</w:t>
            </w:r>
          </w:p>
        </w:tc>
        <w:tc>
          <w:tcPr>
            <w:tcW w:w="1320" w:type="dxa"/>
            <w:tcBorders>
              <w:top w:val="single" w:sz="6" w:space="0" w:color="000000"/>
              <w:left w:val="single" w:sz="6" w:space="0" w:color="000000"/>
              <w:bottom w:val="single" w:sz="6" w:space="0" w:color="000000"/>
              <w:right w:val="single" w:sz="6" w:space="0" w:color="000000"/>
            </w:tcBorders>
            <w:vAlign w:val="center"/>
          </w:tcPr>
          <w:p w14:paraId="771C84BE"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Stanowisko</w:t>
            </w:r>
          </w:p>
        </w:tc>
        <w:tc>
          <w:tcPr>
            <w:tcW w:w="1320" w:type="dxa"/>
            <w:tcBorders>
              <w:top w:val="single" w:sz="6" w:space="0" w:color="000000"/>
              <w:left w:val="single" w:sz="6" w:space="0" w:color="000000"/>
              <w:bottom w:val="single" w:sz="6" w:space="0" w:color="000000"/>
              <w:right w:val="single" w:sz="6" w:space="0" w:color="000000"/>
            </w:tcBorders>
            <w:vAlign w:val="center"/>
          </w:tcPr>
          <w:p w14:paraId="1C1D6F7A" w14:textId="77777777" w:rsidR="000A3B2B" w:rsidRDefault="000A3B2B">
            <w:pPr>
              <w:autoSpaceDE w:val="0"/>
              <w:autoSpaceDN w:val="0"/>
              <w:adjustRightInd w:val="0"/>
              <w:spacing w:after="30" w:line="240" w:lineRule="auto"/>
              <w:jc w:val="center"/>
              <w:rPr>
                <w:rFonts w:ascii="Arial" w:hAnsi="Arial" w:cs="Arial"/>
                <w:color w:val="000000"/>
                <w:position w:val="4"/>
                <w:sz w:val="8"/>
                <w:szCs w:val="8"/>
                <w:lang w:val="x-none"/>
              </w:rPr>
            </w:pPr>
            <w:r>
              <w:rPr>
                <w:rFonts w:ascii="Arial" w:hAnsi="Arial" w:cs="Arial"/>
                <w:color w:val="000000"/>
                <w:sz w:val="18"/>
                <w:szCs w:val="18"/>
                <w:lang w:val="x-none"/>
              </w:rPr>
              <w:t>Uwagi</w:t>
            </w:r>
            <w:r>
              <w:rPr>
                <w:rFonts w:ascii="Arial" w:hAnsi="Arial" w:cs="Arial"/>
                <w:color w:val="000000"/>
                <w:position w:val="4"/>
                <w:sz w:val="8"/>
                <w:szCs w:val="8"/>
                <w:lang w:val="x-none"/>
              </w:rPr>
              <w:t>1)</w:t>
            </w:r>
          </w:p>
        </w:tc>
      </w:tr>
      <w:tr w:rsidR="000A3B2B" w14:paraId="1C7060FC" w14:textId="77777777">
        <w:trPr>
          <w:trHeight w:val="60"/>
          <w:tblCellSpacing w:w="0" w:type="dxa"/>
        </w:trPr>
        <w:tc>
          <w:tcPr>
            <w:tcW w:w="502" w:type="dxa"/>
            <w:tcBorders>
              <w:top w:val="single" w:sz="6" w:space="0" w:color="000000"/>
              <w:left w:val="single" w:sz="6" w:space="0" w:color="000000"/>
              <w:bottom w:val="single" w:sz="6" w:space="0" w:color="000000"/>
              <w:right w:val="single" w:sz="6" w:space="0" w:color="000000"/>
            </w:tcBorders>
            <w:vAlign w:val="center"/>
          </w:tcPr>
          <w:p w14:paraId="2F1C6A01"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w:t>
            </w:r>
          </w:p>
        </w:tc>
        <w:tc>
          <w:tcPr>
            <w:tcW w:w="1380" w:type="dxa"/>
            <w:tcBorders>
              <w:top w:val="single" w:sz="6" w:space="0" w:color="000000"/>
              <w:left w:val="single" w:sz="6" w:space="0" w:color="000000"/>
              <w:bottom w:val="single" w:sz="6" w:space="0" w:color="000000"/>
              <w:right w:val="single" w:sz="6" w:space="0" w:color="000000"/>
            </w:tcBorders>
            <w:vAlign w:val="center"/>
          </w:tcPr>
          <w:p w14:paraId="701B7DB4"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Inwestor</w:t>
            </w:r>
          </w:p>
        </w:tc>
        <w:tc>
          <w:tcPr>
            <w:tcW w:w="1320" w:type="dxa"/>
            <w:tcBorders>
              <w:top w:val="single" w:sz="6" w:space="0" w:color="000000"/>
              <w:left w:val="single" w:sz="6" w:space="0" w:color="000000"/>
              <w:bottom w:val="single" w:sz="6" w:space="0" w:color="000000"/>
              <w:right w:val="single" w:sz="6" w:space="0" w:color="000000"/>
            </w:tcBorders>
            <w:vAlign w:val="center"/>
          </w:tcPr>
          <w:p w14:paraId="69B25E52"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1320" w:type="dxa"/>
            <w:tcBorders>
              <w:top w:val="single" w:sz="6" w:space="0" w:color="000000"/>
              <w:left w:val="single" w:sz="6" w:space="0" w:color="000000"/>
              <w:bottom w:val="single" w:sz="6" w:space="0" w:color="000000"/>
              <w:right w:val="single" w:sz="6" w:space="0" w:color="000000"/>
            </w:tcBorders>
            <w:vAlign w:val="center"/>
          </w:tcPr>
          <w:p w14:paraId="7AD95A69"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1320" w:type="dxa"/>
            <w:tcBorders>
              <w:top w:val="single" w:sz="6" w:space="0" w:color="000000"/>
              <w:left w:val="single" w:sz="6" w:space="0" w:color="000000"/>
              <w:bottom w:val="single" w:sz="6" w:space="0" w:color="000000"/>
              <w:right w:val="single" w:sz="6" w:space="0" w:color="000000"/>
            </w:tcBorders>
            <w:vAlign w:val="center"/>
          </w:tcPr>
          <w:p w14:paraId="7F6E5A30"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1320" w:type="dxa"/>
            <w:tcBorders>
              <w:top w:val="single" w:sz="6" w:space="0" w:color="000000"/>
              <w:left w:val="single" w:sz="6" w:space="0" w:color="000000"/>
              <w:bottom w:val="single" w:sz="6" w:space="0" w:color="000000"/>
              <w:right w:val="single" w:sz="6" w:space="0" w:color="000000"/>
            </w:tcBorders>
            <w:vAlign w:val="center"/>
          </w:tcPr>
          <w:p w14:paraId="4786E0F1" w14:textId="77777777" w:rsidR="000A3B2B" w:rsidRDefault="000A3B2B">
            <w:pPr>
              <w:autoSpaceDE w:val="0"/>
              <w:autoSpaceDN w:val="0"/>
              <w:adjustRightInd w:val="0"/>
              <w:spacing w:after="0" w:line="240" w:lineRule="auto"/>
              <w:rPr>
                <w:rFonts w:ascii="Arial" w:hAnsi="Arial" w:cs="Arial"/>
                <w:sz w:val="24"/>
                <w:szCs w:val="24"/>
                <w:lang w:val="x-none"/>
              </w:rPr>
            </w:pPr>
          </w:p>
        </w:tc>
      </w:tr>
      <w:tr w:rsidR="000A3B2B" w14:paraId="17F5AAC5" w14:textId="77777777">
        <w:trPr>
          <w:trHeight w:val="60"/>
          <w:tblCellSpacing w:w="0" w:type="dxa"/>
        </w:trPr>
        <w:tc>
          <w:tcPr>
            <w:tcW w:w="502" w:type="dxa"/>
            <w:tcBorders>
              <w:top w:val="single" w:sz="6" w:space="0" w:color="000000"/>
              <w:left w:val="single" w:sz="6" w:space="0" w:color="000000"/>
              <w:bottom w:val="single" w:sz="6" w:space="0" w:color="000000"/>
              <w:right w:val="single" w:sz="6" w:space="0" w:color="000000"/>
            </w:tcBorders>
            <w:vAlign w:val="center"/>
          </w:tcPr>
          <w:p w14:paraId="1E455873"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2.</w:t>
            </w:r>
          </w:p>
        </w:tc>
        <w:tc>
          <w:tcPr>
            <w:tcW w:w="1380" w:type="dxa"/>
            <w:tcBorders>
              <w:top w:val="single" w:sz="6" w:space="0" w:color="000000"/>
              <w:left w:val="single" w:sz="6" w:space="0" w:color="000000"/>
              <w:bottom w:val="single" w:sz="6" w:space="0" w:color="000000"/>
              <w:right w:val="single" w:sz="6" w:space="0" w:color="000000"/>
            </w:tcBorders>
            <w:vAlign w:val="center"/>
          </w:tcPr>
          <w:p w14:paraId="655EF064"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Wykonawca</w:t>
            </w:r>
          </w:p>
        </w:tc>
        <w:tc>
          <w:tcPr>
            <w:tcW w:w="1320" w:type="dxa"/>
            <w:tcBorders>
              <w:top w:val="single" w:sz="6" w:space="0" w:color="000000"/>
              <w:left w:val="single" w:sz="6" w:space="0" w:color="000000"/>
              <w:bottom w:val="single" w:sz="6" w:space="0" w:color="000000"/>
              <w:right w:val="single" w:sz="6" w:space="0" w:color="000000"/>
            </w:tcBorders>
            <w:vAlign w:val="center"/>
          </w:tcPr>
          <w:p w14:paraId="06392A83"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1320" w:type="dxa"/>
            <w:tcBorders>
              <w:top w:val="single" w:sz="6" w:space="0" w:color="000000"/>
              <w:left w:val="single" w:sz="6" w:space="0" w:color="000000"/>
              <w:bottom w:val="single" w:sz="6" w:space="0" w:color="000000"/>
              <w:right w:val="single" w:sz="6" w:space="0" w:color="000000"/>
            </w:tcBorders>
            <w:vAlign w:val="center"/>
          </w:tcPr>
          <w:p w14:paraId="5A209292"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1320" w:type="dxa"/>
            <w:tcBorders>
              <w:top w:val="single" w:sz="6" w:space="0" w:color="000000"/>
              <w:left w:val="single" w:sz="6" w:space="0" w:color="000000"/>
              <w:bottom w:val="single" w:sz="6" w:space="0" w:color="000000"/>
              <w:right w:val="single" w:sz="6" w:space="0" w:color="000000"/>
            </w:tcBorders>
            <w:vAlign w:val="center"/>
          </w:tcPr>
          <w:p w14:paraId="2EA3C09C"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1320" w:type="dxa"/>
            <w:tcBorders>
              <w:top w:val="single" w:sz="6" w:space="0" w:color="000000"/>
              <w:left w:val="single" w:sz="6" w:space="0" w:color="000000"/>
              <w:bottom w:val="single" w:sz="6" w:space="0" w:color="000000"/>
              <w:right w:val="single" w:sz="6" w:space="0" w:color="000000"/>
            </w:tcBorders>
            <w:vAlign w:val="center"/>
          </w:tcPr>
          <w:p w14:paraId="5B20E4C8" w14:textId="77777777" w:rsidR="000A3B2B" w:rsidRDefault="000A3B2B">
            <w:pPr>
              <w:autoSpaceDE w:val="0"/>
              <w:autoSpaceDN w:val="0"/>
              <w:adjustRightInd w:val="0"/>
              <w:spacing w:after="0" w:line="240" w:lineRule="auto"/>
              <w:rPr>
                <w:rFonts w:ascii="Arial" w:hAnsi="Arial" w:cs="Arial"/>
                <w:sz w:val="24"/>
                <w:szCs w:val="24"/>
                <w:lang w:val="x-none"/>
              </w:rPr>
            </w:pPr>
          </w:p>
        </w:tc>
      </w:tr>
      <w:tr w:rsidR="000A3B2B" w14:paraId="6C786762" w14:textId="77777777">
        <w:trPr>
          <w:trHeight w:val="60"/>
          <w:tblCellSpacing w:w="0" w:type="dxa"/>
        </w:trPr>
        <w:tc>
          <w:tcPr>
            <w:tcW w:w="502" w:type="dxa"/>
            <w:tcBorders>
              <w:top w:val="single" w:sz="6" w:space="0" w:color="000000"/>
              <w:left w:val="single" w:sz="6" w:space="0" w:color="000000"/>
              <w:bottom w:val="single" w:sz="6" w:space="0" w:color="000000"/>
              <w:right w:val="single" w:sz="6" w:space="0" w:color="000000"/>
            </w:tcBorders>
            <w:vAlign w:val="center"/>
          </w:tcPr>
          <w:p w14:paraId="46A50070"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3.</w:t>
            </w:r>
          </w:p>
        </w:tc>
        <w:tc>
          <w:tcPr>
            <w:tcW w:w="1380" w:type="dxa"/>
            <w:tcBorders>
              <w:top w:val="single" w:sz="6" w:space="0" w:color="000000"/>
              <w:left w:val="single" w:sz="6" w:space="0" w:color="000000"/>
              <w:bottom w:val="single" w:sz="6" w:space="0" w:color="000000"/>
              <w:right w:val="single" w:sz="6" w:space="0" w:color="000000"/>
            </w:tcBorders>
            <w:vAlign w:val="center"/>
          </w:tcPr>
          <w:p w14:paraId="430E9D5B"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Nadzór</w:t>
            </w:r>
          </w:p>
        </w:tc>
        <w:tc>
          <w:tcPr>
            <w:tcW w:w="1320" w:type="dxa"/>
            <w:tcBorders>
              <w:top w:val="single" w:sz="6" w:space="0" w:color="000000"/>
              <w:left w:val="single" w:sz="6" w:space="0" w:color="000000"/>
              <w:bottom w:val="single" w:sz="6" w:space="0" w:color="000000"/>
              <w:right w:val="single" w:sz="6" w:space="0" w:color="000000"/>
            </w:tcBorders>
            <w:vAlign w:val="center"/>
          </w:tcPr>
          <w:p w14:paraId="22B78FA4"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1320" w:type="dxa"/>
            <w:tcBorders>
              <w:top w:val="single" w:sz="6" w:space="0" w:color="000000"/>
              <w:left w:val="single" w:sz="6" w:space="0" w:color="000000"/>
              <w:bottom w:val="single" w:sz="6" w:space="0" w:color="000000"/>
              <w:right w:val="single" w:sz="6" w:space="0" w:color="000000"/>
            </w:tcBorders>
            <w:vAlign w:val="center"/>
          </w:tcPr>
          <w:p w14:paraId="770E4969"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1320" w:type="dxa"/>
            <w:tcBorders>
              <w:top w:val="single" w:sz="6" w:space="0" w:color="000000"/>
              <w:left w:val="single" w:sz="6" w:space="0" w:color="000000"/>
              <w:bottom w:val="single" w:sz="6" w:space="0" w:color="000000"/>
              <w:right w:val="single" w:sz="6" w:space="0" w:color="000000"/>
            </w:tcBorders>
            <w:vAlign w:val="center"/>
          </w:tcPr>
          <w:p w14:paraId="7A23423E"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1320" w:type="dxa"/>
            <w:tcBorders>
              <w:top w:val="single" w:sz="6" w:space="0" w:color="000000"/>
              <w:left w:val="single" w:sz="6" w:space="0" w:color="000000"/>
              <w:bottom w:val="single" w:sz="6" w:space="0" w:color="000000"/>
              <w:right w:val="single" w:sz="6" w:space="0" w:color="000000"/>
            </w:tcBorders>
            <w:vAlign w:val="center"/>
          </w:tcPr>
          <w:p w14:paraId="35B14387" w14:textId="77777777" w:rsidR="000A3B2B" w:rsidRDefault="000A3B2B">
            <w:pPr>
              <w:autoSpaceDE w:val="0"/>
              <w:autoSpaceDN w:val="0"/>
              <w:adjustRightInd w:val="0"/>
              <w:spacing w:after="0" w:line="240" w:lineRule="auto"/>
              <w:rPr>
                <w:rFonts w:ascii="Arial" w:hAnsi="Arial" w:cs="Arial"/>
                <w:sz w:val="24"/>
                <w:szCs w:val="24"/>
                <w:lang w:val="x-none"/>
              </w:rPr>
            </w:pPr>
          </w:p>
        </w:tc>
      </w:tr>
      <w:tr w:rsidR="000A3B2B" w14:paraId="0BD463DB" w14:textId="77777777">
        <w:trPr>
          <w:trHeight w:val="60"/>
          <w:tblCellSpacing w:w="0" w:type="dxa"/>
        </w:trPr>
        <w:tc>
          <w:tcPr>
            <w:tcW w:w="502" w:type="dxa"/>
            <w:tcBorders>
              <w:top w:val="single" w:sz="6" w:space="0" w:color="000000"/>
              <w:left w:val="single" w:sz="6" w:space="0" w:color="000000"/>
              <w:bottom w:val="single" w:sz="6" w:space="0" w:color="000000"/>
              <w:right w:val="single" w:sz="6" w:space="0" w:color="000000"/>
            </w:tcBorders>
            <w:vAlign w:val="center"/>
          </w:tcPr>
          <w:p w14:paraId="62231688"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4.</w:t>
            </w:r>
          </w:p>
        </w:tc>
        <w:tc>
          <w:tcPr>
            <w:tcW w:w="1380" w:type="dxa"/>
            <w:tcBorders>
              <w:top w:val="single" w:sz="6" w:space="0" w:color="000000"/>
              <w:left w:val="single" w:sz="6" w:space="0" w:color="000000"/>
              <w:bottom w:val="single" w:sz="6" w:space="0" w:color="000000"/>
              <w:right w:val="single" w:sz="6" w:space="0" w:color="000000"/>
            </w:tcBorders>
            <w:vAlign w:val="center"/>
          </w:tcPr>
          <w:p w14:paraId="77244A07"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Użytkownik</w:t>
            </w:r>
          </w:p>
        </w:tc>
        <w:tc>
          <w:tcPr>
            <w:tcW w:w="1320" w:type="dxa"/>
            <w:tcBorders>
              <w:top w:val="single" w:sz="6" w:space="0" w:color="000000"/>
              <w:left w:val="single" w:sz="6" w:space="0" w:color="000000"/>
              <w:bottom w:val="single" w:sz="6" w:space="0" w:color="000000"/>
              <w:right w:val="single" w:sz="6" w:space="0" w:color="000000"/>
            </w:tcBorders>
            <w:vAlign w:val="center"/>
          </w:tcPr>
          <w:p w14:paraId="4638DA97"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1320" w:type="dxa"/>
            <w:tcBorders>
              <w:top w:val="single" w:sz="6" w:space="0" w:color="000000"/>
              <w:left w:val="single" w:sz="6" w:space="0" w:color="000000"/>
              <w:bottom w:val="single" w:sz="6" w:space="0" w:color="000000"/>
              <w:right w:val="single" w:sz="6" w:space="0" w:color="000000"/>
            </w:tcBorders>
            <w:vAlign w:val="center"/>
          </w:tcPr>
          <w:p w14:paraId="0E26AA00"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1320" w:type="dxa"/>
            <w:tcBorders>
              <w:top w:val="single" w:sz="6" w:space="0" w:color="000000"/>
              <w:left w:val="single" w:sz="6" w:space="0" w:color="000000"/>
              <w:bottom w:val="single" w:sz="6" w:space="0" w:color="000000"/>
              <w:right w:val="single" w:sz="6" w:space="0" w:color="000000"/>
            </w:tcBorders>
            <w:vAlign w:val="center"/>
          </w:tcPr>
          <w:p w14:paraId="7C547EFD"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1320" w:type="dxa"/>
            <w:tcBorders>
              <w:top w:val="single" w:sz="6" w:space="0" w:color="000000"/>
              <w:left w:val="single" w:sz="6" w:space="0" w:color="000000"/>
              <w:bottom w:val="single" w:sz="6" w:space="0" w:color="000000"/>
              <w:right w:val="single" w:sz="6" w:space="0" w:color="000000"/>
            </w:tcBorders>
            <w:vAlign w:val="center"/>
          </w:tcPr>
          <w:p w14:paraId="5098AA91" w14:textId="77777777" w:rsidR="000A3B2B" w:rsidRDefault="000A3B2B">
            <w:pPr>
              <w:autoSpaceDE w:val="0"/>
              <w:autoSpaceDN w:val="0"/>
              <w:adjustRightInd w:val="0"/>
              <w:spacing w:after="0" w:line="240" w:lineRule="auto"/>
              <w:rPr>
                <w:rFonts w:ascii="Arial" w:hAnsi="Arial" w:cs="Arial"/>
                <w:sz w:val="24"/>
                <w:szCs w:val="24"/>
                <w:lang w:val="x-none"/>
              </w:rPr>
            </w:pPr>
          </w:p>
        </w:tc>
      </w:tr>
      <w:tr w:rsidR="000A3B2B" w14:paraId="769515EA" w14:textId="77777777">
        <w:trPr>
          <w:trHeight w:val="60"/>
          <w:tblCellSpacing w:w="0" w:type="dxa"/>
        </w:trPr>
        <w:tc>
          <w:tcPr>
            <w:tcW w:w="502" w:type="dxa"/>
            <w:tcBorders>
              <w:top w:val="single" w:sz="6" w:space="0" w:color="000000"/>
              <w:left w:val="single" w:sz="6" w:space="0" w:color="000000"/>
              <w:bottom w:val="single" w:sz="6" w:space="0" w:color="000000"/>
              <w:right w:val="single" w:sz="6" w:space="0" w:color="000000"/>
            </w:tcBorders>
            <w:vAlign w:val="center"/>
          </w:tcPr>
          <w:p w14:paraId="6E07809A"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5.</w:t>
            </w:r>
          </w:p>
        </w:tc>
        <w:tc>
          <w:tcPr>
            <w:tcW w:w="1380" w:type="dxa"/>
            <w:tcBorders>
              <w:top w:val="single" w:sz="6" w:space="0" w:color="000000"/>
              <w:left w:val="single" w:sz="6" w:space="0" w:color="000000"/>
              <w:bottom w:val="single" w:sz="6" w:space="0" w:color="000000"/>
              <w:right w:val="single" w:sz="6" w:space="0" w:color="000000"/>
            </w:tcBorders>
            <w:vAlign w:val="center"/>
          </w:tcPr>
          <w:p w14:paraId="30DD8F0E"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Projektant</w:t>
            </w:r>
          </w:p>
        </w:tc>
        <w:tc>
          <w:tcPr>
            <w:tcW w:w="1320" w:type="dxa"/>
            <w:tcBorders>
              <w:top w:val="single" w:sz="6" w:space="0" w:color="000000"/>
              <w:left w:val="single" w:sz="6" w:space="0" w:color="000000"/>
              <w:bottom w:val="single" w:sz="6" w:space="0" w:color="000000"/>
              <w:right w:val="single" w:sz="6" w:space="0" w:color="000000"/>
            </w:tcBorders>
            <w:vAlign w:val="center"/>
          </w:tcPr>
          <w:p w14:paraId="3EC5D059"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1320" w:type="dxa"/>
            <w:tcBorders>
              <w:top w:val="single" w:sz="6" w:space="0" w:color="000000"/>
              <w:left w:val="single" w:sz="6" w:space="0" w:color="000000"/>
              <w:bottom w:val="single" w:sz="6" w:space="0" w:color="000000"/>
              <w:right w:val="single" w:sz="6" w:space="0" w:color="000000"/>
            </w:tcBorders>
            <w:vAlign w:val="center"/>
          </w:tcPr>
          <w:p w14:paraId="45D6AC04"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1320" w:type="dxa"/>
            <w:tcBorders>
              <w:top w:val="single" w:sz="6" w:space="0" w:color="000000"/>
              <w:left w:val="single" w:sz="6" w:space="0" w:color="000000"/>
              <w:bottom w:val="single" w:sz="6" w:space="0" w:color="000000"/>
              <w:right w:val="single" w:sz="6" w:space="0" w:color="000000"/>
            </w:tcBorders>
            <w:vAlign w:val="center"/>
          </w:tcPr>
          <w:p w14:paraId="5791EC72"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1320" w:type="dxa"/>
            <w:tcBorders>
              <w:top w:val="single" w:sz="6" w:space="0" w:color="000000"/>
              <w:left w:val="single" w:sz="6" w:space="0" w:color="000000"/>
              <w:bottom w:val="single" w:sz="6" w:space="0" w:color="000000"/>
              <w:right w:val="single" w:sz="6" w:space="0" w:color="000000"/>
            </w:tcBorders>
            <w:vAlign w:val="center"/>
          </w:tcPr>
          <w:p w14:paraId="1428A6D6" w14:textId="77777777" w:rsidR="000A3B2B" w:rsidRDefault="000A3B2B">
            <w:pPr>
              <w:autoSpaceDE w:val="0"/>
              <w:autoSpaceDN w:val="0"/>
              <w:adjustRightInd w:val="0"/>
              <w:spacing w:after="0" w:line="240" w:lineRule="auto"/>
              <w:rPr>
                <w:rFonts w:ascii="Arial" w:hAnsi="Arial" w:cs="Arial"/>
                <w:sz w:val="24"/>
                <w:szCs w:val="24"/>
                <w:lang w:val="x-none"/>
              </w:rPr>
            </w:pPr>
          </w:p>
        </w:tc>
      </w:tr>
      <w:tr w:rsidR="000A3B2B" w14:paraId="70BFE00E" w14:textId="77777777">
        <w:trPr>
          <w:trHeight w:val="60"/>
          <w:tblCellSpacing w:w="0" w:type="dxa"/>
        </w:trPr>
        <w:tc>
          <w:tcPr>
            <w:tcW w:w="7162" w:type="dxa"/>
            <w:gridSpan w:val="6"/>
            <w:tcBorders>
              <w:top w:val="single" w:sz="6" w:space="0" w:color="000000"/>
              <w:left w:val="single" w:sz="6" w:space="0" w:color="000000"/>
              <w:bottom w:val="single" w:sz="6" w:space="0" w:color="000000"/>
              <w:right w:val="single" w:sz="6" w:space="0" w:color="000000"/>
            </w:tcBorders>
            <w:vAlign w:val="center"/>
          </w:tcPr>
          <w:p w14:paraId="5076985C" w14:textId="77777777" w:rsidR="000A3B2B" w:rsidRDefault="000A3B2B">
            <w:pPr>
              <w:autoSpaceDE w:val="0"/>
              <w:autoSpaceDN w:val="0"/>
              <w:adjustRightInd w:val="0"/>
              <w:spacing w:after="30" w:line="240" w:lineRule="auto"/>
              <w:ind w:left="165" w:hanging="165"/>
              <w:jc w:val="both"/>
              <w:rPr>
                <w:rFonts w:ascii="Arial" w:hAnsi="Arial" w:cs="Arial"/>
                <w:color w:val="000000"/>
                <w:sz w:val="16"/>
                <w:szCs w:val="16"/>
                <w:lang w:val="x-none"/>
              </w:rPr>
            </w:pPr>
            <w:r>
              <w:rPr>
                <w:rFonts w:ascii="Arial" w:hAnsi="Arial" w:cs="Arial"/>
                <w:color w:val="000000"/>
                <w:position w:val="4"/>
                <w:sz w:val="8"/>
                <w:szCs w:val="8"/>
                <w:lang w:val="x-none"/>
              </w:rPr>
              <w:t>1)</w:t>
            </w:r>
            <w:r>
              <w:rPr>
                <w:rFonts w:ascii="Arial" w:hAnsi="Arial" w:cs="Arial"/>
                <w:color w:val="000000"/>
                <w:sz w:val="16"/>
                <w:szCs w:val="16"/>
                <w:lang w:val="x-none"/>
              </w:rPr>
              <w:t xml:space="preserve">  dla osób pełniących samodzielne funkcje w budownictwie, numer uprawnień budowlanych</w:t>
            </w:r>
          </w:p>
        </w:tc>
      </w:tr>
    </w:tbl>
    <w:p w14:paraId="0C0362BD"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ab/>
      </w:r>
    </w:p>
    <w:p w14:paraId="78EFA4A1" w14:textId="77777777" w:rsidR="000A3B2B" w:rsidRDefault="000A3B2B" w:rsidP="009E5295">
      <w:pPr>
        <w:autoSpaceDE w:val="0"/>
        <w:autoSpaceDN w:val="0"/>
        <w:adjustRightInd w:val="0"/>
        <w:spacing w:after="30" w:line="240" w:lineRule="auto"/>
        <w:jc w:val="both"/>
        <w:rPr>
          <w:rFonts w:ascii="Arial" w:hAnsi="Arial" w:cs="Arial"/>
          <w:b/>
          <w:bCs/>
          <w:color w:val="000000"/>
          <w:sz w:val="18"/>
          <w:szCs w:val="18"/>
          <w:lang w:val="x-none"/>
        </w:rPr>
      </w:pPr>
      <w:r>
        <w:rPr>
          <w:rFonts w:ascii="Arial" w:hAnsi="Arial" w:cs="Arial"/>
          <w:b/>
          <w:bCs/>
          <w:color w:val="000000"/>
          <w:sz w:val="18"/>
          <w:szCs w:val="18"/>
          <w:lang w:val="x-none"/>
        </w:rPr>
        <w:t>4. Wykonawca załączył do protokołu następujące dokumenty:</w:t>
      </w:r>
    </w:p>
    <w:p w14:paraId="1C8BA8A1" w14:textId="77777777" w:rsidR="000A3B2B" w:rsidRDefault="000A3B2B" w:rsidP="009E5295">
      <w:pPr>
        <w:tabs>
          <w:tab w:val="right" w:leader="dot" w:pos="7080"/>
        </w:tabs>
        <w:autoSpaceDE w:val="0"/>
        <w:autoSpaceDN w:val="0"/>
        <w:adjustRightInd w:val="0"/>
        <w:spacing w:after="0" w:line="240" w:lineRule="auto"/>
        <w:jc w:val="both"/>
        <w:rPr>
          <w:rFonts w:ascii="Arial" w:hAnsi="Arial" w:cs="Arial"/>
          <w:color w:val="000000"/>
          <w:sz w:val="18"/>
          <w:szCs w:val="18"/>
          <w:lang w:val="x-none"/>
        </w:rPr>
      </w:pPr>
      <w:r>
        <w:rPr>
          <w:rFonts w:ascii="Arial" w:hAnsi="Arial" w:cs="Arial"/>
          <w:color w:val="000000"/>
          <w:sz w:val="18"/>
          <w:szCs w:val="18"/>
          <w:lang w:val="x-none"/>
        </w:rPr>
        <w:tab/>
      </w:r>
    </w:p>
    <w:p w14:paraId="34D0F0F2" w14:textId="77777777" w:rsidR="000A3B2B" w:rsidRDefault="000A3B2B" w:rsidP="009E5295">
      <w:pPr>
        <w:tabs>
          <w:tab w:val="right" w:leader="dot" w:pos="7080"/>
        </w:tabs>
        <w:autoSpaceDE w:val="0"/>
        <w:autoSpaceDN w:val="0"/>
        <w:adjustRightInd w:val="0"/>
        <w:spacing w:after="0" w:line="240" w:lineRule="auto"/>
        <w:jc w:val="both"/>
        <w:rPr>
          <w:rFonts w:ascii="Arial" w:hAnsi="Arial" w:cs="Arial"/>
          <w:color w:val="000000"/>
          <w:sz w:val="18"/>
          <w:szCs w:val="18"/>
          <w:lang w:val="x-none"/>
        </w:rPr>
      </w:pPr>
      <w:r>
        <w:rPr>
          <w:rFonts w:ascii="Arial" w:hAnsi="Arial" w:cs="Arial"/>
          <w:color w:val="000000"/>
          <w:sz w:val="18"/>
          <w:szCs w:val="18"/>
          <w:lang w:val="x-none"/>
        </w:rPr>
        <w:tab/>
      </w:r>
    </w:p>
    <w:p w14:paraId="4EB84031" w14:textId="77777777" w:rsidR="000A3B2B" w:rsidRDefault="000A3B2B" w:rsidP="009E5295">
      <w:pPr>
        <w:tabs>
          <w:tab w:val="right" w:leader="dot" w:pos="7080"/>
        </w:tabs>
        <w:autoSpaceDE w:val="0"/>
        <w:autoSpaceDN w:val="0"/>
        <w:adjustRightInd w:val="0"/>
        <w:spacing w:after="0" w:line="240" w:lineRule="auto"/>
        <w:jc w:val="both"/>
        <w:rPr>
          <w:rFonts w:ascii="Arial" w:hAnsi="Arial" w:cs="Arial"/>
          <w:color w:val="000000"/>
          <w:sz w:val="18"/>
          <w:szCs w:val="18"/>
          <w:lang w:val="x-none"/>
        </w:rPr>
      </w:pPr>
    </w:p>
    <w:p w14:paraId="0D836E32" w14:textId="77777777" w:rsidR="000A3B2B" w:rsidRDefault="000A3B2B" w:rsidP="009E5295">
      <w:pPr>
        <w:autoSpaceDE w:val="0"/>
        <w:autoSpaceDN w:val="0"/>
        <w:adjustRightInd w:val="0"/>
        <w:spacing w:after="3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 xml:space="preserve">5. </w:t>
      </w:r>
      <w:r>
        <w:rPr>
          <w:rFonts w:ascii="Arial" w:hAnsi="Arial" w:cs="Arial"/>
          <w:b/>
          <w:bCs/>
          <w:color w:val="000000"/>
          <w:sz w:val="18"/>
          <w:szCs w:val="18"/>
          <w:lang w:val="x-none"/>
        </w:rPr>
        <w:tab/>
        <w:t>Komisja stwierdza, że roboty poprzedzające wykonanie instalacji i będące przedmiotem odbioru międzyoperacyjnego:</w:t>
      </w:r>
    </w:p>
    <w:p w14:paraId="06273834" w14:textId="77777777" w:rsidR="000A3B2B" w:rsidRDefault="000A3B2B" w:rsidP="009E5295">
      <w:pPr>
        <w:autoSpaceDE w:val="0"/>
        <w:autoSpaceDN w:val="0"/>
        <w:adjustRightInd w:val="0"/>
        <w:spacing w:after="3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5.1.</w:t>
      </w:r>
      <w:r>
        <w:rPr>
          <w:rFonts w:ascii="Arial" w:hAnsi="Arial" w:cs="Arial"/>
          <w:b/>
          <w:bCs/>
          <w:color w:val="000000"/>
          <w:sz w:val="18"/>
          <w:szCs w:val="18"/>
          <w:lang w:val="x-none"/>
        </w:rPr>
        <w:tab/>
        <w:t>zostały zrealizowane (zgodnie)* (nie zgodnie)* z przedstawioną dokumentacją i w sposób (umożliwiający)* (nie umożliwiający)* prawidłowe wykonanie instalacji;</w:t>
      </w:r>
    </w:p>
    <w:p w14:paraId="29A3D3AC" w14:textId="77777777" w:rsidR="000A3B2B" w:rsidRDefault="000A3B2B" w:rsidP="009E5295">
      <w:pPr>
        <w:autoSpaceDE w:val="0"/>
        <w:autoSpaceDN w:val="0"/>
        <w:adjustRightInd w:val="0"/>
        <w:spacing w:after="3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5.2.</w:t>
      </w:r>
      <w:r>
        <w:rPr>
          <w:rFonts w:ascii="Arial" w:hAnsi="Arial" w:cs="Arial"/>
          <w:b/>
          <w:bCs/>
          <w:color w:val="000000"/>
          <w:sz w:val="18"/>
          <w:szCs w:val="18"/>
          <w:lang w:val="x-none"/>
        </w:rPr>
        <w:tab/>
        <w:t>ponieważ wynik odbioru międzyoperacyjnego jest negatywny, roboty powinny zostać przedstawiona do ponownego odbioru w terminie do dnia ....................*</w:t>
      </w:r>
    </w:p>
    <w:p w14:paraId="0CFC2A7B"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Na odwrotnej stronie niniejszego protokołu (nie zostały zamieszczone)* (zostały zamieszczone)* i podpisane pozostałe ustalenia Komisji.</w:t>
      </w:r>
    </w:p>
    <w:p w14:paraId="40F65E9D"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46989423" w14:textId="77777777" w:rsidR="000A3B2B" w:rsidRDefault="000A3B2B" w:rsidP="009E5295">
      <w:pPr>
        <w:autoSpaceDE w:val="0"/>
        <w:autoSpaceDN w:val="0"/>
        <w:adjustRightInd w:val="0"/>
        <w:spacing w:after="30" w:line="240" w:lineRule="auto"/>
        <w:jc w:val="both"/>
        <w:rPr>
          <w:rFonts w:ascii="Arial" w:hAnsi="Arial" w:cs="Arial"/>
          <w:b/>
          <w:bCs/>
          <w:color w:val="000000"/>
          <w:sz w:val="18"/>
          <w:szCs w:val="18"/>
          <w:lang w:val="x-none"/>
        </w:rPr>
      </w:pPr>
      <w:r>
        <w:rPr>
          <w:rFonts w:ascii="Arial" w:hAnsi="Arial" w:cs="Arial"/>
          <w:b/>
          <w:bCs/>
          <w:color w:val="000000"/>
          <w:sz w:val="18"/>
          <w:szCs w:val="18"/>
          <w:lang w:val="x-none"/>
        </w:rPr>
        <w:t>6. Podpisy członków Komisji</w:t>
      </w:r>
    </w:p>
    <w:p w14:paraId="6677DA27" w14:textId="77777777" w:rsidR="000A3B2B" w:rsidRDefault="000A3B2B" w:rsidP="009E5295">
      <w:pPr>
        <w:tabs>
          <w:tab w:val="center" w:pos="840"/>
          <w:tab w:val="center" w:pos="2220"/>
          <w:tab w:val="center" w:pos="3615"/>
          <w:tab w:val="center" w:pos="5025"/>
          <w:tab w:val="center" w:pos="6435"/>
        </w:tabs>
        <w:autoSpaceDE w:val="0"/>
        <w:autoSpaceDN w:val="0"/>
        <w:adjustRightInd w:val="0"/>
        <w:spacing w:after="0" w:line="240" w:lineRule="auto"/>
        <w:jc w:val="both"/>
        <w:rPr>
          <w:rFonts w:ascii="Arial" w:hAnsi="Arial" w:cs="Arial"/>
          <w:color w:val="000000"/>
          <w:sz w:val="18"/>
          <w:szCs w:val="18"/>
          <w:lang w:val="x-none"/>
        </w:rPr>
      </w:pPr>
    </w:p>
    <w:p w14:paraId="1EF90966" w14:textId="77777777" w:rsidR="000A3B2B" w:rsidRDefault="000A3B2B" w:rsidP="009E5295">
      <w:pPr>
        <w:tabs>
          <w:tab w:val="center" w:pos="840"/>
          <w:tab w:val="center" w:pos="2220"/>
          <w:tab w:val="center" w:pos="3615"/>
          <w:tab w:val="center" w:pos="5025"/>
          <w:tab w:val="center" w:pos="6435"/>
        </w:tabs>
        <w:autoSpaceDE w:val="0"/>
        <w:autoSpaceDN w:val="0"/>
        <w:adjustRightInd w:val="0"/>
        <w:spacing w:after="0" w:line="240" w:lineRule="auto"/>
        <w:jc w:val="both"/>
        <w:rPr>
          <w:rFonts w:ascii="Arial" w:hAnsi="Arial" w:cs="Arial"/>
          <w:color w:val="000000"/>
          <w:sz w:val="18"/>
          <w:szCs w:val="18"/>
          <w:lang w:val="x-none"/>
        </w:rPr>
      </w:pPr>
      <w:r>
        <w:rPr>
          <w:rFonts w:ascii="Arial" w:hAnsi="Arial" w:cs="Arial"/>
          <w:color w:val="000000"/>
          <w:sz w:val="18"/>
          <w:szCs w:val="18"/>
          <w:lang w:val="x-none"/>
        </w:rPr>
        <w:tab/>
        <w:t>Inwestor</w:t>
      </w:r>
      <w:r>
        <w:rPr>
          <w:rFonts w:ascii="Arial" w:hAnsi="Arial" w:cs="Arial"/>
          <w:color w:val="000000"/>
          <w:sz w:val="18"/>
          <w:szCs w:val="18"/>
          <w:lang w:val="x-none"/>
        </w:rPr>
        <w:tab/>
        <w:t>Wykonawca</w:t>
      </w:r>
      <w:r>
        <w:rPr>
          <w:rFonts w:ascii="Arial" w:hAnsi="Arial" w:cs="Arial"/>
          <w:color w:val="000000"/>
          <w:sz w:val="18"/>
          <w:szCs w:val="18"/>
          <w:lang w:val="x-none"/>
        </w:rPr>
        <w:tab/>
        <w:t>Nadzór</w:t>
      </w:r>
      <w:r>
        <w:rPr>
          <w:rFonts w:ascii="Arial" w:hAnsi="Arial" w:cs="Arial"/>
          <w:color w:val="000000"/>
          <w:sz w:val="18"/>
          <w:szCs w:val="18"/>
          <w:lang w:val="x-none"/>
        </w:rPr>
        <w:tab/>
        <w:t>Użytkownik</w:t>
      </w:r>
      <w:r>
        <w:rPr>
          <w:rFonts w:ascii="Arial" w:hAnsi="Arial" w:cs="Arial"/>
          <w:color w:val="000000"/>
          <w:sz w:val="18"/>
          <w:szCs w:val="18"/>
          <w:lang w:val="x-none"/>
        </w:rPr>
        <w:tab/>
        <w:t>Projektant</w:t>
      </w:r>
    </w:p>
    <w:p w14:paraId="52EA51DD" w14:textId="77777777" w:rsidR="000A3B2B" w:rsidRDefault="000A3B2B" w:rsidP="009E5295">
      <w:pPr>
        <w:tabs>
          <w:tab w:val="center" w:pos="840"/>
          <w:tab w:val="center" w:pos="2220"/>
          <w:tab w:val="center" w:pos="3615"/>
          <w:tab w:val="center" w:pos="5025"/>
          <w:tab w:val="center" w:pos="6435"/>
        </w:tabs>
        <w:autoSpaceDE w:val="0"/>
        <w:autoSpaceDN w:val="0"/>
        <w:adjustRightInd w:val="0"/>
        <w:spacing w:after="0" w:line="240" w:lineRule="auto"/>
        <w:jc w:val="both"/>
        <w:rPr>
          <w:rFonts w:ascii="Arial" w:hAnsi="Arial" w:cs="Arial"/>
          <w:color w:val="000000"/>
          <w:sz w:val="18"/>
          <w:szCs w:val="18"/>
          <w:lang w:val="x-none"/>
        </w:rPr>
      </w:pPr>
      <w:r>
        <w:rPr>
          <w:rFonts w:ascii="Arial" w:hAnsi="Arial" w:cs="Arial"/>
          <w:color w:val="000000"/>
          <w:sz w:val="18"/>
          <w:szCs w:val="18"/>
          <w:lang w:val="x-none"/>
        </w:rPr>
        <w:tab/>
        <w:t>1.</w:t>
      </w:r>
      <w:r>
        <w:rPr>
          <w:rFonts w:ascii="Arial" w:hAnsi="Arial" w:cs="Arial"/>
          <w:color w:val="000000"/>
          <w:sz w:val="18"/>
          <w:szCs w:val="18"/>
          <w:lang w:val="x-none"/>
        </w:rPr>
        <w:tab/>
        <w:t>2.</w:t>
      </w:r>
      <w:r>
        <w:rPr>
          <w:rFonts w:ascii="Arial" w:hAnsi="Arial" w:cs="Arial"/>
          <w:color w:val="000000"/>
          <w:sz w:val="18"/>
          <w:szCs w:val="18"/>
          <w:lang w:val="x-none"/>
        </w:rPr>
        <w:tab/>
        <w:t>3.</w:t>
      </w:r>
      <w:r>
        <w:rPr>
          <w:rFonts w:ascii="Arial" w:hAnsi="Arial" w:cs="Arial"/>
          <w:color w:val="000000"/>
          <w:sz w:val="18"/>
          <w:szCs w:val="18"/>
          <w:lang w:val="x-none"/>
        </w:rPr>
        <w:tab/>
        <w:t>4.</w:t>
      </w:r>
      <w:r>
        <w:rPr>
          <w:rFonts w:ascii="Arial" w:hAnsi="Arial" w:cs="Arial"/>
          <w:color w:val="000000"/>
          <w:sz w:val="18"/>
          <w:szCs w:val="18"/>
          <w:lang w:val="x-none"/>
        </w:rPr>
        <w:tab/>
        <w:t>5.</w:t>
      </w:r>
    </w:p>
    <w:p w14:paraId="025373E4" w14:textId="77777777" w:rsidR="000A3B2B" w:rsidRDefault="000A3B2B" w:rsidP="009E5295">
      <w:pPr>
        <w:tabs>
          <w:tab w:val="center" w:pos="840"/>
          <w:tab w:val="center" w:pos="2220"/>
          <w:tab w:val="center" w:pos="3615"/>
          <w:tab w:val="center" w:pos="5025"/>
          <w:tab w:val="center" w:pos="6435"/>
        </w:tabs>
        <w:autoSpaceDE w:val="0"/>
        <w:autoSpaceDN w:val="0"/>
        <w:adjustRightInd w:val="0"/>
        <w:spacing w:after="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   ........................     ........................    ........................    ........................    ........................</w:t>
      </w:r>
    </w:p>
    <w:p w14:paraId="569194D2" w14:textId="77777777" w:rsidR="000A3B2B" w:rsidRDefault="000A3B2B" w:rsidP="009E5295">
      <w:pPr>
        <w:autoSpaceDE w:val="0"/>
        <w:autoSpaceDN w:val="0"/>
        <w:adjustRightInd w:val="0"/>
        <w:spacing w:after="30" w:line="240" w:lineRule="auto"/>
        <w:jc w:val="both"/>
        <w:rPr>
          <w:rFonts w:ascii="Arial" w:hAnsi="Arial" w:cs="Arial"/>
          <w:color w:val="000000"/>
          <w:sz w:val="14"/>
          <w:szCs w:val="14"/>
          <w:lang w:val="x-none"/>
        </w:rPr>
      </w:pPr>
    </w:p>
    <w:p w14:paraId="2A070F77" w14:textId="77777777" w:rsidR="000A3B2B" w:rsidRDefault="000A3B2B" w:rsidP="009E5295">
      <w:pPr>
        <w:autoSpaceDE w:val="0"/>
        <w:autoSpaceDN w:val="0"/>
        <w:adjustRightInd w:val="0"/>
        <w:spacing w:after="30" w:line="240" w:lineRule="auto"/>
        <w:jc w:val="both"/>
        <w:rPr>
          <w:rFonts w:ascii="Arial" w:hAnsi="Arial" w:cs="Arial"/>
          <w:color w:val="000000"/>
          <w:sz w:val="14"/>
          <w:szCs w:val="14"/>
          <w:lang w:val="x-none"/>
        </w:rPr>
      </w:pPr>
      <w:r>
        <w:rPr>
          <w:rFonts w:ascii="Arial" w:hAnsi="Arial" w:cs="Arial"/>
          <w:color w:val="000000"/>
          <w:sz w:val="14"/>
          <w:szCs w:val="14"/>
          <w:lang w:val="x-none"/>
        </w:rPr>
        <w:t>* niepotrzebne skreślić</w:t>
      </w:r>
      <w:r>
        <w:rPr>
          <w:rFonts w:ascii="Arial" w:hAnsi="Arial" w:cs="Arial"/>
          <w:color w:val="000000"/>
          <w:sz w:val="14"/>
          <w:szCs w:val="14"/>
          <w:lang w:val="x-none"/>
        </w:rPr>
        <w:tab/>
        <w:t xml:space="preserve"> </w:t>
      </w:r>
    </w:p>
    <w:p w14:paraId="6BE9042C" w14:textId="77777777" w:rsidR="000A3B2B" w:rsidRDefault="000A3B2B" w:rsidP="009E5295">
      <w:pPr>
        <w:autoSpaceDE w:val="0"/>
        <w:autoSpaceDN w:val="0"/>
        <w:adjustRightInd w:val="0"/>
        <w:spacing w:after="30" w:line="240" w:lineRule="auto"/>
        <w:jc w:val="right"/>
        <w:rPr>
          <w:rFonts w:ascii="Arial" w:hAnsi="Arial" w:cs="Arial"/>
          <w:color w:val="000000"/>
          <w:sz w:val="18"/>
          <w:szCs w:val="18"/>
          <w:lang w:val="x-none"/>
        </w:rPr>
      </w:pPr>
    </w:p>
    <w:p w14:paraId="6551F1CF" w14:textId="77777777" w:rsidR="000A3B2B" w:rsidRDefault="000A3B2B" w:rsidP="009E5295">
      <w:pPr>
        <w:autoSpaceDE w:val="0"/>
        <w:autoSpaceDN w:val="0"/>
        <w:adjustRightInd w:val="0"/>
        <w:spacing w:after="30" w:line="240" w:lineRule="auto"/>
        <w:jc w:val="right"/>
        <w:rPr>
          <w:rFonts w:ascii="Arial" w:hAnsi="Arial" w:cs="Arial"/>
          <w:i/>
          <w:iCs/>
          <w:color w:val="000000"/>
          <w:sz w:val="18"/>
          <w:szCs w:val="18"/>
          <w:lang w:val="x-none"/>
        </w:rPr>
      </w:pPr>
      <w:r>
        <w:rPr>
          <w:rFonts w:ascii="Arial" w:hAnsi="Arial" w:cs="Arial"/>
          <w:color w:val="000000"/>
          <w:sz w:val="18"/>
          <w:szCs w:val="18"/>
          <w:lang w:val="x-none"/>
        </w:rPr>
        <w:br w:type="page"/>
      </w:r>
      <w:r>
        <w:rPr>
          <w:rFonts w:ascii="Arial" w:hAnsi="Arial" w:cs="Arial"/>
          <w:i/>
          <w:iCs/>
          <w:color w:val="000000"/>
          <w:sz w:val="18"/>
          <w:szCs w:val="18"/>
          <w:lang w:val="x-none"/>
        </w:rPr>
        <w:t>Załącznik 3</w:t>
      </w:r>
    </w:p>
    <w:p w14:paraId="13B68CB6" w14:textId="77777777" w:rsidR="000A3B2B" w:rsidRDefault="000A3B2B" w:rsidP="009E5295">
      <w:pPr>
        <w:autoSpaceDE w:val="0"/>
        <w:autoSpaceDN w:val="0"/>
        <w:adjustRightInd w:val="0"/>
        <w:spacing w:after="30" w:line="240" w:lineRule="auto"/>
        <w:jc w:val="right"/>
        <w:rPr>
          <w:rFonts w:ascii="Arial" w:hAnsi="Arial" w:cs="Arial"/>
          <w:i/>
          <w:iCs/>
          <w:color w:val="000000"/>
          <w:sz w:val="18"/>
          <w:szCs w:val="18"/>
          <w:lang w:val="x-none"/>
        </w:rPr>
      </w:pPr>
    </w:p>
    <w:p w14:paraId="5D40D4EB" w14:textId="77777777" w:rsidR="000A3B2B" w:rsidRDefault="000A3B2B" w:rsidP="009E5295">
      <w:pPr>
        <w:autoSpaceDE w:val="0"/>
        <w:autoSpaceDN w:val="0"/>
        <w:adjustRightInd w:val="0"/>
        <w:spacing w:after="30" w:line="240" w:lineRule="auto"/>
        <w:jc w:val="right"/>
        <w:rPr>
          <w:rFonts w:ascii="Arial" w:hAnsi="Arial" w:cs="Arial"/>
          <w:color w:val="000000"/>
          <w:sz w:val="18"/>
          <w:szCs w:val="18"/>
          <w:lang w:val="x-none"/>
        </w:rPr>
      </w:pPr>
      <w:r>
        <w:rPr>
          <w:rFonts w:ascii="Arial" w:hAnsi="Arial" w:cs="Arial"/>
          <w:color w:val="000000"/>
          <w:sz w:val="18"/>
          <w:szCs w:val="18"/>
          <w:lang w:val="x-none"/>
        </w:rPr>
        <w:t>..........................................., dnia ....................... r.</w:t>
      </w:r>
    </w:p>
    <w:p w14:paraId="1B351B0F" w14:textId="77777777" w:rsidR="000A3B2B" w:rsidRDefault="000A3B2B" w:rsidP="009E5295">
      <w:pPr>
        <w:autoSpaceDE w:val="0"/>
        <w:autoSpaceDN w:val="0"/>
        <w:adjustRightInd w:val="0"/>
        <w:spacing w:after="30" w:line="240" w:lineRule="auto"/>
        <w:jc w:val="right"/>
        <w:rPr>
          <w:rFonts w:ascii="Arial" w:hAnsi="Arial" w:cs="Arial"/>
          <w:color w:val="000000"/>
          <w:sz w:val="18"/>
          <w:szCs w:val="18"/>
          <w:lang w:val="x-none"/>
        </w:rPr>
      </w:pPr>
    </w:p>
    <w:p w14:paraId="5F5BC033" w14:textId="77777777" w:rsidR="000A3B2B" w:rsidRDefault="000A3B2B" w:rsidP="009E5295">
      <w:pPr>
        <w:autoSpaceDE w:val="0"/>
        <w:autoSpaceDN w:val="0"/>
        <w:adjustRightInd w:val="0"/>
        <w:spacing w:after="30" w:line="240" w:lineRule="auto"/>
        <w:jc w:val="center"/>
        <w:rPr>
          <w:rFonts w:ascii="Arial" w:hAnsi="Arial" w:cs="Arial"/>
          <w:b/>
          <w:bCs/>
          <w:color w:val="000000"/>
          <w:sz w:val="18"/>
          <w:szCs w:val="18"/>
          <w:lang w:val="x-none"/>
        </w:rPr>
      </w:pPr>
    </w:p>
    <w:p w14:paraId="5DE955BE" w14:textId="77777777" w:rsidR="000A3B2B" w:rsidRDefault="000A3B2B" w:rsidP="009E5295">
      <w:pPr>
        <w:autoSpaceDE w:val="0"/>
        <w:autoSpaceDN w:val="0"/>
        <w:adjustRightInd w:val="0"/>
        <w:spacing w:after="30" w:line="240" w:lineRule="auto"/>
        <w:jc w:val="center"/>
        <w:rPr>
          <w:rFonts w:ascii="Arial" w:hAnsi="Arial" w:cs="Arial"/>
          <w:b/>
          <w:bCs/>
          <w:color w:val="000000"/>
          <w:sz w:val="18"/>
          <w:szCs w:val="18"/>
          <w:lang w:val="x-none"/>
        </w:rPr>
      </w:pPr>
      <w:r>
        <w:rPr>
          <w:rFonts w:ascii="Arial" w:hAnsi="Arial" w:cs="Arial"/>
          <w:b/>
          <w:bCs/>
          <w:color w:val="000000"/>
          <w:sz w:val="18"/>
          <w:szCs w:val="18"/>
          <w:lang w:val="x-none"/>
        </w:rPr>
        <w:t>PROTOKÓŁ ODBIORU TECHNICZNEGO – CZĘŚCIOWEGO INSTALACJI OGRZEWCZEJ</w:t>
      </w:r>
    </w:p>
    <w:p w14:paraId="5B8B4578" w14:textId="77777777" w:rsidR="000A3B2B" w:rsidRDefault="000A3B2B" w:rsidP="009E5295">
      <w:pPr>
        <w:autoSpaceDE w:val="0"/>
        <w:autoSpaceDN w:val="0"/>
        <w:adjustRightInd w:val="0"/>
        <w:spacing w:after="30" w:line="240" w:lineRule="auto"/>
        <w:jc w:val="center"/>
        <w:rPr>
          <w:rFonts w:ascii="Arial" w:hAnsi="Arial" w:cs="Arial"/>
          <w:b/>
          <w:bCs/>
          <w:color w:val="000000"/>
          <w:sz w:val="18"/>
          <w:szCs w:val="18"/>
          <w:lang w:val="x-none"/>
        </w:rPr>
      </w:pPr>
    </w:p>
    <w:p w14:paraId="08F4F892" w14:textId="77777777" w:rsidR="000A3B2B" w:rsidRDefault="000A3B2B" w:rsidP="009E5295">
      <w:pPr>
        <w:autoSpaceDE w:val="0"/>
        <w:autoSpaceDN w:val="0"/>
        <w:adjustRightInd w:val="0"/>
        <w:spacing w:after="30" w:line="240" w:lineRule="auto"/>
        <w:jc w:val="center"/>
        <w:rPr>
          <w:rFonts w:ascii="Arial" w:hAnsi="Arial" w:cs="Arial"/>
          <w:color w:val="000000"/>
          <w:sz w:val="18"/>
          <w:szCs w:val="18"/>
          <w:lang w:val="x-none"/>
        </w:rPr>
      </w:pPr>
    </w:p>
    <w:p w14:paraId="38F0A2B3"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Instalacja ogrzewcza  ...................................................................................... realizowana </w:t>
      </w:r>
    </w:p>
    <w:p w14:paraId="029E8692"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 ........................................................................... ul. .........................................................</w:t>
      </w:r>
    </w:p>
    <w:p w14:paraId="169D44D7" w14:textId="77777777" w:rsidR="000A3B2B" w:rsidRDefault="000A3B2B" w:rsidP="009E5295">
      <w:pPr>
        <w:autoSpaceDE w:val="0"/>
        <w:autoSpaceDN w:val="0"/>
        <w:adjustRightInd w:val="0"/>
        <w:spacing w:after="30" w:line="240" w:lineRule="auto"/>
        <w:jc w:val="both"/>
        <w:rPr>
          <w:rFonts w:ascii="Arial" w:hAnsi="Arial" w:cs="Arial"/>
          <w:color w:val="000000"/>
          <w:sz w:val="14"/>
          <w:szCs w:val="14"/>
          <w:lang w:val="x-none"/>
        </w:rPr>
      </w:pPr>
      <w:r>
        <w:rPr>
          <w:rFonts w:ascii="Arial" w:hAnsi="Arial" w:cs="Arial"/>
          <w:color w:val="000000"/>
          <w:sz w:val="14"/>
          <w:szCs w:val="14"/>
          <w:lang w:val="x-none"/>
        </w:rPr>
        <w:tab/>
        <w:t xml:space="preserve">        (nazwa miejscowości)</w:t>
      </w:r>
    </w:p>
    <w:p w14:paraId="2A66AF9F" w14:textId="77777777" w:rsidR="000A3B2B" w:rsidRDefault="000A3B2B" w:rsidP="009E5295">
      <w:pPr>
        <w:tabs>
          <w:tab w:val="right" w:leader="dot" w:pos="7080"/>
        </w:tabs>
        <w:autoSpaceDE w:val="0"/>
        <w:autoSpaceDN w:val="0"/>
        <w:adjustRightInd w:val="0"/>
        <w:spacing w:after="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zaprojektowana przez </w:t>
      </w:r>
      <w:r>
        <w:rPr>
          <w:rFonts w:ascii="Arial" w:hAnsi="Arial" w:cs="Arial"/>
          <w:color w:val="000000"/>
          <w:sz w:val="18"/>
          <w:szCs w:val="18"/>
          <w:lang w:val="x-none"/>
        </w:rPr>
        <w:tab/>
      </w:r>
    </w:p>
    <w:p w14:paraId="406C2421" w14:textId="77777777" w:rsidR="000A3B2B" w:rsidRDefault="000A3B2B" w:rsidP="009E5295">
      <w:pPr>
        <w:tabs>
          <w:tab w:val="right" w:leader="dot" w:pos="7080"/>
        </w:tabs>
        <w:autoSpaceDE w:val="0"/>
        <w:autoSpaceDN w:val="0"/>
        <w:adjustRightInd w:val="0"/>
        <w:spacing w:after="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Projekt zweryfikowany przez </w:t>
      </w:r>
      <w:r>
        <w:rPr>
          <w:rFonts w:ascii="Arial" w:hAnsi="Arial" w:cs="Arial"/>
          <w:color w:val="000000"/>
          <w:sz w:val="18"/>
          <w:szCs w:val="18"/>
          <w:lang w:val="x-none"/>
        </w:rPr>
        <w:tab/>
      </w:r>
    </w:p>
    <w:p w14:paraId="0FB2D6C4" w14:textId="77777777" w:rsidR="000A3B2B" w:rsidRDefault="000A3B2B" w:rsidP="009E5295">
      <w:pPr>
        <w:tabs>
          <w:tab w:val="right" w:leader="dot" w:pos="7080"/>
        </w:tabs>
        <w:autoSpaceDE w:val="0"/>
        <w:autoSpaceDN w:val="0"/>
        <w:adjustRightInd w:val="0"/>
        <w:spacing w:after="0" w:line="240" w:lineRule="auto"/>
        <w:jc w:val="both"/>
        <w:rPr>
          <w:rFonts w:ascii="Arial" w:hAnsi="Arial" w:cs="Arial"/>
          <w:b/>
          <w:bCs/>
          <w:color w:val="000000"/>
          <w:sz w:val="18"/>
          <w:szCs w:val="18"/>
          <w:lang w:val="x-none"/>
        </w:rPr>
      </w:pPr>
    </w:p>
    <w:p w14:paraId="5AE5C956" w14:textId="77777777" w:rsidR="000A3B2B" w:rsidRDefault="000A3B2B" w:rsidP="009E5295">
      <w:pPr>
        <w:tabs>
          <w:tab w:val="right" w:leader="dot" w:pos="7080"/>
        </w:tabs>
        <w:autoSpaceDE w:val="0"/>
        <w:autoSpaceDN w:val="0"/>
        <w:adjustRightInd w:val="0"/>
        <w:spacing w:after="0" w:line="240" w:lineRule="auto"/>
        <w:jc w:val="both"/>
        <w:rPr>
          <w:rFonts w:ascii="Arial" w:hAnsi="Arial" w:cs="Arial"/>
          <w:b/>
          <w:bCs/>
          <w:color w:val="000000"/>
          <w:sz w:val="18"/>
          <w:szCs w:val="18"/>
          <w:lang w:val="x-none"/>
        </w:rPr>
      </w:pPr>
      <w:r>
        <w:rPr>
          <w:rFonts w:ascii="Arial" w:hAnsi="Arial" w:cs="Arial"/>
          <w:b/>
          <w:bCs/>
          <w:color w:val="000000"/>
          <w:sz w:val="18"/>
          <w:szCs w:val="18"/>
          <w:lang w:val="x-none"/>
        </w:rPr>
        <w:t>2. Zakres odbioru częściowego:</w:t>
      </w:r>
    </w:p>
    <w:p w14:paraId="3C69C18F" w14:textId="77777777" w:rsidR="000A3B2B" w:rsidRDefault="000A3B2B" w:rsidP="009E5295">
      <w:pPr>
        <w:tabs>
          <w:tab w:val="right" w:leader="dot" w:pos="7080"/>
        </w:tabs>
        <w:autoSpaceDE w:val="0"/>
        <w:autoSpaceDN w:val="0"/>
        <w:adjustRightInd w:val="0"/>
        <w:spacing w:after="0" w:line="240" w:lineRule="auto"/>
        <w:jc w:val="both"/>
        <w:rPr>
          <w:rFonts w:ascii="Arial" w:hAnsi="Arial" w:cs="Arial"/>
          <w:color w:val="000000"/>
          <w:sz w:val="18"/>
          <w:szCs w:val="18"/>
          <w:lang w:val="x-none"/>
        </w:rPr>
      </w:pPr>
      <w:r>
        <w:rPr>
          <w:rFonts w:ascii="Arial" w:hAnsi="Arial" w:cs="Arial"/>
          <w:color w:val="000000"/>
          <w:sz w:val="18"/>
          <w:szCs w:val="18"/>
          <w:lang w:val="x-none"/>
        </w:rPr>
        <w:tab/>
      </w:r>
    </w:p>
    <w:p w14:paraId="40335235" w14:textId="77777777" w:rsidR="000A3B2B" w:rsidRDefault="000A3B2B" w:rsidP="009E5295">
      <w:pPr>
        <w:tabs>
          <w:tab w:val="right" w:leader="dot" w:pos="7080"/>
        </w:tabs>
        <w:autoSpaceDE w:val="0"/>
        <w:autoSpaceDN w:val="0"/>
        <w:adjustRightInd w:val="0"/>
        <w:spacing w:after="0" w:line="240" w:lineRule="auto"/>
        <w:jc w:val="both"/>
        <w:rPr>
          <w:rFonts w:ascii="Arial" w:hAnsi="Arial" w:cs="Arial"/>
          <w:color w:val="000000"/>
          <w:sz w:val="18"/>
          <w:szCs w:val="18"/>
          <w:lang w:val="x-none"/>
        </w:rPr>
      </w:pPr>
      <w:r>
        <w:rPr>
          <w:rFonts w:ascii="Arial" w:hAnsi="Arial" w:cs="Arial"/>
          <w:color w:val="000000"/>
          <w:sz w:val="18"/>
          <w:szCs w:val="18"/>
          <w:lang w:val="x-none"/>
        </w:rPr>
        <w:tab/>
      </w:r>
    </w:p>
    <w:p w14:paraId="0BE58B22" w14:textId="77777777" w:rsidR="000A3B2B" w:rsidRDefault="000A3B2B" w:rsidP="009E5295">
      <w:pPr>
        <w:autoSpaceDE w:val="0"/>
        <w:autoSpaceDN w:val="0"/>
        <w:adjustRightInd w:val="0"/>
        <w:spacing w:after="30" w:line="240" w:lineRule="auto"/>
        <w:jc w:val="center"/>
        <w:rPr>
          <w:rFonts w:ascii="Arial" w:hAnsi="Arial" w:cs="Arial"/>
          <w:color w:val="000000"/>
          <w:sz w:val="14"/>
          <w:szCs w:val="14"/>
          <w:lang w:val="x-none"/>
        </w:rPr>
      </w:pPr>
      <w:r>
        <w:rPr>
          <w:rFonts w:ascii="Arial" w:hAnsi="Arial" w:cs="Arial"/>
          <w:color w:val="000000"/>
          <w:sz w:val="14"/>
          <w:szCs w:val="14"/>
          <w:lang w:val="x-none"/>
        </w:rPr>
        <w:t>(opis jednoznacznie identyfikujący zakres instalacji objęty odbiorem częściowym)</w:t>
      </w:r>
    </w:p>
    <w:p w14:paraId="00173C98" w14:textId="77777777" w:rsidR="000A3B2B" w:rsidRDefault="000A3B2B" w:rsidP="009E5295">
      <w:pPr>
        <w:autoSpaceDE w:val="0"/>
        <w:autoSpaceDN w:val="0"/>
        <w:adjustRightInd w:val="0"/>
        <w:spacing w:after="30" w:line="240" w:lineRule="auto"/>
        <w:jc w:val="both"/>
        <w:rPr>
          <w:rFonts w:ascii="Arial" w:hAnsi="Arial" w:cs="Arial"/>
          <w:b/>
          <w:bCs/>
          <w:color w:val="000000"/>
          <w:sz w:val="18"/>
          <w:szCs w:val="18"/>
          <w:lang w:val="x-none"/>
        </w:rPr>
      </w:pPr>
    </w:p>
    <w:p w14:paraId="167C5143" w14:textId="77777777" w:rsidR="000A3B2B" w:rsidRDefault="000A3B2B" w:rsidP="009E5295">
      <w:pPr>
        <w:autoSpaceDE w:val="0"/>
        <w:autoSpaceDN w:val="0"/>
        <w:adjustRightInd w:val="0"/>
        <w:spacing w:after="30" w:line="240" w:lineRule="auto"/>
        <w:jc w:val="both"/>
        <w:rPr>
          <w:rFonts w:ascii="Arial" w:hAnsi="Arial" w:cs="Arial"/>
          <w:b/>
          <w:bCs/>
          <w:color w:val="000000"/>
          <w:sz w:val="18"/>
          <w:szCs w:val="18"/>
          <w:lang w:val="x-none"/>
        </w:rPr>
      </w:pPr>
      <w:r>
        <w:rPr>
          <w:rFonts w:ascii="Arial" w:hAnsi="Arial" w:cs="Arial"/>
          <w:b/>
          <w:bCs/>
          <w:color w:val="000000"/>
          <w:sz w:val="18"/>
          <w:szCs w:val="18"/>
          <w:lang w:val="x-none"/>
        </w:rPr>
        <w:t>3. Skład Komisji</w:t>
      </w:r>
    </w:p>
    <w:tbl>
      <w:tblPr>
        <w:tblW w:w="0" w:type="auto"/>
        <w:tblCellSpacing w:w="0" w:type="dxa"/>
        <w:tblInd w:w="-8" w:type="dxa"/>
        <w:tblLayout w:type="fixed"/>
        <w:tblCellMar>
          <w:left w:w="0" w:type="dxa"/>
          <w:right w:w="0" w:type="dxa"/>
        </w:tblCellMar>
        <w:tblLook w:val="0000" w:firstRow="0" w:lastRow="0" w:firstColumn="0" w:lastColumn="0" w:noHBand="0" w:noVBand="0"/>
      </w:tblPr>
      <w:tblGrid>
        <w:gridCol w:w="502"/>
        <w:gridCol w:w="1380"/>
        <w:gridCol w:w="1320"/>
        <w:gridCol w:w="1320"/>
        <w:gridCol w:w="1320"/>
        <w:gridCol w:w="1320"/>
      </w:tblGrid>
      <w:tr w:rsidR="000A3B2B" w14:paraId="47BA1219" w14:textId="77777777">
        <w:trPr>
          <w:trHeight w:val="60"/>
          <w:tblCellSpacing w:w="0" w:type="dxa"/>
        </w:trPr>
        <w:tc>
          <w:tcPr>
            <w:tcW w:w="502" w:type="dxa"/>
            <w:tcBorders>
              <w:top w:val="single" w:sz="6" w:space="0" w:color="000000"/>
              <w:left w:val="single" w:sz="6" w:space="0" w:color="000000"/>
              <w:bottom w:val="single" w:sz="6" w:space="0" w:color="000000"/>
              <w:right w:val="single" w:sz="6" w:space="0" w:color="000000"/>
            </w:tcBorders>
            <w:vAlign w:val="center"/>
          </w:tcPr>
          <w:p w14:paraId="3A463A1A"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Poz.</w:t>
            </w:r>
          </w:p>
        </w:tc>
        <w:tc>
          <w:tcPr>
            <w:tcW w:w="1380" w:type="dxa"/>
            <w:tcBorders>
              <w:top w:val="single" w:sz="6" w:space="0" w:color="000000"/>
              <w:left w:val="single" w:sz="6" w:space="0" w:color="000000"/>
              <w:bottom w:val="single" w:sz="6" w:space="0" w:color="000000"/>
              <w:right w:val="single" w:sz="6" w:space="0" w:color="000000"/>
            </w:tcBorders>
            <w:vAlign w:val="center"/>
          </w:tcPr>
          <w:p w14:paraId="332FD8DF"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w:t>
            </w:r>
          </w:p>
        </w:tc>
        <w:tc>
          <w:tcPr>
            <w:tcW w:w="1320" w:type="dxa"/>
            <w:tcBorders>
              <w:top w:val="single" w:sz="6" w:space="0" w:color="000000"/>
              <w:left w:val="single" w:sz="6" w:space="0" w:color="000000"/>
              <w:bottom w:val="single" w:sz="6" w:space="0" w:color="000000"/>
              <w:right w:val="single" w:sz="6" w:space="0" w:color="000000"/>
            </w:tcBorders>
            <w:vAlign w:val="center"/>
          </w:tcPr>
          <w:p w14:paraId="4D9FBA14"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Imię i nazwisko</w:t>
            </w:r>
          </w:p>
        </w:tc>
        <w:tc>
          <w:tcPr>
            <w:tcW w:w="1320" w:type="dxa"/>
            <w:tcBorders>
              <w:top w:val="single" w:sz="6" w:space="0" w:color="000000"/>
              <w:left w:val="single" w:sz="6" w:space="0" w:color="000000"/>
              <w:bottom w:val="single" w:sz="6" w:space="0" w:color="000000"/>
              <w:right w:val="single" w:sz="6" w:space="0" w:color="000000"/>
            </w:tcBorders>
            <w:vAlign w:val="center"/>
          </w:tcPr>
          <w:p w14:paraId="03B26DA8"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Instytucja</w:t>
            </w:r>
          </w:p>
        </w:tc>
        <w:tc>
          <w:tcPr>
            <w:tcW w:w="1320" w:type="dxa"/>
            <w:tcBorders>
              <w:top w:val="single" w:sz="6" w:space="0" w:color="000000"/>
              <w:left w:val="single" w:sz="6" w:space="0" w:color="000000"/>
              <w:bottom w:val="single" w:sz="6" w:space="0" w:color="000000"/>
              <w:right w:val="single" w:sz="6" w:space="0" w:color="000000"/>
            </w:tcBorders>
            <w:vAlign w:val="center"/>
          </w:tcPr>
          <w:p w14:paraId="6F257815"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Stanowisko</w:t>
            </w:r>
          </w:p>
        </w:tc>
        <w:tc>
          <w:tcPr>
            <w:tcW w:w="1320" w:type="dxa"/>
            <w:tcBorders>
              <w:top w:val="single" w:sz="6" w:space="0" w:color="000000"/>
              <w:left w:val="single" w:sz="6" w:space="0" w:color="000000"/>
              <w:bottom w:val="single" w:sz="6" w:space="0" w:color="000000"/>
              <w:right w:val="single" w:sz="6" w:space="0" w:color="000000"/>
            </w:tcBorders>
            <w:vAlign w:val="center"/>
          </w:tcPr>
          <w:p w14:paraId="0B7CA45C" w14:textId="77777777" w:rsidR="000A3B2B" w:rsidRDefault="000A3B2B">
            <w:pPr>
              <w:autoSpaceDE w:val="0"/>
              <w:autoSpaceDN w:val="0"/>
              <w:adjustRightInd w:val="0"/>
              <w:spacing w:after="30" w:line="240" w:lineRule="auto"/>
              <w:jc w:val="center"/>
              <w:rPr>
                <w:rFonts w:ascii="Arial" w:hAnsi="Arial" w:cs="Arial"/>
                <w:color w:val="000000"/>
                <w:position w:val="4"/>
                <w:sz w:val="8"/>
                <w:szCs w:val="8"/>
                <w:lang w:val="x-none"/>
              </w:rPr>
            </w:pPr>
            <w:r>
              <w:rPr>
                <w:rFonts w:ascii="Arial" w:hAnsi="Arial" w:cs="Arial"/>
                <w:color w:val="000000"/>
                <w:sz w:val="18"/>
                <w:szCs w:val="18"/>
                <w:lang w:val="x-none"/>
              </w:rPr>
              <w:t>Uwagi</w:t>
            </w:r>
            <w:r>
              <w:rPr>
                <w:rFonts w:ascii="Arial" w:hAnsi="Arial" w:cs="Arial"/>
                <w:color w:val="000000"/>
                <w:position w:val="4"/>
                <w:sz w:val="8"/>
                <w:szCs w:val="8"/>
                <w:lang w:val="x-none"/>
              </w:rPr>
              <w:t>1)</w:t>
            </w:r>
          </w:p>
        </w:tc>
      </w:tr>
      <w:tr w:rsidR="000A3B2B" w14:paraId="2165590B" w14:textId="77777777">
        <w:trPr>
          <w:trHeight w:val="60"/>
          <w:tblCellSpacing w:w="0" w:type="dxa"/>
        </w:trPr>
        <w:tc>
          <w:tcPr>
            <w:tcW w:w="502" w:type="dxa"/>
            <w:tcBorders>
              <w:top w:val="single" w:sz="6" w:space="0" w:color="000000"/>
              <w:left w:val="single" w:sz="6" w:space="0" w:color="000000"/>
              <w:bottom w:val="single" w:sz="6" w:space="0" w:color="000000"/>
              <w:right w:val="single" w:sz="6" w:space="0" w:color="000000"/>
            </w:tcBorders>
            <w:vAlign w:val="center"/>
          </w:tcPr>
          <w:p w14:paraId="48551728"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w:t>
            </w:r>
          </w:p>
        </w:tc>
        <w:tc>
          <w:tcPr>
            <w:tcW w:w="1380" w:type="dxa"/>
            <w:tcBorders>
              <w:top w:val="single" w:sz="6" w:space="0" w:color="000000"/>
              <w:left w:val="single" w:sz="6" w:space="0" w:color="000000"/>
              <w:bottom w:val="single" w:sz="6" w:space="0" w:color="000000"/>
              <w:right w:val="single" w:sz="6" w:space="0" w:color="000000"/>
            </w:tcBorders>
            <w:vAlign w:val="center"/>
          </w:tcPr>
          <w:p w14:paraId="03663DB7"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Inwestor</w:t>
            </w:r>
          </w:p>
        </w:tc>
        <w:tc>
          <w:tcPr>
            <w:tcW w:w="1320" w:type="dxa"/>
            <w:tcBorders>
              <w:top w:val="single" w:sz="6" w:space="0" w:color="000000"/>
              <w:left w:val="single" w:sz="6" w:space="0" w:color="000000"/>
              <w:bottom w:val="single" w:sz="6" w:space="0" w:color="000000"/>
              <w:right w:val="single" w:sz="6" w:space="0" w:color="000000"/>
            </w:tcBorders>
            <w:vAlign w:val="center"/>
          </w:tcPr>
          <w:p w14:paraId="045A4357"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1320" w:type="dxa"/>
            <w:tcBorders>
              <w:top w:val="single" w:sz="6" w:space="0" w:color="000000"/>
              <w:left w:val="single" w:sz="6" w:space="0" w:color="000000"/>
              <w:bottom w:val="single" w:sz="6" w:space="0" w:color="000000"/>
              <w:right w:val="single" w:sz="6" w:space="0" w:color="000000"/>
            </w:tcBorders>
            <w:vAlign w:val="center"/>
          </w:tcPr>
          <w:p w14:paraId="15D61A61"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1320" w:type="dxa"/>
            <w:tcBorders>
              <w:top w:val="single" w:sz="6" w:space="0" w:color="000000"/>
              <w:left w:val="single" w:sz="6" w:space="0" w:color="000000"/>
              <w:bottom w:val="single" w:sz="6" w:space="0" w:color="000000"/>
              <w:right w:val="single" w:sz="6" w:space="0" w:color="000000"/>
            </w:tcBorders>
            <w:vAlign w:val="center"/>
          </w:tcPr>
          <w:p w14:paraId="51BEB070"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1320" w:type="dxa"/>
            <w:tcBorders>
              <w:top w:val="single" w:sz="6" w:space="0" w:color="000000"/>
              <w:left w:val="single" w:sz="6" w:space="0" w:color="000000"/>
              <w:bottom w:val="single" w:sz="6" w:space="0" w:color="000000"/>
              <w:right w:val="single" w:sz="6" w:space="0" w:color="000000"/>
            </w:tcBorders>
            <w:vAlign w:val="center"/>
          </w:tcPr>
          <w:p w14:paraId="1B83912E" w14:textId="77777777" w:rsidR="000A3B2B" w:rsidRDefault="000A3B2B">
            <w:pPr>
              <w:autoSpaceDE w:val="0"/>
              <w:autoSpaceDN w:val="0"/>
              <w:adjustRightInd w:val="0"/>
              <w:spacing w:after="0" w:line="240" w:lineRule="auto"/>
              <w:rPr>
                <w:rFonts w:ascii="Arial" w:hAnsi="Arial" w:cs="Arial"/>
                <w:sz w:val="24"/>
                <w:szCs w:val="24"/>
                <w:lang w:val="x-none"/>
              </w:rPr>
            </w:pPr>
          </w:p>
        </w:tc>
      </w:tr>
      <w:tr w:rsidR="000A3B2B" w14:paraId="52D2AAF7" w14:textId="77777777">
        <w:trPr>
          <w:trHeight w:val="60"/>
          <w:tblCellSpacing w:w="0" w:type="dxa"/>
        </w:trPr>
        <w:tc>
          <w:tcPr>
            <w:tcW w:w="502" w:type="dxa"/>
            <w:tcBorders>
              <w:top w:val="single" w:sz="6" w:space="0" w:color="000000"/>
              <w:left w:val="single" w:sz="6" w:space="0" w:color="000000"/>
              <w:bottom w:val="single" w:sz="6" w:space="0" w:color="000000"/>
              <w:right w:val="single" w:sz="6" w:space="0" w:color="000000"/>
            </w:tcBorders>
            <w:vAlign w:val="center"/>
          </w:tcPr>
          <w:p w14:paraId="4815D1D6"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2.</w:t>
            </w:r>
          </w:p>
        </w:tc>
        <w:tc>
          <w:tcPr>
            <w:tcW w:w="1380" w:type="dxa"/>
            <w:tcBorders>
              <w:top w:val="single" w:sz="6" w:space="0" w:color="000000"/>
              <w:left w:val="single" w:sz="6" w:space="0" w:color="000000"/>
              <w:bottom w:val="single" w:sz="6" w:space="0" w:color="000000"/>
              <w:right w:val="single" w:sz="6" w:space="0" w:color="000000"/>
            </w:tcBorders>
            <w:vAlign w:val="center"/>
          </w:tcPr>
          <w:p w14:paraId="081FEC97"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Wykonawca</w:t>
            </w:r>
          </w:p>
        </w:tc>
        <w:tc>
          <w:tcPr>
            <w:tcW w:w="1320" w:type="dxa"/>
            <w:tcBorders>
              <w:top w:val="single" w:sz="6" w:space="0" w:color="000000"/>
              <w:left w:val="single" w:sz="6" w:space="0" w:color="000000"/>
              <w:bottom w:val="single" w:sz="6" w:space="0" w:color="000000"/>
              <w:right w:val="single" w:sz="6" w:space="0" w:color="000000"/>
            </w:tcBorders>
            <w:vAlign w:val="center"/>
          </w:tcPr>
          <w:p w14:paraId="4BC41B45"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1320" w:type="dxa"/>
            <w:tcBorders>
              <w:top w:val="single" w:sz="6" w:space="0" w:color="000000"/>
              <w:left w:val="single" w:sz="6" w:space="0" w:color="000000"/>
              <w:bottom w:val="single" w:sz="6" w:space="0" w:color="000000"/>
              <w:right w:val="single" w:sz="6" w:space="0" w:color="000000"/>
            </w:tcBorders>
            <w:vAlign w:val="center"/>
          </w:tcPr>
          <w:p w14:paraId="3D570BAB"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1320" w:type="dxa"/>
            <w:tcBorders>
              <w:top w:val="single" w:sz="6" w:space="0" w:color="000000"/>
              <w:left w:val="single" w:sz="6" w:space="0" w:color="000000"/>
              <w:bottom w:val="single" w:sz="6" w:space="0" w:color="000000"/>
              <w:right w:val="single" w:sz="6" w:space="0" w:color="000000"/>
            </w:tcBorders>
            <w:vAlign w:val="center"/>
          </w:tcPr>
          <w:p w14:paraId="4F6784A6"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1320" w:type="dxa"/>
            <w:tcBorders>
              <w:top w:val="single" w:sz="6" w:space="0" w:color="000000"/>
              <w:left w:val="single" w:sz="6" w:space="0" w:color="000000"/>
              <w:bottom w:val="single" w:sz="6" w:space="0" w:color="000000"/>
              <w:right w:val="single" w:sz="6" w:space="0" w:color="000000"/>
            </w:tcBorders>
            <w:vAlign w:val="center"/>
          </w:tcPr>
          <w:p w14:paraId="5158B2DD" w14:textId="77777777" w:rsidR="000A3B2B" w:rsidRDefault="000A3B2B">
            <w:pPr>
              <w:autoSpaceDE w:val="0"/>
              <w:autoSpaceDN w:val="0"/>
              <w:adjustRightInd w:val="0"/>
              <w:spacing w:after="0" w:line="240" w:lineRule="auto"/>
              <w:rPr>
                <w:rFonts w:ascii="Arial" w:hAnsi="Arial" w:cs="Arial"/>
                <w:sz w:val="24"/>
                <w:szCs w:val="24"/>
                <w:lang w:val="x-none"/>
              </w:rPr>
            </w:pPr>
          </w:p>
        </w:tc>
      </w:tr>
      <w:tr w:rsidR="000A3B2B" w14:paraId="7519E653" w14:textId="77777777">
        <w:trPr>
          <w:trHeight w:val="60"/>
          <w:tblCellSpacing w:w="0" w:type="dxa"/>
        </w:trPr>
        <w:tc>
          <w:tcPr>
            <w:tcW w:w="502" w:type="dxa"/>
            <w:tcBorders>
              <w:top w:val="single" w:sz="6" w:space="0" w:color="000000"/>
              <w:left w:val="single" w:sz="6" w:space="0" w:color="000000"/>
              <w:bottom w:val="single" w:sz="6" w:space="0" w:color="000000"/>
              <w:right w:val="single" w:sz="6" w:space="0" w:color="000000"/>
            </w:tcBorders>
            <w:vAlign w:val="center"/>
          </w:tcPr>
          <w:p w14:paraId="76F5A809"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3.</w:t>
            </w:r>
          </w:p>
        </w:tc>
        <w:tc>
          <w:tcPr>
            <w:tcW w:w="1380" w:type="dxa"/>
            <w:tcBorders>
              <w:top w:val="single" w:sz="6" w:space="0" w:color="000000"/>
              <w:left w:val="single" w:sz="6" w:space="0" w:color="000000"/>
              <w:bottom w:val="single" w:sz="6" w:space="0" w:color="000000"/>
              <w:right w:val="single" w:sz="6" w:space="0" w:color="000000"/>
            </w:tcBorders>
            <w:vAlign w:val="center"/>
          </w:tcPr>
          <w:p w14:paraId="493C4719"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Nadzór</w:t>
            </w:r>
          </w:p>
        </w:tc>
        <w:tc>
          <w:tcPr>
            <w:tcW w:w="1320" w:type="dxa"/>
            <w:tcBorders>
              <w:top w:val="single" w:sz="6" w:space="0" w:color="000000"/>
              <w:left w:val="single" w:sz="6" w:space="0" w:color="000000"/>
              <w:bottom w:val="single" w:sz="6" w:space="0" w:color="000000"/>
              <w:right w:val="single" w:sz="6" w:space="0" w:color="000000"/>
            </w:tcBorders>
            <w:vAlign w:val="center"/>
          </w:tcPr>
          <w:p w14:paraId="28805E3A"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1320" w:type="dxa"/>
            <w:tcBorders>
              <w:top w:val="single" w:sz="6" w:space="0" w:color="000000"/>
              <w:left w:val="single" w:sz="6" w:space="0" w:color="000000"/>
              <w:bottom w:val="single" w:sz="6" w:space="0" w:color="000000"/>
              <w:right w:val="single" w:sz="6" w:space="0" w:color="000000"/>
            </w:tcBorders>
            <w:vAlign w:val="center"/>
          </w:tcPr>
          <w:p w14:paraId="5FABB03C"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1320" w:type="dxa"/>
            <w:tcBorders>
              <w:top w:val="single" w:sz="6" w:space="0" w:color="000000"/>
              <w:left w:val="single" w:sz="6" w:space="0" w:color="000000"/>
              <w:bottom w:val="single" w:sz="6" w:space="0" w:color="000000"/>
              <w:right w:val="single" w:sz="6" w:space="0" w:color="000000"/>
            </w:tcBorders>
            <w:vAlign w:val="center"/>
          </w:tcPr>
          <w:p w14:paraId="5894CD7B"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1320" w:type="dxa"/>
            <w:tcBorders>
              <w:top w:val="single" w:sz="6" w:space="0" w:color="000000"/>
              <w:left w:val="single" w:sz="6" w:space="0" w:color="000000"/>
              <w:bottom w:val="single" w:sz="6" w:space="0" w:color="000000"/>
              <w:right w:val="single" w:sz="6" w:space="0" w:color="000000"/>
            </w:tcBorders>
            <w:vAlign w:val="center"/>
          </w:tcPr>
          <w:p w14:paraId="5F9BBFCC" w14:textId="77777777" w:rsidR="000A3B2B" w:rsidRDefault="000A3B2B">
            <w:pPr>
              <w:autoSpaceDE w:val="0"/>
              <w:autoSpaceDN w:val="0"/>
              <w:adjustRightInd w:val="0"/>
              <w:spacing w:after="0" w:line="240" w:lineRule="auto"/>
              <w:rPr>
                <w:rFonts w:ascii="Arial" w:hAnsi="Arial" w:cs="Arial"/>
                <w:sz w:val="24"/>
                <w:szCs w:val="24"/>
                <w:lang w:val="x-none"/>
              </w:rPr>
            </w:pPr>
          </w:p>
        </w:tc>
      </w:tr>
      <w:tr w:rsidR="000A3B2B" w14:paraId="62F34187" w14:textId="77777777">
        <w:trPr>
          <w:trHeight w:val="60"/>
          <w:tblCellSpacing w:w="0" w:type="dxa"/>
        </w:trPr>
        <w:tc>
          <w:tcPr>
            <w:tcW w:w="502" w:type="dxa"/>
            <w:tcBorders>
              <w:top w:val="single" w:sz="6" w:space="0" w:color="000000"/>
              <w:left w:val="single" w:sz="6" w:space="0" w:color="000000"/>
              <w:bottom w:val="single" w:sz="6" w:space="0" w:color="000000"/>
              <w:right w:val="single" w:sz="6" w:space="0" w:color="000000"/>
            </w:tcBorders>
            <w:vAlign w:val="center"/>
          </w:tcPr>
          <w:p w14:paraId="7DA5E999"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4.</w:t>
            </w:r>
          </w:p>
        </w:tc>
        <w:tc>
          <w:tcPr>
            <w:tcW w:w="1380" w:type="dxa"/>
            <w:tcBorders>
              <w:top w:val="single" w:sz="6" w:space="0" w:color="000000"/>
              <w:left w:val="single" w:sz="6" w:space="0" w:color="000000"/>
              <w:bottom w:val="single" w:sz="6" w:space="0" w:color="000000"/>
              <w:right w:val="single" w:sz="6" w:space="0" w:color="000000"/>
            </w:tcBorders>
            <w:vAlign w:val="center"/>
          </w:tcPr>
          <w:p w14:paraId="60FF7EB4"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Użytkownik</w:t>
            </w:r>
          </w:p>
        </w:tc>
        <w:tc>
          <w:tcPr>
            <w:tcW w:w="1320" w:type="dxa"/>
            <w:tcBorders>
              <w:top w:val="single" w:sz="6" w:space="0" w:color="000000"/>
              <w:left w:val="single" w:sz="6" w:space="0" w:color="000000"/>
              <w:bottom w:val="single" w:sz="6" w:space="0" w:color="000000"/>
              <w:right w:val="single" w:sz="6" w:space="0" w:color="000000"/>
            </w:tcBorders>
            <w:vAlign w:val="center"/>
          </w:tcPr>
          <w:p w14:paraId="44AC9D6D"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1320" w:type="dxa"/>
            <w:tcBorders>
              <w:top w:val="single" w:sz="6" w:space="0" w:color="000000"/>
              <w:left w:val="single" w:sz="6" w:space="0" w:color="000000"/>
              <w:bottom w:val="single" w:sz="6" w:space="0" w:color="000000"/>
              <w:right w:val="single" w:sz="6" w:space="0" w:color="000000"/>
            </w:tcBorders>
            <w:vAlign w:val="center"/>
          </w:tcPr>
          <w:p w14:paraId="2D2036DD"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1320" w:type="dxa"/>
            <w:tcBorders>
              <w:top w:val="single" w:sz="6" w:space="0" w:color="000000"/>
              <w:left w:val="single" w:sz="6" w:space="0" w:color="000000"/>
              <w:bottom w:val="single" w:sz="6" w:space="0" w:color="000000"/>
              <w:right w:val="single" w:sz="6" w:space="0" w:color="000000"/>
            </w:tcBorders>
            <w:vAlign w:val="center"/>
          </w:tcPr>
          <w:p w14:paraId="47E59513"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1320" w:type="dxa"/>
            <w:tcBorders>
              <w:top w:val="single" w:sz="6" w:space="0" w:color="000000"/>
              <w:left w:val="single" w:sz="6" w:space="0" w:color="000000"/>
              <w:bottom w:val="single" w:sz="6" w:space="0" w:color="000000"/>
              <w:right w:val="single" w:sz="6" w:space="0" w:color="000000"/>
            </w:tcBorders>
            <w:vAlign w:val="center"/>
          </w:tcPr>
          <w:p w14:paraId="4D94DD1B" w14:textId="77777777" w:rsidR="000A3B2B" w:rsidRDefault="000A3B2B">
            <w:pPr>
              <w:autoSpaceDE w:val="0"/>
              <w:autoSpaceDN w:val="0"/>
              <w:adjustRightInd w:val="0"/>
              <w:spacing w:after="0" w:line="240" w:lineRule="auto"/>
              <w:rPr>
                <w:rFonts w:ascii="Arial" w:hAnsi="Arial" w:cs="Arial"/>
                <w:sz w:val="24"/>
                <w:szCs w:val="24"/>
                <w:lang w:val="x-none"/>
              </w:rPr>
            </w:pPr>
          </w:p>
        </w:tc>
      </w:tr>
      <w:tr w:rsidR="000A3B2B" w14:paraId="4FBC3363" w14:textId="77777777">
        <w:trPr>
          <w:trHeight w:val="60"/>
          <w:tblCellSpacing w:w="0" w:type="dxa"/>
        </w:trPr>
        <w:tc>
          <w:tcPr>
            <w:tcW w:w="502" w:type="dxa"/>
            <w:tcBorders>
              <w:top w:val="single" w:sz="6" w:space="0" w:color="000000"/>
              <w:left w:val="single" w:sz="6" w:space="0" w:color="000000"/>
              <w:bottom w:val="single" w:sz="6" w:space="0" w:color="000000"/>
              <w:right w:val="single" w:sz="6" w:space="0" w:color="000000"/>
            </w:tcBorders>
            <w:vAlign w:val="center"/>
          </w:tcPr>
          <w:p w14:paraId="2925C763"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5.</w:t>
            </w:r>
          </w:p>
        </w:tc>
        <w:tc>
          <w:tcPr>
            <w:tcW w:w="1380" w:type="dxa"/>
            <w:tcBorders>
              <w:top w:val="single" w:sz="6" w:space="0" w:color="000000"/>
              <w:left w:val="single" w:sz="6" w:space="0" w:color="000000"/>
              <w:bottom w:val="single" w:sz="6" w:space="0" w:color="000000"/>
              <w:right w:val="single" w:sz="6" w:space="0" w:color="000000"/>
            </w:tcBorders>
            <w:vAlign w:val="center"/>
          </w:tcPr>
          <w:p w14:paraId="295EF7A9"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Projektant</w:t>
            </w:r>
          </w:p>
        </w:tc>
        <w:tc>
          <w:tcPr>
            <w:tcW w:w="1320" w:type="dxa"/>
            <w:tcBorders>
              <w:top w:val="single" w:sz="6" w:space="0" w:color="000000"/>
              <w:left w:val="single" w:sz="6" w:space="0" w:color="000000"/>
              <w:bottom w:val="single" w:sz="6" w:space="0" w:color="000000"/>
              <w:right w:val="single" w:sz="6" w:space="0" w:color="000000"/>
            </w:tcBorders>
            <w:vAlign w:val="center"/>
          </w:tcPr>
          <w:p w14:paraId="3B4FC7F1"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1320" w:type="dxa"/>
            <w:tcBorders>
              <w:top w:val="single" w:sz="6" w:space="0" w:color="000000"/>
              <w:left w:val="single" w:sz="6" w:space="0" w:color="000000"/>
              <w:bottom w:val="single" w:sz="6" w:space="0" w:color="000000"/>
              <w:right w:val="single" w:sz="6" w:space="0" w:color="000000"/>
            </w:tcBorders>
            <w:vAlign w:val="center"/>
          </w:tcPr>
          <w:p w14:paraId="7EB62F34"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1320" w:type="dxa"/>
            <w:tcBorders>
              <w:top w:val="single" w:sz="6" w:space="0" w:color="000000"/>
              <w:left w:val="single" w:sz="6" w:space="0" w:color="000000"/>
              <w:bottom w:val="single" w:sz="6" w:space="0" w:color="000000"/>
              <w:right w:val="single" w:sz="6" w:space="0" w:color="000000"/>
            </w:tcBorders>
            <w:vAlign w:val="center"/>
          </w:tcPr>
          <w:p w14:paraId="2E3DE91C"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1320" w:type="dxa"/>
            <w:tcBorders>
              <w:top w:val="single" w:sz="6" w:space="0" w:color="000000"/>
              <w:left w:val="single" w:sz="6" w:space="0" w:color="000000"/>
              <w:bottom w:val="single" w:sz="6" w:space="0" w:color="000000"/>
              <w:right w:val="single" w:sz="6" w:space="0" w:color="000000"/>
            </w:tcBorders>
            <w:vAlign w:val="center"/>
          </w:tcPr>
          <w:p w14:paraId="18249D88" w14:textId="77777777" w:rsidR="000A3B2B" w:rsidRDefault="000A3B2B">
            <w:pPr>
              <w:autoSpaceDE w:val="0"/>
              <w:autoSpaceDN w:val="0"/>
              <w:adjustRightInd w:val="0"/>
              <w:spacing w:after="0" w:line="240" w:lineRule="auto"/>
              <w:rPr>
                <w:rFonts w:ascii="Arial" w:hAnsi="Arial" w:cs="Arial"/>
                <w:sz w:val="24"/>
                <w:szCs w:val="24"/>
                <w:lang w:val="x-none"/>
              </w:rPr>
            </w:pPr>
          </w:p>
        </w:tc>
      </w:tr>
      <w:tr w:rsidR="000A3B2B" w14:paraId="292693F1" w14:textId="77777777">
        <w:trPr>
          <w:trHeight w:val="60"/>
          <w:tblCellSpacing w:w="0" w:type="dxa"/>
        </w:trPr>
        <w:tc>
          <w:tcPr>
            <w:tcW w:w="7162" w:type="dxa"/>
            <w:gridSpan w:val="6"/>
            <w:tcBorders>
              <w:top w:val="single" w:sz="6" w:space="0" w:color="000000"/>
              <w:left w:val="single" w:sz="6" w:space="0" w:color="000000"/>
              <w:bottom w:val="single" w:sz="6" w:space="0" w:color="000000"/>
              <w:right w:val="single" w:sz="6" w:space="0" w:color="000000"/>
            </w:tcBorders>
            <w:vAlign w:val="center"/>
          </w:tcPr>
          <w:p w14:paraId="020C33A9" w14:textId="77777777" w:rsidR="000A3B2B" w:rsidRDefault="000A3B2B">
            <w:pPr>
              <w:autoSpaceDE w:val="0"/>
              <w:autoSpaceDN w:val="0"/>
              <w:adjustRightInd w:val="0"/>
              <w:spacing w:after="30" w:line="240" w:lineRule="auto"/>
              <w:ind w:left="165" w:hanging="165"/>
              <w:jc w:val="both"/>
              <w:rPr>
                <w:rFonts w:ascii="Arial" w:hAnsi="Arial" w:cs="Arial"/>
                <w:color w:val="000000"/>
                <w:sz w:val="16"/>
                <w:szCs w:val="16"/>
                <w:lang w:val="x-none"/>
              </w:rPr>
            </w:pPr>
            <w:r>
              <w:rPr>
                <w:rFonts w:ascii="Arial" w:hAnsi="Arial" w:cs="Arial"/>
                <w:color w:val="000000"/>
                <w:position w:val="4"/>
                <w:sz w:val="8"/>
                <w:szCs w:val="8"/>
                <w:lang w:val="x-none"/>
              </w:rPr>
              <w:t>1)</w:t>
            </w:r>
            <w:r>
              <w:rPr>
                <w:rFonts w:ascii="Arial" w:hAnsi="Arial" w:cs="Arial"/>
                <w:color w:val="000000"/>
                <w:sz w:val="16"/>
                <w:szCs w:val="16"/>
                <w:lang w:val="x-none"/>
              </w:rPr>
              <w:t xml:space="preserve">  dla osób pełniących samodzielne funkcje w budownictwie, numer uprawnień budowlanych</w:t>
            </w:r>
          </w:p>
        </w:tc>
      </w:tr>
    </w:tbl>
    <w:p w14:paraId="48064B36"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34802C1D" w14:textId="77777777" w:rsidR="000A3B2B" w:rsidRDefault="000A3B2B" w:rsidP="009E5295">
      <w:pPr>
        <w:autoSpaceDE w:val="0"/>
        <w:autoSpaceDN w:val="0"/>
        <w:adjustRightInd w:val="0"/>
        <w:spacing w:after="30" w:line="240" w:lineRule="auto"/>
        <w:jc w:val="both"/>
        <w:rPr>
          <w:rFonts w:ascii="Arial" w:hAnsi="Arial" w:cs="Arial"/>
          <w:b/>
          <w:bCs/>
          <w:color w:val="000000"/>
          <w:sz w:val="18"/>
          <w:szCs w:val="18"/>
          <w:lang w:val="x-none"/>
        </w:rPr>
      </w:pPr>
      <w:r>
        <w:rPr>
          <w:rFonts w:ascii="Arial" w:hAnsi="Arial" w:cs="Arial"/>
          <w:b/>
          <w:bCs/>
          <w:color w:val="000000"/>
          <w:sz w:val="18"/>
          <w:szCs w:val="18"/>
          <w:lang w:val="x-none"/>
        </w:rPr>
        <w:t>4. Wykonawca przedstawił następujące dokumenty:</w:t>
      </w:r>
    </w:p>
    <w:p w14:paraId="342911AD" w14:textId="77777777" w:rsidR="000A3B2B" w:rsidRDefault="000A3B2B" w:rsidP="009E5295">
      <w:pPr>
        <w:tabs>
          <w:tab w:val="right" w:leader="dot" w:pos="7080"/>
        </w:tabs>
        <w:autoSpaceDE w:val="0"/>
        <w:autoSpaceDN w:val="0"/>
        <w:adjustRightInd w:val="0"/>
        <w:spacing w:after="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a) umowę </w:t>
      </w:r>
      <w:r>
        <w:rPr>
          <w:rFonts w:ascii="Arial" w:hAnsi="Arial" w:cs="Arial"/>
          <w:color w:val="000000"/>
          <w:sz w:val="18"/>
          <w:szCs w:val="18"/>
          <w:lang w:val="x-none"/>
        </w:rPr>
        <w:tab/>
      </w:r>
    </w:p>
    <w:p w14:paraId="2697FC15" w14:textId="77777777" w:rsidR="000A3B2B" w:rsidRDefault="000A3B2B" w:rsidP="009E5295">
      <w:pPr>
        <w:tabs>
          <w:tab w:val="right" w:leader="dot" w:pos="7080"/>
        </w:tabs>
        <w:autoSpaceDE w:val="0"/>
        <w:autoSpaceDN w:val="0"/>
        <w:adjustRightInd w:val="0"/>
        <w:spacing w:after="0" w:line="240" w:lineRule="auto"/>
        <w:jc w:val="both"/>
        <w:rPr>
          <w:rFonts w:ascii="Arial" w:hAnsi="Arial" w:cs="Arial"/>
          <w:color w:val="000000"/>
          <w:sz w:val="18"/>
          <w:szCs w:val="18"/>
          <w:lang w:val="x-none"/>
        </w:rPr>
      </w:pPr>
      <w:r>
        <w:rPr>
          <w:rFonts w:ascii="Arial" w:hAnsi="Arial" w:cs="Arial"/>
          <w:color w:val="000000"/>
          <w:sz w:val="18"/>
          <w:szCs w:val="18"/>
          <w:lang w:val="x-none"/>
        </w:rPr>
        <w:t>b) pozwolenie na budowę i dziennik budowy,</w:t>
      </w:r>
    </w:p>
    <w:p w14:paraId="2FAE6A20" w14:textId="77777777" w:rsidR="000A3B2B" w:rsidRDefault="000A3B2B" w:rsidP="009E5295">
      <w:pPr>
        <w:tabs>
          <w:tab w:val="right" w:leader="dot" w:pos="7080"/>
        </w:tabs>
        <w:autoSpaceDE w:val="0"/>
        <w:autoSpaceDN w:val="0"/>
        <w:adjustRightInd w:val="0"/>
        <w:spacing w:after="0" w:line="240" w:lineRule="auto"/>
        <w:jc w:val="both"/>
        <w:rPr>
          <w:rFonts w:ascii="Arial" w:hAnsi="Arial" w:cs="Arial"/>
          <w:color w:val="000000"/>
          <w:sz w:val="18"/>
          <w:szCs w:val="18"/>
          <w:lang w:val="x-none"/>
        </w:rPr>
      </w:pPr>
      <w:r>
        <w:rPr>
          <w:rFonts w:ascii="Arial" w:hAnsi="Arial" w:cs="Arial"/>
          <w:color w:val="000000"/>
          <w:sz w:val="18"/>
          <w:szCs w:val="18"/>
          <w:lang w:val="x-none"/>
        </w:rPr>
        <w:t>c) protokoły odbiorów międzyoperacyjnych,</w:t>
      </w:r>
    </w:p>
    <w:p w14:paraId="512A25D1" w14:textId="77777777" w:rsidR="000A3B2B" w:rsidRDefault="000A3B2B" w:rsidP="009E5295">
      <w:pPr>
        <w:tabs>
          <w:tab w:val="right" w:leader="dot" w:pos="7080"/>
        </w:tabs>
        <w:autoSpaceDE w:val="0"/>
        <w:autoSpaceDN w:val="0"/>
        <w:adjustRightInd w:val="0"/>
        <w:spacing w:after="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d) </w:t>
      </w:r>
      <w:r>
        <w:rPr>
          <w:rFonts w:ascii="Arial" w:hAnsi="Arial" w:cs="Arial"/>
          <w:color w:val="000000"/>
          <w:sz w:val="18"/>
          <w:szCs w:val="18"/>
          <w:lang w:val="x-none"/>
        </w:rPr>
        <w:tab/>
      </w:r>
    </w:p>
    <w:p w14:paraId="58F994BF" w14:textId="77777777" w:rsidR="000A3B2B" w:rsidRDefault="000A3B2B" w:rsidP="009E5295">
      <w:pPr>
        <w:tabs>
          <w:tab w:val="right" w:leader="dot" w:pos="7080"/>
        </w:tabs>
        <w:autoSpaceDE w:val="0"/>
        <w:autoSpaceDN w:val="0"/>
        <w:adjustRightInd w:val="0"/>
        <w:spacing w:after="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e) </w:t>
      </w:r>
      <w:r>
        <w:rPr>
          <w:rFonts w:ascii="Arial" w:hAnsi="Arial" w:cs="Arial"/>
          <w:color w:val="000000"/>
          <w:sz w:val="18"/>
          <w:szCs w:val="18"/>
          <w:lang w:val="x-none"/>
        </w:rPr>
        <w:tab/>
      </w:r>
    </w:p>
    <w:p w14:paraId="79CC4AB6" w14:textId="77777777" w:rsidR="000A3B2B" w:rsidRDefault="000A3B2B" w:rsidP="009E5295">
      <w:pPr>
        <w:tabs>
          <w:tab w:val="right" w:leader="dot" w:pos="7080"/>
        </w:tabs>
        <w:autoSpaceDE w:val="0"/>
        <w:autoSpaceDN w:val="0"/>
        <w:adjustRightInd w:val="0"/>
        <w:spacing w:after="0" w:line="240" w:lineRule="auto"/>
        <w:jc w:val="both"/>
        <w:rPr>
          <w:rFonts w:ascii="Arial" w:hAnsi="Arial" w:cs="Arial"/>
          <w:color w:val="000000"/>
          <w:sz w:val="18"/>
          <w:szCs w:val="18"/>
          <w:lang w:val="x-none"/>
        </w:rPr>
      </w:pPr>
    </w:p>
    <w:p w14:paraId="2D5B1477" w14:textId="77777777" w:rsidR="000A3B2B" w:rsidRDefault="000A3B2B" w:rsidP="009E5295">
      <w:pPr>
        <w:autoSpaceDE w:val="0"/>
        <w:autoSpaceDN w:val="0"/>
        <w:adjustRightInd w:val="0"/>
        <w:spacing w:after="30" w:line="240" w:lineRule="auto"/>
        <w:ind w:left="225" w:hanging="225"/>
        <w:jc w:val="both"/>
        <w:rPr>
          <w:rFonts w:ascii="Arial" w:hAnsi="Arial" w:cs="Arial"/>
          <w:b/>
          <w:bCs/>
          <w:color w:val="000000"/>
          <w:sz w:val="18"/>
          <w:szCs w:val="18"/>
          <w:lang w:val="x-none"/>
        </w:rPr>
      </w:pPr>
      <w:r>
        <w:rPr>
          <w:rFonts w:ascii="Arial" w:hAnsi="Arial" w:cs="Arial"/>
          <w:b/>
          <w:bCs/>
          <w:color w:val="000000"/>
          <w:sz w:val="18"/>
          <w:szCs w:val="18"/>
          <w:lang w:val="x-none"/>
        </w:rPr>
        <w:t xml:space="preserve">5. </w:t>
      </w:r>
      <w:r>
        <w:rPr>
          <w:rFonts w:ascii="Arial" w:hAnsi="Arial" w:cs="Arial"/>
          <w:b/>
          <w:bCs/>
          <w:color w:val="000000"/>
          <w:sz w:val="18"/>
          <w:szCs w:val="18"/>
          <w:lang w:val="x-none"/>
        </w:rPr>
        <w:tab/>
        <w:t>Komisja stwierdza, że część instalacji będąca przedmiotem odbioru została zrealizowana (zgodnie)* (nie zgodnie)* z umową, przedstawioną dokumentacją oraz warunkami technicznymi wykonania i odbioru, wobec tego (może)* (nie może)* zostać odebrana.</w:t>
      </w:r>
    </w:p>
    <w:p w14:paraId="1A2CE5E2" w14:textId="77777777" w:rsidR="000A3B2B" w:rsidRDefault="000A3B2B" w:rsidP="009E5295">
      <w:pPr>
        <w:autoSpaceDE w:val="0"/>
        <w:autoSpaceDN w:val="0"/>
        <w:adjustRightInd w:val="0"/>
        <w:spacing w:after="30" w:line="240" w:lineRule="auto"/>
        <w:ind w:left="225" w:hanging="225"/>
        <w:jc w:val="both"/>
        <w:rPr>
          <w:rFonts w:ascii="Arial" w:hAnsi="Arial" w:cs="Arial"/>
          <w:b/>
          <w:bCs/>
          <w:color w:val="000000"/>
          <w:sz w:val="18"/>
          <w:szCs w:val="18"/>
          <w:lang w:val="x-none"/>
        </w:rPr>
      </w:pPr>
    </w:p>
    <w:p w14:paraId="477BE1F9"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6. (Ustala się, że odebrana część instalacji będzie konserwowana przez)*</w:t>
      </w:r>
      <w:r>
        <w:rPr>
          <w:rFonts w:ascii="Arial" w:hAnsi="Arial" w:cs="Arial"/>
          <w:color w:val="000000"/>
          <w:sz w:val="18"/>
          <w:szCs w:val="18"/>
          <w:lang w:val="x-none"/>
        </w:rPr>
        <w:t>.................</w:t>
      </w:r>
    </w:p>
    <w:p w14:paraId="7698E33F" w14:textId="77777777" w:rsidR="000A3B2B" w:rsidRDefault="000A3B2B" w:rsidP="009E5295">
      <w:pPr>
        <w:autoSpaceDE w:val="0"/>
        <w:autoSpaceDN w:val="0"/>
        <w:adjustRightInd w:val="0"/>
        <w:spacing w:after="30" w:line="240" w:lineRule="auto"/>
        <w:jc w:val="both"/>
        <w:rPr>
          <w:rFonts w:ascii="Arial" w:hAnsi="Arial" w:cs="Arial"/>
          <w:b/>
          <w:bCs/>
          <w:color w:val="000000"/>
          <w:sz w:val="18"/>
          <w:szCs w:val="18"/>
          <w:lang w:val="x-none"/>
        </w:rPr>
      </w:pPr>
    </w:p>
    <w:p w14:paraId="6252E743" w14:textId="77777777" w:rsidR="000A3B2B" w:rsidRDefault="000A3B2B" w:rsidP="009E5295">
      <w:pPr>
        <w:tabs>
          <w:tab w:val="right" w:leader="dot" w:pos="7080"/>
        </w:tabs>
        <w:autoSpaceDE w:val="0"/>
        <w:autoSpaceDN w:val="0"/>
        <w:adjustRightInd w:val="0"/>
        <w:spacing w:after="0" w:line="240" w:lineRule="auto"/>
        <w:jc w:val="both"/>
        <w:rPr>
          <w:rFonts w:ascii="Arial" w:hAnsi="Arial" w:cs="Arial"/>
          <w:color w:val="000000"/>
          <w:sz w:val="18"/>
          <w:szCs w:val="18"/>
          <w:lang w:val="x-none"/>
        </w:rPr>
      </w:pPr>
      <w:r>
        <w:rPr>
          <w:rFonts w:ascii="Arial" w:hAnsi="Arial" w:cs="Arial"/>
          <w:b/>
          <w:bCs/>
          <w:color w:val="000000"/>
          <w:sz w:val="18"/>
          <w:szCs w:val="18"/>
          <w:lang w:val="x-none"/>
        </w:rPr>
        <w:t xml:space="preserve">7. </w:t>
      </w:r>
      <w:r>
        <w:rPr>
          <w:rFonts w:ascii="Arial" w:hAnsi="Arial" w:cs="Arial"/>
          <w:color w:val="000000"/>
          <w:sz w:val="18"/>
          <w:szCs w:val="18"/>
          <w:lang w:val="x-none"/>
        </w:rPr>
        <w:tab/>
      </w:r>
    </w:p>
    <w:p w14:paraId="217EED74"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Na odwrotnej stronie niniejszego protokołu (nie zostały zamieszczone)* (zostały zamieszczone)* i podpisane pozostałe ustalenia, a tak że uwagi Komisji, w tym dotyczące terminu i zgodności wykonania z umową, stwierdzonych wad i terminu ich usunięcia itp.</w:t>
      </w:r>
    </w:p>
    <w:p w14:paraId="1D683523" w14:textId="77777777" w:rsidR="000A3B2B" w:rsidRDefault="000A3B2B" w:rsidP="009E5295">
      <w:pPr>
        <w:autoSpaceDE w:val="0"/>
        <w:autoSpaceDN w:val="0"/>
        <w:adjustRightInd w:val="0"/>
        <w:spacing w:after="30" w:line="240" w:lineRule="auto"/>
        <w:jc w:val="both"/>
        <w:rPr>
          <w:rFonts w:ascii="Arial" w:hAnsi="Arial" w:cs="Arial"/>
          <w:b/>
          <w:bCs/>
          <w:color w:val="000000"/>
          <w:sz w:val="18"/>
          <w:szCs w:val="18"/>
          <w:lang w:val="x-none"/>
        </w:rPr>
      </w:pPr>
    </w:p>
    <w:p w14:paraId="41CB49D2" w14:textId="77777777" w:rsidR="000A3B2B" w:rsidRDefault="000A3B2B" w:rsidP="009E5295">
      <w:pPr>
        <w:autoSpaceDE w:val="0"/>
        <w:autoSpaceDN w:val="0"/>
        <w:adjustRightInd w:val="0"/>
        <w:spacing w:after="30" w:line="240" w:lineRule="auto"/>
        <w:jc w:val="both"/>
        <w:rPr>
          <w:rFonts w:ascii="Arial" w:hAnsi="Arial" w:cs="Arial"/>
          <w:b/>
          <w:bCs/>
          <w:color w:val="000000"/>
          <w:sz w:val="18"/>
          <w:szCs w:val="18"/>
          <w:lang w:val="x-none"/>
        </w:rPr>
      </w:pPr>
      <w:r>
        <w:rPr>
          <w:rFonts w:ascii="Arial" w:hAnsi="Arial" w:cs="Arial"/>
          <w:b/>
          <w:bCs/>
          <w:color w:val="000000"/>
          <w:sz w:val="18"/>
          <w:szCs w:val="18"/>
          <w:lang w:val="x-none"/>
        </w:rPr>
        <w:t>8. Podpisy członków Komisji</w:t>
      </w:r>
    </w:p>
    <w:p w14:paraId="2EDBC96B" w14:textId="77777777" w:rsidR="000A3B2B" w:rsidRDefault="000A3B2B" w:rsidP="009E5295">
      <w:pPr>
        <w:tabs>
          <w:tab w:val="center" w:pos="840"/>
          <w:tab w:val="center" w:pos="2220"/>
          <w:tab w:val="center" w:pos="3615"/>
          <w:tab w:val="center" w:pos="5025"/>
          <w:tab w:val="center" w:pos="6435"/>
        </w:tabs>
        <w:autoSpaceDE w:val="0"/>
        <w:autoSpaceDN w:val="0"/>
        <w:adjustRightInd w:val="0"/>
        <w:spacing w:after="0" w:line="240" w:lineRule="auto"/>
        <w:jc w:val="both"/>
        <w:rPr>
          <w:rFonts w:ascii="Arial" w:hAnsi="Arial" w:cs="Arial"/>
          <w:color w:val="000000"/>
          <w:sz w:val="18"/>
          <w:szCs w:val="18"/>
          <w:lang w:val="x-none"/>
        </w:rPr>
      </w:pPr>
      <w:r>
        <w:rPr>
          <w:rFonts w:ascii="Arial" w:hAnsi="Arial" w:cs="Arial"/>
          <w:color w:val="000000"/>
          <w:sz w:val="18"/>
          <w:szCs w:val="18"/>
          <w:lang w:val="x-none"/>
        </w:rPr>
        <w:tab/>
      </w:r>
    </w:p>
    <w:p w14:paraId="40CAD654" w14:textId="77777777" w:rsidR="000A3B2B" w:rsidRDefault="000A3B2B" w:rsidP="009E5295">
      <w:pPr>
        <w:tabs>
          <w:tab w:val="center" w:pos="840"/>
          <w:tab w:val="center" w:pos="2220"/>
          <w:tab w:val="center" w:pos="3615"/>
          <w:tab w:val="center" w:pos="5025"/>
          <w:tab w:val="center" w:pos="6435"/>
        </w:tabs>
        <w:autoSpaceDE w:val="0"/>
        <w:autoSpaceDN w:val="0"/>
        <w:adjustRightInd w:val="0"/>
        <w:spacing w:after="0" w:line="240" w:lineRule="auto"/>
        <w:jc w:val="both"/>
        <w:rPr>
          <w:rFonts w:ascii="Arial" w:hAnsi="Arial" w:cs="Arial"/>
          <w:color w:val="000000"/>
          <w:sz w:val="18"/>
          <w:szCs w:val="18"/>
          <w:lang w:val="x-none"/>
        </w:rPr>
      </w:pPr>
      <w:r>
        <w:rPr>
          <w:rFonts w:ascii="Arial" w:hAnsi="Arial" w:cs="Arial"/>
          <w:color w:val="000000"/>
          <w:sz w:val="18"/>
          <w:szCs w:val="18"/>
          <w:lang w:val="x-none"/>
        </w:rPr>
        <w:t>Inwestor</w:t>
      </w:r>
      <w:r>
        <w:rPr>
          <w:rFonts w:ascii="Arial" w:hAnsi="Arial" w:cs="Arial"/>
          <w:color w:val="000000"/>
          <w:sz w:val="18"/>
          <w:szCs w:val="18"/>
          <w:lang w:val="x-none"/>
        </w:rPr>
        <w:tab/>
        <w:t>Wykonawca</w:t>
      </w:r>
      <w:r>
        <w:rPr>
          <w:rFonts w:ascii="Arial" w:hAnsi="Arial" w:cs="Arial"/>
          <w:color w:val="000000"/>
          <w:sz w:val="18"/>
          <w:szCs w:val="18"/>
          <w:lang w:val="x-none"/>
        </w:rPr>
        <w:tab/>
        <w:t>Nadzór</w:t>
      </w:r>
      <w:r>
        <w:rPr>
          <w:rFonts w:ascii="Arial" w:hAnsi="Arial" w:cs="Arial"/>
          <w:color w:val="000000"/>
          <w:sz w:val="18"/>
          <w:szCs w:val="18"/>
          <w:lang w:val="x-none"/>
        </w:rPr>
        <w:tab/>
        <w:t>Użytkownik</w:t>
      </w:r>
      <w:r>
        <w:rPr>
          <w:rFonts w:ascii="Arial" w:hAnsi="Arial" w:cs="Arial"/>
          <w:color w:val="000000"/>
          <w:sz w:val="18"/>
          <w:szCs w:val="18"/>
          <w:lang w:val="x-none"/>
        </w:rPr>
        <w:tab/>
        <w:t>Projektant</w:t>
      </w:r>
    </w:p>
    <w:p w14:paraId="408D20CB" w14:textId="77777777" w:rsidR="000A3B2B" w:rsidRDefault="000A3B2B" w:rsidP="009E5295">
      <w:pPr>
        <w:tabs>
          <w:tab w:val="center" w:pos="840"/>
          <w:tab w:val="center" w:pos="2220"/>
          <w:tab w:val="center" w:pos="3615"/>
          <w:tab w:val="center" w:pos="5025"/>
          <w:tab w:val="center" w:pos="6435"/>
        </w:tabs>
        <w:autoSpaceDE w:val="0"/>
        <w:autoSpaceDN w:val="0"/>
        <w:adjustRightInd w:val="0"/>
        <w:spacing w:after="0" w:line="240" w:lineRule="auto"/>
        <w:jc w:val="both"/>
        <w:rPr>
          <w:rFonts w:ascii="Arial" w:hAnsi="Arial" w:cs="Arial"/>
          <w:color w:val="000000"/>
          <w:sz w:val="18"/>
          <w:szCs w:val="18"/>
          <w:lang w:val="x-none"/>
        </w:rPr>
      </w:pPr>
      <w:r>
        <w:rPr>
          <w:rFonts w:ascii="Arial" w:hAnsi="Arial" w:cs="Arial"/>
          <w:color w:val="000000"/>
          <w:sz w:val="18"/>
          <w:szCs w:val="18"/>
          <w:lang w:val="x-none"/>
        </w:rPr>
        <w:tab/>
        <w:t>1.</w:t>
      </w:r>
      <w:r>
        <w:rPr>
          <w:rFonts w:ascii="Arial" w:hAnsi="Arial" w:cs="Arial"/>
          <w:color w:val="000000"/>
          <w:sz w:val="18"/>
          <w:szCs w:val="18"/>
          <w:lang w:val="x-none"/>
        </w:rPr>
        <w:tab/>
        <w:t>2.</w:t>
      </w:r>
      <w:r>
        <w:rPr>
          <w:rFonts w:ascii="Arial" w:hAnsi="Arial" w:cs="Arial"/>
          <w:color w:val="000000"/>
          <w:sz w:val="18"/>
          <w:szCs w:val="18"/>
          <w:lang w:val="x-none"/>
        </w:rPr>
        <w:tab/>
        <w:t>3.</w:t>
      </w:r>
      <w:r>
        <w:rPr>
          <w:rFonts w:ascii="Arial" w:hAnsi="Arial" w:cs="Arial"/>
          <w:color w:val="000000"/>
          <w:sz w:val="18"/>
          <w:szCs w:val="18"/>
          <w:lang w:val="x-none"/>
        </w:rPr>
        <w:tab/>
        <w:t>4.</w:t>
      </w:r>
      <w:r>
        <w:rPr>
          <w:rFonts w:ascii="Arial" w:hAnsi="Arial" w:cs="Arial"/>
          <w:color w:val="000000"/>
          <w:sz w:val="18"/>
          <w:szCs w:val="18"/>
          <w:lang w:val="x-none"/>
        </w:rPr>
        <w:tab/>
        <w:t>5.</w:t>
      </w:r>
    </w:p>
    <w:p w14:paraId="012FE224" w14:textId="77777777" w:rsidR="000A3B2B" w:rsidRDefault="000A3B2B" w:rsidP="009E5295">
      <w:pPr>
        <w:tabs>
          <w:tab w:val="center" w:pos="840"/>
          <w:tab w:val="center" w:pos="2220"/>
          <w:tab w:val="center" w:pos="3615"/>
          <w:tab w:val="center" w:pos="5025"/>
          <w:tab w:val="center" w:pos="6435"/>
        </w:tabs>
        <w:autoSpaceDE w:val="0"/>
        <w:autoSpaceDN w:val="0"/>
        <w:adjustRightInd w:val="0"/>
        <w:spacing w:after="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   ........................     ........................    ........................    ........................    ........................</w:t>
      </w:r>
    </w:p>
    <w:p w14:paraId="2503431D" w14:textId="77777777" w:rsidR="000A3B2B" w:rsidRDefault="000A3B2B" w:rsidP="009E5295">
      <w:pPr>
        <w:autoSpaceDE w:val="0"/>
        <w:autoSpaceDN w:val="0"/>
        <w:adjustRightInd w:val="0"/>
        <w:spacing w:after="30" w:line="240" w:lineRule="auto"/>
        <w:jc w:val="both"/>
        <w:rPr>
          <w:rFonts w:ascii="Arial" w:hAnsi="Arial" w:cs="Arial"/>
          <w:color w:val="000000"/>
          <w:sz w:val="14"/>
          <w:szCs w:val="14"/>
          <w:lang w:val="x-none"/>
        </w:rPr>
      </w:pPr>
    </w:p>
    <w:p w14:paraId="093286AE" w14:textId="77777777" w:rsidR="000A3B2B" w:rsidRDefault="000A3B2B" w:rsidP="009E5295">
      <w:pPr>
        <w:autoSpaceDE w:val="0"/>
        <w:autoSpaceDN w:val="0"/>
        <w:adjustRightInd w:val="0"/>
        <w:spacing w:after="30" w:line="240" w:lineRule="auto"/>
        <w:jc w:val="both"/>
        <w:rPr>
          <w:rFonts w:ascii="Arial" w:hAnsi="Arial" w:cs="Arial"/>
          <w:color w:val="000000"/>
          <w:sz w:val="14"/>
          <w:szCs w:val="14"/>
          <w:lang w:val="x-none"/>
        </w:rPr>
      </w:pPr>
      <w:r>
        <w:rPr>
          <w:rFonts w:ascii="Arial" w:hAnsi="Arial" w:cs="Arial"/>
          <w:color w:val="000000"/>
          <w:sz w:val="14"/>
          <w:szCs w:val="14"/>
          <w:lang w:val="x-none"/>
        </w:rPr>
        <w:t>* niepotrzebne skreślić</w:t>
      </w:r>
      <w:r>
        <w:rPr>
          <w:rFonts w:ascii="Arial" w:hAnsi="Arial" w:cs="Arial"/>
          <w:color w:val="000000"/>
          <w:sz w:val="14"/>
          <w:szCs w:val="14"/>
          <w:lang w:val="x-none"/>
        </w:rPr>
        <w:tab/>
        <w:t xml:space="preserve"> </w:t>
      </w:r>
    </w:p>
    <w:p w14:paraId="726589B4" w14:textId="77777777" w:rsidR="000A3B2B" w:rsidRDefault="000A3B2B" w:rsidP="009E5295">
      <w:pPr>
        <w:autoSpaceDE w:val="0"/>
        <w:autoSpaceDN w:val="0"/>
        <w:adjustRightInd w:val="0"/>
        <w:spacing w:after="30" w:line="240" w:lineRule="auto"/>
        <w:jc w:val="right"/>
        <w:rPr>
          <w:rFonts w:ascii="Arial" w:hAnsi="Arial" w:cs="Arial"/>
          <w:i/>
          <w:iCs/>
          <w:color w:val="000000"/>
          <w:sz w:val="18"/>
          <w:szCs w:val="18"/>
          <w:lang w:val="x-none"/>
        </w:rPr>
      </w:pPr>
      <w:r>
        <w:rPr>
          <w:rFonts w:ascii="Arial" w:hAnsi="Arial" w:cs="Arial"/>
          <w:color w:val="000000"/>
          <w:sz w:val="14"/>
          <w:szCs w:val="14"/>
          <w:lang w:val="x-none"/>
        </w:rPr>
        <w:br w:type="page"/>
      </w:r>
      <w:r>
        <w:rPr>
          <w:rFonts w:ascii="Arial" w:hAnsi="Arial" w:cs="Arial"/>
          <w:i/>
          <w:iCs/>
          <w:color w:val="000000"/>
          <w:sz w:val="18"/>
          <w:szCs w:val="18"/>
          <w:lang w:val="x-none"/>
        </w:rPr>
        <w:t>Załącznik 4</w:t>
      </w:r>
    </w:p>
    <w:p w14:paraId="3C60A156" w14:textId="77777777" w:rsidR="000A3B2B" w:rsidRDefault="000A3B2B" w:rsidP="009E5295">
      <w:pPr>
        <w:autoSpaceDE w:val="0"/>
        <w:autoSpaceDN w:val="0"/>
        <w:adjustRightInd w:val="0"/>
        <w:spacing w:after="30" w:line="240" w:lineRule="auto"/>
        <w:jc w:val="right"/>
        <w:rPr>
          <w:rFonts w:ascii="Arial" w:hAnsi="Arial" w:cs="Arial"/>
          <w:i/>
          <w:iCs/>
          <w:color w:val="000000"/>
          <w:sz w:val="18"/>
          <w:szCs w:val="18"/>
          <w:lang w:val="x-none"/>
        </w:rPr>
      </w:pPr>
    </w:p>
    <w:p w14:paraId="621A2181" w14:textId="77777777" w:rsidR="000A3B2B" w:rsidRDefault="000A3B2B" w:rsidP="009E5295">
      <w:pPr>
        <w:autoSpaceDE w:val="0"/>
        <w:autoSpaceDN w:val="0"/>
        <w:adjustRightInd w:val="0"/>
        <w:spacing w:after="30" w:line="240" w:lineRule="auto"/>
        <w:jc w:val="right"/>
        <w:rPr>
          <w:rFonts w:ascii="Arial" w:hAnsi="Arial" w:cs="Arial"/>
          <w:color w:val="000000"/>
          <w:sz w:val="18"/>
          <w:szCs w:val="18"/>
          <w:lang w:val="x-none"/>
        </w:rPr>
      </w:pPr>
      <w:r>
        <w:rPr>
          <w:rFonts w:ascii="Arial" w:hAnsi="Arial" w:cs="Arial"/>
          <w:color w:val="000000"/>
          <w:sz w:val="18"/>
          <w:szCs w:val="18"/>
          <w:lang w:val="x-none"/>
        </w:rPr>
        <w:t>..........................................., dnia ....................... r.</w:t>
      </w:r>
    </w:p>
    <w:p w14:paraId="1F8433B9" w14:textId="77777777" w:rsidR="000A3B2B" w:rsidRDefault="000A3B2B" w:rsidP="009E5295">
      <w:pPr>
        <w:autoSpaceDE w:val="0"/>
        <w:autoSpaceDN w:val="0"/>
        <w:adjustRightInd w:val="0"/>
        <w:spacing w:after="30" w:line="240" w:lineRule="auto"/>
        <w:jc w:val="right"/>
        <w:rPr>
          <w:rFonts w:ascii="Arial" w:hAnsi="Arial" w:cs="Arial"/>
          <w:color w:val="000000"/>
          <w:sz w:val="18"/>
          <w:szCs w:val="18"/>
          <w:lang w:val="x-none"/>
        </w:rPr>
      </w:pPr>
    </w:p>
    <w:p w14:paraId="2DC0FC3A" w14:textId="77777777" w:rsidR="000A3B2B" w:rsidRDefault="000A3B2B" w:rsidP="009E5295">
      <w:pPr>
        <w:autoSpaceDE w:val="0"/>
        <w:autoSpaceDN w:val="0"/>
        <w:adjustRightInd w:val="0"/>
        <w:spacing w:after="30" w:line="240" w:lineRule="auto"/>
        <w:jc w:val="center"/>
        <w:rPr>
          <w:rFonts w:ascii="Arial" w:hAnsi="Arial" w:cs="Arial"/>
          <w:b/>
          <w:bCs/>
          <w:color w:val="000000"/>
          <w:sz w:val="18"/>
          <w:szCs w:val="18"/>
          <w:lang w:val="x-none"/>
        </w:rPr>
      </w:pPr>
    </w:p>
    <w:p w14:paraId="5F990380" w14:textId="77777777" w:rsidR="000A3B2B" w:rsidRDefault="000A3B2B" w:rsidP="009E5295">
      <w:pPr>
        <w:autoSpaceDE w:val="0"/>
        <w:autoSpaceDN w:val="0"/>
        <w:adjustRightInd w:val="0"/>
        <w:spacing w:after="30" w:line="240" w:lineRule="auto"/>
        <w:jc w:val="center"/>
        <w:rPr>
          <w:rFonts w:ascii="Arial" w:hAnsi="Arial" w:cs="Arial"/>
          <w:b/>
          <w:bCs/>
          <w:color w:val="000000"/>
          <w:sz w:val="18"/>
          <w:szCs w:val="18"/>
          <w:lang w:val="x-none"/>
        </w:rPr>
      </w:pPr>
      <w:r>
        <w:rPr>
          <w:rFonts w:ascii="Arial" w:hAnsi="Arial" w:cs="Arial"/>
          <w:b/>
          <w:bCs/>
          <w:color w:val="000000"/>
          <w:sz w:val="18"/>
          <w:szCs w:val="18"/>
          <w:lang w:val="x-none"/>
        </w:rPr>
        <w:t>PROTOKÓŁ ODBIORU TECHNICZNEGO – KOŃCOWEGO INSTALACJI OGRZEWCZEJ</w:t>
      </w:r>
    </w:p>
    <w:p w14:paraId="0C283BD1" w14:textId="77777777" w:rsidR="000A3B2B" w:rsidRDefault="000A3B2B" w:rsidP="009E5295">
      <w:pPr>
        <w:autoSpaceDE w:val="0"/>
        <w:autoSpaceDN w:val="0"/>
        <w:adjustRightInd w:val="0"/>
        <w:spacing w:after="30" w:line="240" w:lineRule="auto"/>
        <w:jc w:val="center"/>
        <w:rPr>
          <w:rFonts w:ascii="Arial" w:hAnsi="Arial" w:cs="Arial"/>
          <w:color w:val="000000"/>
          <w:sz w:val="18"/>
          <w:szCs w:val="18"/>
          <w:lang w:val="x-none"/>
        </w:rPr>
      </w:pPr>
    </w:p>
    <w:p w14:paraId="7E8B6D21" w14:textId="77777777" w:rsidR="000A3B2B" w:rsidRDefault="000A3B2B" w:rsidP="009E5295">
      <w:pPr>
        <w:autoSpaceDE w:val="0"/>
        <w:autoSpaceDN w:val="0"/>
        <w:adjustRightInd w:val="0"/>
        <w:spacing w:after="30" w:line="240" w:lineRule="auto"/>
        <w:jc w:val="both"/>
        <w:rPr>
          <w:rFonts w:ascii="Arial" w:hAnsi="Arial" w:cs="Arial"/>
          <w:b/>
          <w:bCs/>
          <w:color w:val="000000"/>
          <w:sz w:val="18"/>
          <w:szCs w:val="18"/>
          <w:lang w:val="x-none"/>
        </w:rPr>
      </w:pPr>
      <w:r>
        <w:rPr>
          <w:rFonts w:ascii="Arial" w:hAnsi="Arial" w:cs="Arial"/>
          <w:b/>
          <w:bCs/>
          <w:color w:val="000000"/>
          <w:sz w:val="18"/>
          <w:szCs w:val="18"/>
          <w:lang w:val="x-none"/>
        </w:rPr>
        <w:t>1. Przedmiot odbioru</w:t>
      </w:r>
    </w:p>
    <w:p w14:paraId="45E691A2"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Instalacja ogrzewcza ....................................................................................... realizowana </w:t>
      </w:r>
    </w:p>
    <w:p w14:paraId="396DDD6D"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 ........................................................................... ul. .........................................................</w:t>
      </w:r>
    </w:p>
    <w:p w14:paraId="46D475D0" w14:textId="77777777" w:rsidR="000A3B2B" w:rsidRDefault="000A3B2B" w:rsidP="009E5295">
      <w:pPr>
        <w:autoSpaceDE w:val="0"/>
        <w:autoSpaceDN w:val="0"/>
        <w:adjustRightInd w:val="0"/>
        <w:spacing w:after="0" w:line="240" w:lineRule="auto"/>
        <w:jc w:val="both"/>
        <w:rPr>
          <w:rFonts w:ascii="Arial" w:hAnsi="Arial" w:cs="Arial"/>
          <w:color w:val="000000"/>
          <w:sz w:val="14"/>
          <w:szCs w:val="14"/>
          <w:lang w:val="x-none"/>
        </w:rPr>
      </w:pPr>
      <w:r>
        <w:rPr>
          <w:rFonts w:ascii="Arial" w:hAnsi="Arial" w:cs="Arial"/>
          <w:color w:val="000000"/>
          <w:sz w:val="14"/>
          <w:szCs w:val="14"/>
          <w:lang w:val="x-none"/>
        </w:rPr>
        <w:tab/>
        <w:t xml:space="preserve">        (nazwa miejscowości)</w:t>
      </w:r>
    </w:p>
    <w:p w14:paraId="5FB896E2" w14:textId="77777777" w:rsidR="000A3B2B" w:rsidRDefault="000A3B2B" w:rsidP="009E5295">
      <w:pPr>
        <w:tabs>
          <w:tab w:val="right" w:leader="dot" w:pos="7080"/>
        </w:tabs>
        <w:autoSpaceDE w:val="0"/>
        <w:autoSpaceDN w:val="0"/>
        <w:adjustRightInd w:val="0"/>
        <w:spacing w:after="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zaprojektowana przez </w:t>
      </w:r>
      <w:r>
        <w:rPr>
          <w:rFonts w:ascii="Arial" w:hAnsi="Arial" w:cs="Arial"/>
          <w:color w:val="000000"/>
          <w:sz w:val="18"/>
          <w:szCs w:val="18"/>
          <w:lang w:val="x-none"/>
        </w:rPr>
        <w:tab/>
      </w:r>
    </w:p>
    <w:p w14:paraId="478152A3" w14:textId="77777777" w:rsidR="000A3B2B" w:rsidRDefault="000A3B2B" w:rsidP="009E5295">
      <w:pPr>
        <w:tabs>
          <w:tab w:val="right" w:leader="dot" w:pos="7080"/>
        </w:tabs>
        <w:autoSpaceDE w:val="0"/>
        <w:autoSpaceDN w:val="0"/>
        <w:adjustRightInd w:val="0"/>
        <w:spacing w:after="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Projekt zweryfikowany przez </w:t>
      </w:r>
      <w:r>
        <w:rPr>
          <w:rFonts w:ascii="Arial" w:hAnsi="Arial" w:cs="Arial"/>
          <w:color w:val="000000"/>
          <w:sz w:val="18"/>
          <w:szCs w:val="18"/>
          <w:lang w:val="x-none"/>
        </w:rPr>
        <w:tab/>
      </w:r>
      <w:r>
        <w:rPr>
          <w:rFonts w:ascii="Arial" w:hAnsi="Arial" w:cs="Arial"/>
          <w:color w:val="000000"/>
          <w:sz w:val="18"/>
          <w:szCs w:val="18"/>
          <w:lang w:val="x-none"/>
        </w:rPr>
        <w:tab/>
      </w:r>
    </w:p>
    <w:p w14:paraId="474C1EB1" w14:textId="77777777" w:rsidR="000A3B2B" w:rsidRDefault="000A3B2B" w:rsidP="009E5295">
      <w:pPr>
        <w:tabs>
          <w:tab w:val="right" w:leader="dot" w:pos="7080"/>
        </w:tabs>
        <w:autoSpaceDE w:val="0"/>
        <w:autoSpaceDN w:val="0"/>
        <w:adjustRightInd w:val="0"/>
        <w:spacing w:after="0" w:line="240" w:lineRule="auto"/>
        <w:jc w:val="both"/>
        <w:rPr>
          <w:rFonts w:ascii="Arial" w:hAnsi="Arial" w:cs="Arial"/>
          <w:color w:val="000000"/>
          <w:sz w:val="18"/>
          <w:szCs w:val="18"/>
          <w:lang w:val="x-none"/>
        </w:rPr>
      </w:pPr>
    </w:p>
    <w:p w14:paraId="4E424038" w14:textId="77777777" w:rsidR="000A3B2B" w:rsidRDefault="000A3B2B" w:rsidP="009E5295">
      <w:pPr>
        <w:tabs>
          <w:tab w:val="right" w:leader="dot" w:pos="7080"/>
        </w:tabs>
        <w:autoSpaceDE w:val="0"/>
        <w:autoSpaceDN w:val="0"/>
        <w:adjustRightInd w:val="0"/>
        <w:spacing w:after="0" w:line="240" w:lineRule="auto"/>
        <w:jc w:val="both"/>
        <w:rPr>
          <w:rFonts w:ascii="Arial" w:hAnsi="Arial" w:cs="Arial"/>
          <w:b/>
          <w:bCs/>
          <w:color w:val="000000"/>
          <w:sz w:val="18"/>
          <w:szCs w:val="18"/>
          <w:lang w:val="x-none"/>
        </w:rPr>
      </w:pPr>
      <w:r>
        <w:rPr>
          <w:rFonts w:ascii="Arial" w:hAnsi="Arial" w:cs="Arial"/>
          <w:b/>
          <w:bCs/>
          <w:color w:val="000000"/>
          <w:sz w:val="18"/>
          <w:szCs w:val="18"/>
          <w:lang w:val="x-none"/>
        </w:rPr>
        <w:t>2. Skład Komisji</w:t>
      </w:r>
    </w:p>
    <w:tbl>
      <w:tblPr>
        <w:tblW w:w="0" w:type="auto"/>
        <w:tblCellSpacing w:w="0" w:type="dxa"/>
        <w:tblInd w:w="-8" w:type="dxa"/>
        <w:tblLayout w:type="fixed"/>
        <w:tblCellMar>
          <w:left w:w="0" w:type="dxa"/>
          <w:right w:w="0" w:type="dxa"/>
        </w:tblCellMar>
        <w:tblLook w:val="0000" w:firstRow="0" w:lastRow="0" w:firstColumn="0" w:lastColumn="0" w:noHBand="0" w:noVBand="0"/>
      </w:tblPr>
      <w:tblGrid>
        <w:gridCol w:w="502"/>
        <w:gridCol w:w="1380"/>
        <w:gridCol w:w="1320"/>
        <w:gridCol w:w="1320"/>
        <w:gridCol w:w="1320"/>
        <w:gridCol w:w="1320"/>
      </w:tblGrid>
      <w:tr w:rsidR="000A3B2B" w14:paraId="652EAD95" w14:textId="77777777">
        <w:trPr>
          <w:trHeight w:val="60"/>
          <w:tblCellSpacing w:w="0" w:type="dxa"/>
        </w:trPr>
        <w:tc>
          <w:tcPr>
            <w:tcW w:w="502" w:type="dxa"/>
            <w:tcBorders>
              <w:top w:val="single" w:sz="6" w:space="0" w:color="000000"/>
              <w:left w:val="single" w:sz="6" w:space="0" w:color="000000"/>
              <w:bottom w:val="single" w:sz="6" w:space="0" w:color="000000"/>
              <w:right w:val="single" w:sz="6" w:space="0" w:color="000000"/>
            </w:tcBorders>
            <w:vAlign w:val="center"/>
          </w:tcPr>
          <w:p w14:paraId="5EA68EF7"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Poz.</w:t>
            </w:r>
          </w:p>
        </w:tc>
        <w:tc>
          <w:tcPr>
            <w:tcW w:w="1380" w:type="dxa"/>
            <w:tcBorders>
              <w:top w:val="single" w:sz="6" w:space="0" w:color="000000"/>
              <w:left w:val="single" w:sz="6" w:space="0" w:color="000000"/>
              <w:bottom w:val="single" w:sz="6" w:space="0" w:color="000000"/>
              <w:right w:val="single" w:sz="6" w:space="0" w:color="000000"/>
            </w:tcBorders>
            <w:vAlign w:val="center"/>
          </w:tcPr>
          <w:p w14:paraId="36C785C7"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w:t>
            </w:r>
          </w:p>
        </w:tc>
        <w:tc>
          <w:tcPr>
            <w:tcW w:w="1320" w:type="dxa"/>
            <w:tcBorders>
              <w:top w:val="single" w:sz="6" w:space="0" w:color="000000"/>
              <w:left w:val="single" w:sz="6" w:space="0" w:color="000000"/>
              <w:bottom w:val="single" w:sz="6" w:space="0" w:color="000000"/>
              <w:right w:val="single" w:sz="6" w:space="0" w:color="000000"/>
            </w:tcBorders>
            <w:vAlign w:val="center"/>
          </w:tcPr>
          <w:p w14:paraId="1F63FA49"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Imię i nazwisko</w:t>
            </w:r>
          </w:p>
        </w:tc>
        <w:tc>
          <w:tcPr>
            <w:tcW w:w="1320" w:type="dxa"/>
            <w:tcBorders>
              <w:top w:val="single" w:sz="6" w:space="0" w:color="000000"/>
              <w:left w:val="single" w:sz="6" w:space="0" w:color="000000"/>
              <w:bottom w:val="single" w:sz="6" w:space="0" w:color="000000"/>
              <w:right w:val="single" w:sz="6" w:space="0" w:color="000000"/>
            </w:tcBorders>
            <w:vAlign w:val="center"/>
          </w:tcPr>
          <w:p w14:paraId="598597F0"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Instytucja</w:t>
            </w:r>
          </w:p>
        </w:tc>
        <w:tc>
          <w:tcPr>
            <w:tcW w:w="1320" w:type="dxa"/>
            <w:tcBorders>
              <w:top w:val="single" w:sz="6" w:space="0" w:color="000000"/>
              <w:left w:val="single" w:sz="6" w:space="0" w:color="000000"/>
              <w:bottom w:val="single" w:sz="6" w:space="0" w:color="000000"/>
              <w:right w:val="single" w:sz="6" w:space="0" w:color="000000"/>
            </w:tcBorders>
            <w:vAlign w:val="center"/>
          </w:tcPr>
          <w:p w14:paraId="7522AEB9"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Stanowisko</w:t>
            </w:r>
          </w:p>
        </w:tc>
        <w:tc>
          <w:tcPr>
            <w:tcW w:w="1320" w:type="dxa"/>
            <w:tcBorders>
              <w:top w:val="single" w:sz="6" w:space="0" w:color="000000"/>
              <w:left w:val="single" w:sz="6" w:space="0" w:color="000000"/>
              <w:bottom w:val="single" w:sz="6" w:space="0" w:color="000000"/>
              <w:right w:val="single" w:sz="6" w:space="0" w:color="000000"/>
            </w:tcBorders>
            <w:vAlign w:val="center"/>
          </w:tcPr>
          <w:p w14:paraId="4E95D58F" w14:textId="77777777" w:rsidR="000A3B2B" w:rsidRDefault="000A3B2B">
            <w:pPr>
              <w:autoSpaceDE w:val="0"/>
              <w:autoSpaceDN w:val="0"/>
              <w:adjustRightInd w:val="0"/>
              <w:spacing w:after="30" w:line="240" w:lineRule="auto"/>
              <w:jc w:val="center"/>
              <w:rPr>
                <w:rFonts w:ascii="Arial" w:hAnsi="Arial" w:cs="Arial"/>
                <w:color w:val="000000"/>
                <w:position w:val="4"/>
                <w:sz w:val="8"/>
                <w:szCs w:val="8"/>
                <w:lang w:val="x-none"/>
              </w:rPr>
            </w:pPr>
            <w:r>
              <w:rPr>
                <w:rFonts w:ascii="Arial" w:hAnsi="Arial" w:cs="Arial"/>
                <w:color w:val="000000"/>
                <w:sz w:val="18"/>
                <w:szCs w:val="18"/>
                <w:lang w:val="x-none"/>
              </w:rPr>
              <w:t>Uwagi</w:t>
            </w:r>
            <w:r>
              <w:rPr>
                <w:rFonts w:ascii="Arial" w:hAnsi="Arial" w:cs="Arial"/>
                <w:color w:val="000000"/>
                <w:position w:val="4"/>
                <w:sz w:val="8"/>
                <w:szCs w:val="8"/>
                <w:lang w:val="x-none"/>
              </w:rPr>
              <w:t>1)</w:t>
            </w:r>
          </w:p>
        </w:tc>
      </w:tr>
      <w:tr w:rsidR="000A3B2B" w14:paraId="0FC5970F" w14:textId="77777777">
        <w:trPr>
          <w:trHeight w:val="60"/>
          <w:tblCellSpacing w:w="0" w:type="dxa"/>
        </w:trPr>
        <w:tc>
          <w:tcPr>
            <w:tcW w:w="502" w:type="dxa"/>
            <w:tcBorders>
              <w:top w:val="single" w:sz="6" w:space="0" w:color="000000"/>
              <w:left w:val="single" w:sz="6" w:space="0" w:color="000000"/>
              <w:bottom w:val="single" w:sz="6" w:space="0" w:color="000000"/>
              <w:right w:val="single" w:sz="6" w:space="0" w:color="000000"/>
            </w:tcBorders>
            <w:vAlign w:val="center"/>
          </w:tcPr>
          <w:p w14:paraId="4AC616C7"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w:t>
            </w:r>
          </w:p>
        </w:tc>
        <w:tc>
          <w:tcPr>
            <w:tcW w:w="1380" w:type="dxa"/>
            <w:tcBorders>
              <w:top w:val="single" w:sz="6" w:space="0" w:color="000000"/>
              <w:left w:val="single" w:sz="6" w:space="0" w:color="000000"/>
              <w:bottom w:val="single" w:sz="6" w:space="0" w:color="000000"/>
              <w:right w:val="single" w:sz="6" w:space="0" w:color="000000"/>
            </w:tcBorders>
            <w:vAlign w:val="center"/>
          </w:tcPr>
          <w:p w14:paraId="2C64AE7B"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Inwestor</w:t>
            </w:r>
          </w:p>
        </w:tc>
        <w:tc>
          <w:tcPr>
            <w:tcW w:w="1320" w:type="dxa"/>
            <w:tcBorders>
              <w:top w:val="single" w:sz="6" w:space="0" w:color="000000"/>
              <w:left w:val="single" w:sz="6" w:space="0" w:color="000000"/>
              <w:bottom w:val="single" w:sz="6" w:space="0" w:color="000000"/>
              <w:right w:val="single" w:sz="6" w:space="0" w:color="000000"/>
            </w:tcBorders>
            <w:vAlign w:val="center"/>
          </w:tcPr>
          <w:p w14:paraId="2D866486"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1320" w:type="dxa"/>
            <w:tcBorders>
              <w:top w:val="single" w:sz="6" w:space="0" w:color="000000"/>
              <w:left w:val="single" w:sz="6" w:space="0" w:color="000000"/>
              <w:bottom w:val="single" w:sz="6" w:space="0" w:color="000000"/>
              <w:right w:val="single" w:sz="6" w:space="0" w:color="000000"/>
            </w:tcBorders>
            <w:vAlign w:val="center"/>
          </w:tcPr>
          <w:p w14:paraId="17CB393B"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1320" w:type="dxa"/>
            <w:tcBorders>
              <w:top w:val="single" w:sz="6" w:space="0" w:color="000000"/>
              <w:left w:val="single" w:sz="6" w:space="0" w:color="000000"/>
              <w:bottom w:val="single" w:sz="6" w:space="0" w:color="000000"/>
              <w:right w:val="single" w:sz="6" w:space="0" w:color="000000"/>
            </w:tcBorders>
            <w:vAlign w:val="center"/>
          </w:tcPr>
          <w:p w14:paraId="6A5F4A06"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1320" w:type="dxa"/>
            <w:tcBorders>
              <w:top w:val="single" w:sz="6" w:space="0" w:color="000000"/>
              <w:left w:val="single" w:sz="6" w:space="0" w:color="000000"/>
              <w:bottom w:val="single" w:sz="6" w:space="0" w:color="000000"/>
              <w:right w:val="single" w:sz="6" w:space="0" w:color="000000"/>
            </w:tcBorders>
            <w:vAlign w:val="center"/>
          </w:tcPr>
          <w:p w14:paraId="64A7ADDB" w14:textId="77777777" w:rsidR="000A3B2B" w:rsidRDefault="000A3B2B">
            <w:pPr>
              <w:autoSpaceDE w:val="0"/>
              <w:autoSpaceDN w:val="0"/>
              <w:adjustRightInd w:val="0"/>
              <w:spacing w:after="0" w:line="240" w:lineRule="auto"/>
              <w:rPr>
                <w:rFonts w:ascii="Arial" w:hAnsi="Arial" w:cs="Arial"/>
                <w:sz w:val="24"/>
                <w:szCs w:val="24"/>
                <w:lang w:val="x-none"/>
              </w:rPr>
            </w:pPr>
          </w:p>
        </w:tc>
      </w:tr>
      <w:tr w:rsidR="000A3B2B" w14:paraId="243EB5A1" w14:textId="77777777">
        <w:trPr>
          <w:trHeight w:val="60"/>
          <w:tblCellSpacing w:w="0" w:type="dxa"/>
        </w:trPr>
        <w:tc>
          <w:tcPr>
            <w:tcW w:w="502" w:type="dxa"/>
            <w:tcBorders>
              <w:top w:val="single" w:sz="6" w:space="0" w:color="000000"/>
              <w:left w:val="single" w:sz="6" w:space="0" w:color="000000"/>
              <w:bottom w:val="single" w:sz="6" w:space="0" w:color="000000"/>
              <w:right w:val="single" w:sz="6" w:space="0" w:color="000000"/>
            </w:tcBorders>
            <w:vAlign w:val="center"/>
          </w:tcPr>
          <w:p w14:paraId="2A40CE87"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2.</w:t>
            </w:r>
          </w:p>
        </w:tc>
        <w:tc>
          <w:tcPr>
            <w:tcW w:w="1380" w:type="dxa"/>
            <w:tcBorders>
              <w:top w:val="single" w:sz="6" w:space="0" w:color="000000"/>
              <w:left w:val="single" w:sz="6" w:space="0" w:color="000000"/>
              <w:bottom w:val="single" w:sz="6" w:space="0" w:color="000000"/>
              <w:right w:val="single" w:sz="6" w:space="0" w:color="000000"/>
            </w:tcBorders>
            <w:vAlign w:val="center"/>
          </w:tcPr>
          <w:p w14:paraId="133FCDBD"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Wykonawca</w:t>
            </w:r>
          </w:p>
        </w:tc>
        <w:tc>
          <w:tcPr>
            <w:tcW w:w="1320" w:type="dxa"/>
            <w:tcBorders>
              <w:top w:val="single" w:sz="6" w:space="0" w:color="000000"/>
              <w:left w:val="single" w:sz="6" w:space="0" w:color="000000"/>
              <w:bottom w:val="single" w:sz="6" w:space="0" w:color="000000"/>
              <w:right w:val="single" w:sz="6" w:space="0" w:color="000000"/>
            </w:tcBorders>
            <w:vAlign w:val="center"/>
          </w:tcPr>
          <w:p w14:paraId="11C48416"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1320" w:type="dxa"/>
            <w:tcBorders>
              <w:top w:val="single" w:sz="6" w:space="0" w:color="000000"/>
              <w:left w:val="single" w:sz="6" w:space="0" w:color="000000"/>
              <w:bottom w:val="single" w:sz="6" w:space="0" w:color="000000"/>
              <w:right w:val="single" w:sz="6" w:space="0" w:color="000000"/>
            </w:tcBorders>
            <w:vAlign w:val="center"/>
          </w:tcPr>
          <w:p w14:paraId="3B0BEADA"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1320" w:type="dxa"/>
            <w:tcBorders>
              <w:top w:val="single" w:sz="6" w:space="0" w:color="000000"/>
              <w:left w:val="single" w:sz="6" w:space="0" w:color="000000"/>
              <w:bottom w:val="single" w:sz="6" w:space="0" w:color="000000"/>
              <w:right w:val="single" w:sz="6" w:space="0" w:color="000000"/>
            </w:tcBorders>
            <w:vAlign w:val="center"/>
          </w:tcPr>
          <w:p w14:paraId="533D8323"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1320" w:type="dxa"/>
            <w:tcBorders>
              <w:top w:val="single" w:sz="6" w:space="0" w:color="000000"/>
              <w:left w:val="single" w:sz="6" w:space="0" w:color="000000"/>
              <w:bottom w:val="single" w:sz="6" w:space="0" w:color="000000"/>
              <w:right w:val="single" w:sz="6" w:space="0" w:color="000000"/>
            </w:tcBorders>
            <w:vAlign w:val="center"/>
          </w:tcPr>
          <w:p w14:paraId="79DCBCAA" w14:textId="77777777" w:rsidR="000A3B2B" w:rsidRDefault="000A3B2B">
            <w:pPr>
              <w:autoSpaceDE w:val="0"/>
              <w:autoSpaceDN w:val="0"/>
              <w:adjustRightInd w:val="0"/>
              <w:spacing w:after="0" w:line="240" w:lineRule="auto"/>
              <w:rPr>
                <w:rFonts w:ascii="Arial" w:hAnsi="Arial" w:cs="Arial"/>
                <w:sz w:val="24"/>
                <w:szCs w:val="24"/>
                <w:lang w:val="x-none"/>
              </w:rPr>
            </w:pPr>
          </w:p>
        </w:tc>
      </w:tr>
      <w:tr w:rsidR="000A3B2B" w14:paraId="22E8D381" w14:textId="77777777">
        <w:trPr>
          <w:trHeight w:val="60"/>
          <w:tblCellSpacing w:w="0" w:type="dxa"/>
        </w:trPr>
        <w:tc>
          <w:tcPr>
            <w:tcW w:w="502" w:type="dxa"/>
            <w:tcBorders>
              <w:top w:val="single" w:sz="6" w:space="0" w:color="000000"/>
              <w:left w:val="single" w:sz="6" w:space="0" w:color="000000"/>
              <w:bottom w:val="single" w:sz="6" w:space="0" w:color="000000"/>
              <w:right w:val="single" w:sz="6" w:space="0" w:color="000000"/>
            </w:tcBorders>
            <w:vAlign w:val="center"/>
          </w:tcPr>
          <w:p w14:paraId="14CA9C4F"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3.</w:t>
            </w:r>
          </w:p>
        </w:tc>
        <w:tc>
          <w:tcPr>
            <w:tcW w:w="1380" w:type="dxa"/>
            <w:tcBorders>
              <w:top w:val="single" w:sz="6" w:space="0" w:color="000000"/>
              <w:left w:val="single" w:sz="6" w:space="0" w:color="000000"/>
              <w:bottom w:val="single" w:sz="6" w:space="0" w:color="000000"/>
              <w:right w:val="single" w:sz="6" w:space="0" w:color="000000"/>
            </w:tcBorders>
            <w:vAlign w:val="center"/>
          </w:tcPr>
          <w:p w14:paraId="3BDB4CBB"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Nadzór</w:t>
            </w:r>
          </w:p>
        </w:tc>
        <w:tc>
          <w:tcPr>
            <w:tcW w:w="1320" w:type="dxa"/>
            <w:tcBorders>
              <w:top w:val="single" w:sz="6" w:space="0" w:color="000000"/>
              <w:left w:val="single" w:sz="6" w:space="0" w:color="000000"/>
              <w:bottom w:val="single" w:sz="6" w:space="0" w:color="000000"/>
              <w:right w:val="single" w:sz="6" w:space="0" w:color="000000"/>
            </w:tcBorders>
            <w:vAlign w:val="center"/>
          </w:tcPr>
          <w:p w14:paraId="671B6717"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1320" w:type="dxa"/>
            <w:tcBorders>
              <w:top w:val="single" w:sz="6" w:space="0" w:color="000000"/>
              <w:left w:val="single" w:sz="6" w:space="0" w:color="000000"/>
              <w:bottom w:val="single" w:sz="6" w:space="0" w:color="000000"/>
              <w:right w:val="single" w:sz="6" w:space="0" w:color="000000"/>
            </w:tcBorders>
            <w:vAlign w:val="center"/>
          </w:tcPr>
          <w:p w14:paraId="214ED04C"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1320" w:type="dxa"/>
            <w:tcBorders>
              <w:top w:val="single" w:sz="6" w:space="0" w:color="000000"/>
              <w:left w:val="single" w:sz="6" w:space="0" w:color="000000"/>
              <w:bottom w:val="single" w:sz="6" w:space="0" w:color="000000"/>
              <w:right w:val="single" w:sz="6" w:space="0" w:color="000000"/>
            </w:tcBorders>
            <w:vAlign w:val="center"/>
          </w:tcPr>
          <w:p w14:paraId="6799BF82"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1320" w:type="dxa"/>
            <w:tcBorders>
              <w:top w:val="single" w:sz="6" w:space="0" w:color="000000"/>
              <w:left w:val="single" w:sz="6" w:space="0" w:color="000000"/>
              <w:bottom w:val="single" w:sz="6" w:space="0" w:color="000000"/>
              <w:right w:val="single" w:sz="6" w:space="0" w:color="000000"/>
            </w:tcBorders>
            <w:vAlign w:val="center"/>
          </w:tcPr>
          <w:p w14:paraId="1054DE82" w14:textId="77777777" w:rsidR="000A3B2B" w:rsidRDefault="000A3B2B">
            <w:pPr>
              <w:autoSpaceDE w:val="0"/>
              <w:autoSpaceDN w:val="0"/>
              <w:adjustRightInd w:val="0"/>
              <w:spacing w:after="0" w:line="240" w:lineRule="auto"/>
              <w:rPr>
                <w:rFonts w:ascii="Arial" w:hAnsi="Arial" w:cs="Arial"/>
                <w:sz w:val="24"/>
                <w:szCs w:val="24"/>
                <w:lang w:val="x-none"/>
              </w:rPr>
            </w:pPr>
          </w:p>
        </w:tc>
      </w:tr>
      <w:tr w:rsidR="000A3B2B" w14:paraId="7BF8C770" w14:textId="77777777">
        <w:trPr>
          <w:trHeight w:val="60"/>
          <w:tblCellSpacing w:w="0" w:type="dxa"/>
        </w:trPr>
        <w:tc>
          <w:tcPr>
            <w:tcW w:w="502" w:type="dxa"/>
            <w:tcBorders>
              <w:top w:val="single" w:sz="6" w:space="0" w:color="000000"/>
              <w:left w:val="single" w:sz="6" w:space="0" w:color="000000"/>
              <w:bottom w:val="single" w:sz="6" w:space="0" w:color="000000"/>
              <w:right w:val="single" w:sz="6" w:space="0" w:color="000000"/>
            </w:tcBorders>
            <w:vAlign w:val="center"/>
          </w:tcPr>
          <w:p w14:paraId="5906D121"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4.</w:t>
            </w:r>
          </w:p>
        </w:tc>
        <w:tc>
          <w:tcPr>
            <w:tcW w:w="1380" w:type="dxa"/>
            <w:tcBorders>
              <w:top w:val="single" w:sz="6" w:space="0" w:color="000000"/>
              <w:left w:val="single" w:sz="6" w:space="0" w:color="000000"/>
              <w:bottom w:val="single" w:sz="6" w:space="0" w:color="000000"/>
              <w:right w:val="single" w:sz="6" w:space="0" w:color="000000"/>
            </w:tcBorders>
            <w:vAlign w:val="center"/>
          </w:tcPr>
          <w:p w14:paraId="7591D3F3"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Użytkownik</w:t>
            </w:r>
          </w:p>
        </w:tc>
        <w:tc>
          <w:tcPr>
            <w:tcW w:w="1320" w:type="dxa"/>
            <w:tcBorders>
              <w:top w:val="single" w:sz="6" w:space="0" w:color="000000"/>
              <w:left w:val="single" w:sz="6" w:space="0" w:color="000000"/>
              <w:bottom w:val="single" w:sz="6" w:space="0" w:color="000000"/>
              <w:right w:val="single" w:sz="6" w:space="0" w:color="000000"/>
            </w:tcBorders>
            <w:vAlign w:val="center"/>
          </w:tcPr>
          <w:p w14:paraId="767CFFDE"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1320" w:type="dxa"/>
            <w:tcBorders>
              <w:top w:val="single" w:sz="6" w:space="0" w:color="000000"/>
              <w:left w:val="single" w:sz="6" w:space="0" w:color="000000"/>
              <w:bottom w:val="single" w:sz="6" w:space="0" w:color="000000"/>
              <w:right w:val="single" w:sz="6" w:space="0" w:color="000000"/>
            </w:tcBorders>
            <w:vAlign w:val="center"/>
          </w:tcPr>
          <w:p w14:paraId="3470EBC0"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1320" w:type="dxa"/>
            <w:tcBorders>
              <w:top w:val="single" w:sz="6" w:space="0" w:color="000000"/>
              <w:left w:val="single" w:sz="6" w:space="0" w:color="000000"/>
              <w:bottom w:val="single" w:sz="6" w:space="0" w:color="000000"/>
              <w:right w:val="single" w:sz="6" w:space="0" w:color="000000"/>
            </w:tcBorders>
            <w:vAlign w:val="center"/>
          </w:tcPr>
          <w:p w14:paraId="6B10E137"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1320" w:type="dxa"/>
            <w:tcBorders>
              <w:top w:val="single" w:sz="6" w:space="0" w:color="000000"/>
              <w:left w:val="single" w:sz="6" w:space="0" w:color="000000"/>
              <w:bottom w:val="single" w:sz="6" w:space="0" w:color="000000"/>
              <w:right w:val="single" w:sz="6" w:space="0" w:color="000000"/>
            </w:tcBorders>
            <w:vAlign w:val="center"/>
          </w:tcPr>
          <w:p w14:paraId="019CEB3A" w14:textId="77777777" w:rsidR="000A3B2B" w:rsidRDefault="000A3B2B">
            <w:pPr>
              <w:autoSpaceDE w:val="0"/>
              <w:autoSpaceDN w:val="0"/>
              <w:adjustRightInd w:val="0"/>
              <w:spacing w:after="0" w:line="240" w:lineRule="auto"/>
              <w:rPr>
                <w:rFonts w:ascii="Arial" w:hAnsi="Arial" w:cs="Arial"/>
                <w:sz w:val="24"/>
                <w:szCs w:val="24"/>
                <w:lang w:val="x-none"/>
              </w:rPr>
            </w:pPr>
          </w:p>
        </w:tc>
      </w:tr>
      <w:tr w:rsidR="000A3B2B" w14:paraId="4863CB8F" w14:textId="77777777">
        <w:trPr>
          <w:trHeight w:val="60"/>
          <w:tblCellSpacing w:w="0" w:type="dxa"/>
        </w:trPr>
        <w:tc>
          <w:tcPr>
            <w:tcW w:w="502" w:type="dxa"/>
            <w:tcBorders>
              <w:top w:val="single" w:sz="6" w:space="0" w:color="000000"/>
              <w:left w:val="single" w:sz="6" w:space="0" w:color="000000"/>
              <w:bottom w:val="single" w:sz="6" w:space="0" w:color="000000"/>
              <w:right w:val="single" w:sz="6" w:space="0" w:color="000000"/>
            </w:tcBorders>
            <w:vAlign w:val="center"/>
          </w:tcPr>
          <w:p w14:paraId="12081CD0" w14:textId="77777777" w:rsidR="000A3B2B" w:rsidRDefault="000A3B2B">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5.</w:t>
            </w:r>
          </w:p>
        </w:tc>
        <w:tc>
          <w:tcPr>
            <w:tcW w:w="1380" w:type="dxa"/>
            <w:tcBorders>
              <w:top w:val="single" w:sz="6" w:space="0" w:color="000000"/>
              <w:left w:val="single" w:sz="6" w:space="0" w:color="000000"/>
              <w:bottom w:val="single" w:sz="6" w:space="0" w:color="000000"/>
              <w:right w:val="single" w:sz="6" w:space="0" w:color="000000"/>
            </w:tcBorders>
            <w:vAlign w:val="center"/>
          </w:tcPr>
          <w:p w14:paraId="5C45FFA6" w14:textId="77777777" w:rsidR="000A3B2B" w:rsidRDefault="000A3B2B">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Projektant</w:t>
            </w:r>
          </w:p>
        </w:tc>
        <w:tc>
          <w:tcPr>
            <w:tcW w:w="1320" w:type="dxa"/>
            <w:tcBorders>
              <w:top w:val="single" w:sz="6" w:space="0" w:color="000000"/>
              <w:left w:val="single" w:sz="6" w:space="0" w:color="000000"/>
              <w:bottom w:val="single" w:sz="6" w:space="0" w:color="000000"/>
              <w:right w:val="single" w:sz="6" w:space="0" w:color="000000"/>
            </w:tcBorders>
            <w:vAlign w:val="center"/>
          </w:tcPr>
          <w:p w14:paraId="046D63F7"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1320" w:type="dxa"/>
            <w:tcBorders>
              <w:top w:val="single" w:sz="6" w:space="0" w:color="000000"/>
              <w:left w:val="single" w:sz="6" w:space="0" w:color="000000"/>
              <w:bottom w:val="single" w:sz="6" w:space="0" w:color="000000"/>
              <w:right w:val="single" w:sz="6" w:space="0" w:color="000000"/>
            </w:tcBorders>
            <w:vAlign w:val="center"/>
          </w:tcPr>
          <w:p w14:paraId="73A0BA57"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1320" w:type="dxa"/>
            <w:tcBorders>
              <w:top w:val="single" w:sz="6" w:space="0" w:color="000000"/>
              <w:left w:val="single" w:sz="6" w:space="0" w:color="000000"/>
              <w:bottom w:val="single" w:sz="6" w:space="0" w:color="000000"/>
              <w:right w:val="single" w:sz="6" w:space="0" w:color="000000"/>
            </w:tcBorders>
            <w:vAlign w:val="center"/>
          </w:tcPr>
          <w:p w14:paraId="7819A3F9" w14:textId="77777777" w:rsidR="000A3B2B" w:rsidRDefault="000A3B2B">
            <w:pPr>
              <w:autoSpaceDE w:val="0"/>
              <w:autoSpaceDN w:val="0"/>
              <w:adjustRightInd w:val="0"/>
              <w:spacing w:after="0" w:line="240" w:lineRule="auto"/>
              <w:rPr>
                <w:rFonts w:ascii="Arial" w:hAnsi="Arial" w:cs="Arial"/>
                <w:sz w:val="24"/>
                <w:szCs w:val="24"/>
                <w:lang w:val="x-none"/>
              </w:rPr>
            </w:pPr>
          </w:p>
        </w:tc>
        <w:tc>
          <w:tcPr>
            <w:tcW w:w="1320" w:type="dxa"/>
            <w:tcBorders>
              <w:top w:val="single" w:sz="6" w:space="0" w:color="000000"/>
              <w:left w:val="single" w:sz="6" w:space="0" w:color="000000"/>
              <w:bottom w:val="single" w:sz="6" w:space="0" w:color="000000"/>
              <w:right w:val="single" w:sz="6" w:space="0" w:color="000000"/>
            </w:tcBorders>
            <w:vAlign w:val="center"/>
          </w:tcPr>
          <w:p w14:paraId="0AB477C7" w14:textId="77777777" w:rsidR="000A3B2B" w:rsidRDefault="000A3B2B">
            <w:pPr>
              <w:autoSpaceDE w:val="0"/>
              <w:autoSpaceDN w:val="0"/>
              <w:adjustRightInd w:val="0"/>
              <w:spacing w:after="0" w:line="240" w:lineRule="auto"/>
              <w:rPr>
                <w:rFonts w:ascii="Arial" w:hAnsi="Arial" w:cs="Arial"/>
                <w:sz w:val="24"/>
                <w:szCs w:val="24"/>
                <w:lang w:val="x-none"/>
              </w:rPr>
            </w:pPr>
          </w:p>
        </w:tc>
      </w:tr>
      <w:tr w:rsidR="000A3B2B" w14:paraId="050EE8CF" w14:textId="77777777">
        <w:trPr>
          <w:trHeight w:val="60"/>
          <w:tblCellSpacing w:w="0" w:type="dxa"/>
        </w:trPr>
        <w:tc>
          <w:tcPr>
            <w:tcW w:w="7162" w:type="dxa"/>
            <w:gridSpan w:val="6"/>
            <w:tcBorders>
              <w:top w:val="single" w:sz="6" w:space="0" w:color="000000"/>
              <w:left w:val="single" w:sz="6" w:space="0" w:color="000000"/>
              <w:bottom w:val="single" w:sz="6" w:space="0" w:color="000000"/>
              <w:right w:val="single" w:sz="6" w:space="0" w:color="000000"/>
            </w:tcBorders>
            <w:vAlign w:val="center"/>
          </w:tcPr>
          <w:p w14:paraId="3785049E" w14:textId="77777777" w:rsidR="000A3B2B" w:rsidRDefault="000A3B2B">
            <w:pPr>
              <w:autoSpaceDE w:val="0"/>
              <w:autoSpaceDN w:val="0"/>
              <w:adjustRightInd w:val="0"/>
              <w:spacing w:after="30" w:line="240" w:lineRule="auto"/>
              <w:ind w:left="165" w:hanging="165"/>
              <w:jc w:val="both"/>
              <w:rPr>
                <w:rFonts w:ascii="Arial" w:hAnsi="Arial" w:cs="Arial"/>
                <w:color w:val="000000"/>
                <w:sz w:val="16"/>
                <w:szCs w:val="16"/>
                <w:lang w:val="x-none"/>
              </w:rPr>
            </w:pPr>
            <w:r>
              <w:rPr>
                <w:rFonts w:ascii="Arial" w:hAnsi="Arial" w:cs="Arial"/>
                <w:color w:val="000000"/>
                <w:position w:val="4"/>
                <w:sz w:val="8"/>
                <w:szCs w:val="8"/>
                <w:lang w:val="x-none"/>
              </w:rPr>
              <w:t>1)</w:t>
            </w:r>
            <w:r>
              <w:rPr>
                <w:rFonts w:ascii="Arial" w:hAnsi="Arial" w:cs="Arial"/>
                <w:color w:val="000000"/>
                <w:sz w:val="16"/>
                <w:szCs w:val="16"/>
                <w:lang w:val="x-none"/>
              </w:rPr>
              <w:t xml:space="preserve">  dla osób pełniących samodzielne funkcje w budownictwie, numer uprawnień budowlanych</w:t>
            </w:r>
          </w:p>
        </w:tc>
      </w:tr>
    </w:tbl>
    <w:p w14:paraId="280604A6"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p>
    <w:p w14:paraId="09ED17AB" w14:textId="77777777" w:rsidR="000A3B2B" w:rsidRDefault="000A3B2B" w:rsidP="009E5295">
      <w:pPr>
        <w:autoSpaceDE w:val="0"/>
        <w:autoSpaceDN w:val="0"/>
        <w:adjustRightInd w:val="0"/>
        <w:spacing w:after="30" w:line="240" w:lineRule="auto"/>
        <w:jc w:val="both"/>
        <w:rPr>
          <w:rFonts w:ascii="Arial" w:hAnsi="Arial" w:cs="Arial"/>
          <w:b/>
          <w:bCs/>
          <w:color w:val="000000"/>
          <w:sz w:val="18"/>
          <w:szCs w:val="18"/>
          <w:lang w:val="x-none"/>
        </w:rPr>
      </w:pPr>
      <w:r>
        <w:rPr>
          <w:rFonts w:ascii="Arial" w:hAnsi="Arial" w:cs="Arial"/>
          <w:b/>
          <w:bCs/>
          <w:color w:val="000000"/>
          <w:sz w:val="18"/>
          <w:szCs w:val="18"/>
          <w:lang w:val="x-none"/>
        </w:rPr>
        <w:t>3. Wykonawca przedstawił następujące dokumenty:</w:t>
      </w:r>
    </w:p>
    <w:p w14:paraId="67B1B9E9" w14:textId="77777777" w:rsidR="000A3B2B" w:rsidRDefault="000A3B2B" w:rsidP="009E5295">
      <w:pPr>
        <w:tabs>
          <w:tab w:val="right" w:leader="dot" w:pos="7080"/>
        </w:tabs>
        <w:autoSpaceDE w:val="0"/>
        <w:autoSpaceDN w:val="0"/>
        <w:adjustRightInd w:val="0"/>
        <w:spacing w:after="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a) umowę </w:t>
      </w:r>
      <w:r>
        <w:rPr>
          <w:rFonts w:ascii="Arial" w:hAnsi="Arial" w:cs="Arial"/>
          <w:color w:val="000000"/>
          <w:sz w:val="18"/>
          <w:szCs w:val="18"/>
          <w:lang w:val="x-none"/>
        </w:rPr>
        <w:tab/>
      </w:r>
    </w:p>
    <w:p w14:paraId="283601BA"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b) pozwolenie na budowę i dziennik budowy,</w:t>
      </w:r>
    </w:p>
    <w:p w14:paraId="3AED0D7E" w14:textId="77777777" w:rsidR="000A3B2B" w:rsidRDefault="000A3B2B" w:rsidP="009E5295">
      <w:pPr>
        <w:tabs>
          <w:tab w:val="right" w:leader="dot" w:pos="7080"/>
        </w:tabs>
        <w:autoSpaceDE w:val="0"/>
        <w:autoSpaceDN w:val="0"/>
        <w:adjustRightInd w:val="0"/>
        <w:spacing w:after="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c) </w:t>
      </w:r>
      <w:r>
        <w:rPr>
          <w:rFonts w:ascii="Arial" w:hAnsi="Arial" w:cs="Arial"/>
          <w:color w:val="000000"/>
          <w:sz w:val="18"/>
          <w:szCs w:val="18"/>
          <w:lang w:val="x-none"/>
        </w:rPr>
        <w:tab/>
      </w:r>
    </w:p>
    <w:p w14:paraId="332B7B35" w14:textId="77777777" w:rsidR="000A3B2B" w:rsidRDefault="000A3B2B" w:rsidP="009E5295">
      <w:pPr>
        <w:tabs>
          <w:tab w:val="right" w:leader="dot" w:pos="7080"/>
        </w:tabs>
        <w:autoSpaceDE w:val="0"/>
        <w:autoSpaceDN w:val="0"/>
        <w:adjustRightInd w:val="0"/>
        <w:spacing w:after="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d) </w:t>
      </w:r>
      <w:r>
        <w:rPr>
          <w:rFonts w:ascii="Arial" w:hAnsi="Arial" w:cs="Arial"/>
          <w:color w:val="000000"/>
          <w:sz w:val="18"/>
          <w:szCs w:val="18"/>
          <w:lang w:val="x-none"/>
        </w:rPr>
        <w:tab/>
      </w:r>
    </w:p>
    <w:p w14:paraId="26227154" w14:textId="77777777" w:rsidR="000A3B2B" w:rsidRDefault="000A3B2B" w:rsidP="009E5295">
      <w:pPr>
        <w:autoSpaceDE w:val="0"/>
        <w:autoSpaceDN w:val="0"/>
        <w:adjustRightInd w:val="0"/>
        <w:spacing w:after="30" w:line="240" w:lineRule="auto"/>
        <w:jc w:val="both"/>
        <w:rPr>
          <w:rFonts w:ascii="Arial" w:hAnsi="Arial" w:cs="Arial"/>
          <w:b/>
          <w:bCs/>
          <w:color w:val="000000"/>
          <w:sz w:val="18"/>
          <w:szCs w:val="18"/>
          <w:lang w:val="x-none"/>
        </w:rPr>
      </w:pPr>
    </w:p>
    <w:p w14:paraId="12626B86" w14:textId="77777777" w:rsidR="000A3B2B" w:rsidRDefault="000A3B2B" w:rsidP="009E5295">
      <w:pPr>
        <w:autoSpaceDE w:val="0"/>
        <w:autoSpaceDN w:val="0"/>
        <w:adjustRightInd w:val="0"/>
        <w:spacing w:after="30" w:line="240" w:lineRule="auto"/>
        <w:jc w:val="both"/>
        <w:rPr>
          <w:rFonts w:ascii="Arial" w:hAnsi="Arial" w:cs="Arial"/>
          <w:b/>
          <w:bCs/>
          <w:color w:val="000000"/>
          <w:sz w:val="18"/>
          <w:szCs w:val="18"/>
          <w:lang w:val="x-none"/>
        </w:rPr>
      </w:pPr>
      <w:r>
        <w:rPr>
          <w:rFonts w:ascii="Arial" w:hAnsi="Arial" w:cs="Arial"/>
          <w:b/>
          <w:bCs/>
          <w:color w:val="000000"/>
          <w:sz w:val="18"/>
          <w:szCs w:val="18"/>
          <w:lang w:val="x-none"/>
        </w:rPr>
        <w:t>4. Wykonawca załączył do protokołu następujące dokumenty:</w:t>
      </w:r>
    </w:p>
    <w:p w14:paraId="64C3BC82"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a) protokoły odbiorów technicznych – częściowych instalacji,</w:t>
      </w:r>
    </w:p>
    <w:p w14:paraId="4423B658"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b) dokumenty dotyczące podstawowych danych eksploatacyjnych,</w:t>
      </w:r>
    </w:p>
    <w:p w14:paraId="2917361F"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c) dokumentację techniczną powykonawczą,</w:t>
      </w:r>
    </w:p>
    <w:p w14:paraId="7A84092B" w14:textId="77777777" w:rsidR="000A3B2B" w:rsidRDefault="000A3B2B" w:rsidP="009E5295">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d) protokół potwierdzający kompletność wykonanych prac,</w:t>
      </w:r>
    </w:p>
    <w:p w14:paraId="3660A285" w14:textId="77777777" w:rsidR="000A3B2B" w:rsidRDefault="000A3B2B" w:rsidP="009E5295">
      <w:pPr>
        <w:tabs>
          <w:tab w:val="right" w:leader="dot" w:pos="7080"/>
        </w:tabs>
        <w:autoSpaceDE w:val="0"/>
        <w:autoSpaceDN w:val="0"/>
        <w:adjustRightInd w:val="0"/>
        <w:spacing w:after="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e) </w:t>
      </w:r>
      <w:r>
        <w:rPr>
          <w:rFonts w:ascii="Arial" w:hAnsi="Arial" w:cs="Arial"/>
          <w:color w:val="000000"/>
          <w:sz w:val="18"/>
          <w:szCs w:val="18"/>
          <w:lang w:val="x-none"/>
        </w:rPr>
        <w:tab/>
      </w:r>
    </w:p>
    <w:p w14:paraId="3447915F" w14:textId="77777777" w:rsidR="000A3B2B" w:rsidRDefault="000A3B2B" w:rsidP="009E5295">
      <w:pPr>
        <w:tabs>
          <w:tab w:val="right" w:leader="dot" w:pos="7080"/>
        </w:tabs>
        <w:autoSpaceDE w:val="0"/>
        <w:autoSpaceDN w:val="0"/>
        <w:adjustRightInd w:val="0"/>
        <w:spacing w:after="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f) </w:t>
      </w:r>
      <w:r>
        <w:rPr>
          <w:rFonts w:ascii="Arial" w:hAnsi="Arial" w:cs="Arial"/>
          <w:color w:val="000000"/>
          <w:sz w:val="18"/>
          <w:szCs w:val="18"/>
          <w:lang w:val="x-none"/>
        </w:rPr>
        <w:tab/>
      </w:r>
    </w:p>
    <w:p w14:paraId="38A0C72C" w14:textId="77777777" w:rsidR="000A3B2B" w:rsidRDefault="000A3B2B" w:rsidP="009E5295">
      <w:pPr>
        <w:tabs>
          <w:tab w:val="right" w:leader="dot" w:pos="7080"/>
        </w:tabs>
        <w:autoSpaceDE w:val="0"/>
        <w:autoSpaceDN w:val="0"/>
        <w:adjustRightInd w:val="0"/>
        <w:spacing w:after="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g) </w:t>
      </w:r>
      <w:r>
        <w:rPr>
          <w:rFonts w:ascii="Arial" w:hAnsi="Arial" w:cs="Arial"/>
          <w:color w:val="000000"/>
          <w:sz w:val="18"/>
          <w:szCs w:val="18"/>
          <w:lang w:val="x-none"/>
        </w:rPr>
        <w:tab/>
      </w:r>
    </w:p>
    <w:p w14:paraId="0B05BEC6" w14:textId="77777777" w:rsidR="000A3B2B" w:rsidRDefault="000A3B2B" w:rsidP="009E5295">
      <w:pPr>
        <w:autoSpaceDE w:val="0"/>
        <w:autoSpaceDN w:val="0"/>
        <w:adjustRightInd w:val="0"/>
        <w:spacing w:after="30" w:line="240" w:lineRule="auto"/>
        <w:ind w:left="225" w:hanging="225"/>
        <w:jc w:val="both"/>
        <w:rPr>
          <w:rFonts w:ascii="Arial" w:hAnsi="Arial" w:cs="Arial"/>
          <w:b/>
          <w:bCs/>
          <w:color w:val="000000"/>
          <w:sz w:val="18"/>
          <w:szCs w:val="18"/>
          <w:lang w:val="x-none"/>
        </w:rPr>
      </w:pPr>
    </w:p>
    <w:p w14:paraId="767478F5" w14:textId="77777777" w:rsidR="000A3B2B" w:rsidRDefault="000A3B2B" w:rsidP="009E5295">
      <w:pPr>
        <w:autoSpaceDE w:val="0"/>
        <w:autoSpaceDN w:val="0"/>
        <w:adjustRightInd w:val="0"/>
        <w:spacing w:after="30" w:line="240" w:lineRule="auto"/>
        <w:ind w:left="225" w:hanging="225"/>
        <w:jc w:val="both"/>
        <w:rPr>
          <w:rFonts w:ascii="Arial" w:hAnsi="Arial" w:cs="Arial"/>
          <w:b/>
          <w:bCs/>
          <w:color w:val="000000"/>
          <w:sz w:val="18"/>
          <w:szCs w:val="18"/>
          <w:lang w:val="x-none"/>
        </w:rPr>
      </w:pPr>
      <w:r>
        <w:rPr>
          <w:rFonts w:ascii="Arial" w:hAnsi="Arial" w:cs="Arial"/>
          <w:b/>
          <w:bCs/>
          <w:color w:val="000000"/>
          <w:sz w:val="18"/>
          <w:szCs w:val="18"/>
          <w:lang w:val="x-none"/>
        </w:rPr>
        <w:t>5. Komisja stwierdza, że instalacja została zrealizowana (zgodnie)* (nie zgodnie)* z umową, przedstawioną dokumentacją oraz warunkami technicznymi wykonania i odbioru. Instalacja (może)* (nie może)* być odebrana i użytkowana.</w:t>
      </w:r>
    </w:p>
    <w:p w14:paraId="6D5156B2" w14:textId="77777777" w:rsidR="000A3B2B" w:rsidRDefault="000A3B2B" w:rsidP="009E5295">
      <w:pPr>
        <w:tabs>
          <w:tab w:val="right" w:pos="7080"/>
        </w:tabs>
        <w:autoSpaceDE w:val="0"/>
        <w:autoSpaceDN w:val="0"/>
        <w:adjustRightInd w:val="0"/>
        <w:spacing w:after="30" w:line="240" w:lineRule="auto"/>
        <w:jc w:val="both"/>
        <w:rPr>
          <w:rFonts w:ascii="Arial" w:hAnsi="Arial" w:cs="Arial"/>
          <w:b/>
          <w:bCs/>
          <w:color w:val="000000"/>
          <w:sz w:val="18"/>
          <w:szCs w:val="18"/>
          <w:lang w:val="x-none"/>
        </w:rPr>
      </w:pPr>
    </w:p>
    <w:p w14:paraId="6477E911" w14:textId="77777777" w:rsidR="000A3B2B" w:rsidRDefault="000A3B2B" w:rsidP="009E5295">
      <w:pPr>
        <w:tabs>
          <w:tab w:val="right" w:pos="7080"/>
        </w:tabs>
        <w:autoSpaceDE w:val="0"/>
        <w:autoSpaceDN w:val="0"/>
        <w:adjustRightInd w:val="0"/>
        <w:spacing w:after="30" w:line="240" w:lineRule="auto"/>
        <w:jc w:val="both"/>
        <w:rPr>
          <w:rFonts w:ascii="Arial" w:hAnsi="Arial" w:cs="Arial"/>
          <w:b/>
          <w:bCs/>
          <w:color w:val="000000"/>
          <w:sz w:val="18"/>
          <w:szCs w:val="18"/>
          <w:lang w:val="x-none"/>
        </w:rPr>
      </w:pPr>
      <w:r>
        <w:rPr>
          <w:rFonts w:ascii="Arial" w:hAnsi="Arial" w:cs="Arial"/>
          <w:b/>
          <w:bCs/>
          <w:color w:val="000000"/>
          <w:sz w:val="18"/>
          <w:szCs w:val="18"/>
          <w:lang w:val="x-none"/>
        </w:rPr>
        <w:t>6. (Ustala się, że po odbiorze instalacja zostaje przejęta do eksploatacji przez)*</w:t>
      </w:r>
      <w:r>
        <w:rPr>
          <w:rFonts w:ascii="Arial" w:hAnsi="Arial" w:cs="Arial"/>
          <w:color w:val="000000"/>
          <w:sz w:val="18"/>
          <w:szCs w:val="18"/>
          <w:lang w:val="x-none"/>
        </w:rPr>
        <w:t>.............</w:t>
      </w:r>
      <w:r>
        <w:rPr>
          <w:rFonts w:ascii="Arial" w:hAnsi="Arial" w:cs="Arial"/>
          <w:b/>
          <w:bCs/>
          <w:color w:val="000000"/>
          <w:sz w:val="18"/>
          <w:szCs w:val="18"/>
          <w:lang w:val="x-none"/>
        </w:rPr>
        <w:tab/>
      </w:r>
    </w:p>
    <w:p w14:paraId="67351B7F" w14:textId="77777777" w:rsidR="000A3B2B" w:rsidRDefault="000A3B2B" w:rsidP="009E5295">
      <w:pPr>
        <w:tabs>
          <w:tab w:val="right" w:leader="dot" w:pos="7080"/>
        </w:tabs>
        <w:autoSpaceDE w:val="0"/>
        <w:autoSpaceDN w:val="0"/>
        <w:adjustRightInd w:val="0"/>
        <w:spacing w:after="30" w:line="240" w:lineRule="auto"/>
        <w:jc w:val="both"/>
        <w:rPr>
          <w:rFonts w:ascii="Arial" w:hAnsi="Arial" w:cs="Arial"/>
          <w:b/>
          <w:bCs/>
          <w:color w:val="000000"/>
          <w:sz w:val="18"/>
          <w:szCs w:val="18"/>
          <w:lang w:val="x-none"/>
        </w:rPr>
      </w:pPr>
    </w:p>
    <w:p w14:paraId="7B6CCDAC" w14:textId="77777777" w:rsidR="000A3B2B" w:rsidRDefault="000A3B2B" w:rsidP="009E5295">
      <w:pPr>
        <w:tabs>
          <w:tab w:val="right" w:leader="dot" w:pos="7080"/>
        </w:tabs>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 xml:space="preserve">7. </w:t>
      </w:r>
      <w:r>
        <w:rPr>
          <w:rFonts w:ascii="Arial" w:hAnsi="Arial" w:cs="Arial"/>
          <w:color w:val="000000"/>
          <w:sz w:val="18"/>
          <w:szCs w:val="18"/>
          <w:lang w:val="x-none"/>
        </w:rPr>
        <w:t xml:space="preserve"> </w:t>
      </w:r>
      <w:r>
        <w:rPr>
          <w:rFonts w:ascii="Arial" w:hAnsi="Arial" w:cs="Arial"/>
          <w:color w:val="000000"/>
          <w:sz w:val="18"/>
          <w:szCs w:val="18"/>
          <w:lang w:val="x-none"/>
        </w:rPr>
        <w:tab/>
      </w:r>
    </w:p>
    <w:p w14:paraId="181B26F7" w14:textId="77777777" w:rsidR="000A3B2B" w:rsidRDefault="000A3B2B" w:rsidP="009E5295">
      <w:pPr>
        <w:tabs>
          <w:tab w:val="right" w:leader="dot" w:pos="7080"/>
        </w:tabs>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Na odwrotnej stronie niniejszego protokołu (nie zostały zamieszczone)* (zostały zamieszczone)* i podpisane pozostałe ustalenia, a tak że uwagi Komisji, w tym dotyczące terminu i zgodności wykonania z umową, stwierdzonych wad i terminu ich usunięcia itp.</w:t>
      </w:r>
    </w:p>
    <w:p w14:paraId="64B27F5C" w14:textId="77777777" w:rsidR="000A3B2B" w:rsidRDefault="000A3B2B" w:rsidP="009E5295">
      <w:pPr>
        <w:autoSpaceDE w:val="0"/>
        <w:autoSpaceDN w:val="0"/>
        <w:adjustRightInd w:val="0"/>
        <w:spacing w:after="30" w:line="240" w:lineRule="auto"/>
        <w:jc w:val="both"/>
        <w:rPr>
          <w:rFonts w:ascii="Arial" w:hAnsi="Arial" w:cs="Arial"/>
          <w:b/>
          <w:bCs/>
          <w:color w:val="000000"/>
          <w:sz w:val="18"/>
          <w:szCs w:val="18"/>
          <w:lang w:val="x-none"/>
        </w:rPr>
      </w:pPr>
    </w:p>
    <w:p w14:paraId="2ECCDE04" w14:textId="77777777" w:rsidR="000A3B2B" w:rsidRDefault="000A3B2B" w:rsidP="009E5295">
      <w:pPr>
        <w:autoSpaceDE w:val="0"/>
        <w:autoSpaceDN w:val="0"/>
        <w:adjustRightInd w:val="0"/>
        <w:spacing w:after="30" w:line="240" w:lineRule="auto"/>
        <w:jc w:val="both"/>
        <w:rPr>
          <w:rFonts w:ascii="Arial" w:hAnsi="Arial" w:cs="Arial"/>
          <w:b/>
          <w:bCs/>
          <w:color w:val="000000"/>
          <w:sz w:val="18"/>
          <w:szCs w:val="18"/>
          <w:lang w:val="x-none"/>
        </w:rPr>
      </w:pPr>
      <w:r>
        <w:rPr>
          <w:rFonts w:ascii="Arial" w:hAnsi="Arial" w:cs="Arial"/>
          <w:b/>
          <w:bCs/>
          <w:color w:val="000000"/>
          <w:sz w:val="18"/>
          <w:szCs w:val="18"/>
          <w:lang w:val="x-none"/>
        </w:rPr>
        <w:t>8. Podpisy członków Komisji</w:t>
      </w:r>
    </w:p>
    <w:p w14:paraId="046E0105" w14:textId="77777777" w:rsidR="000A3B2B" w:rsidRDefault="000A3B2B" w:rsidP="009E5295">
      <w:pPr>
        <w:tabs>
          <w:tab w:val="center" w:pos="840"/>
          <w:tab w:val="center" w:pos="2220"/>
          <w:tab w:val="center" w:pos="3615"/>
          <w:tab w:val="center" w:pos="5025"/>
          <w:tab w:val="center" w:pos="6435"/>
        </w:tabs>
        <w:autoSpaceDE w:val="0"/>
        <w:autoSpaceDN w:val="0"/>
        <w:adjustRightInd w:val="0"/>
        <w:spacing w:after="0" w:line="240" w:lineRule="auto"/>
        <w:jc w:val="both"/>
        <w:rPr>
          <w:rFonts w:ascii="Arial" w:hAnsi="Arial" w:cs="Arial"/>
          <w:color w:val="000000"/>
          <w:sz w:val="18"/>
          <w:szCs w:val="18"/>
          <w:lang w:val="x-none"/>
        </w:rPr>
      </w:pPr>
    </w:p>
    <w:p w14:paraId="0B29CDD3" w14:textId="77777777" w:rsidR="000A3B2B" w:rsidRDefault="000A3B2B" w:rsidP="009E5295">
      <w:pPr>
        <w:tabs>
          <w:tab w:val="center" w:pos="840"/>
          <w:tab w:val="center" w:pos="2220"/>
          <w:tab w:val="center" w:pos="3615"/>
          <w:tab w:val="center" w:pos="5025"/>
          <w:tab w:val="center" w:pos="6435"/>
        </w:tabs>
        <w:autoSpaceDE w:val="0"/>
        <w:autoSpaceDN w:val="0"/>
        <w:adjustRightInd w:val="0"/>
        <w:spacing w:after="0" w:line="240" w:lineRule="auto"/>
        <w:jc w:val="both"/>
        <w:rPr>
          <w:rFonts w:ascii="Arial" w:hAnsi="Arial" w:cs="Arial"/>
          <w:color w:val="000000"/>
          <w:sz w:val="18"/>
          <w:szCs w:val="18"/>
          <w:lang w:val="x-none"/>
        </w:rPr>
      </w:pPr>
      <w:r>
        <w:rPr>
          <w:rFonts w:ascii="Arial" w:hAnsi="Arial" w:cs="Arial"/>
          <w:color w:val="000000"/>
          <w:sz w:val="18"/>
          <w:szCs w:val="18"/>
          <w:lang w:val="x-none"/>
        </w:rPr>
        <w:tab/>
        <w:t>Inwestor</w:t>
      </w:r>
      <w:r>
        <w:rPr>
          <w:rFonts w:ascii="Arial" w:hAnsi="Arial" w:cs="Arial"/>
          <w:color w:val="000000"/>
          <w:sz w:val="18"/>
          <w:szCs w:val="18"/>
          <w:lang w:val="x-none"/>
        </w:rPr>
        <w:tab/>
        <w:t>Wykonawca</w:t>
      </w:r>
      <w:r>
        <w:rPr>
          <w:rFonts w:ascii="Arial" w:hAnsi="Arial" w:cs="Arial"/>
          <w:color w:val="000000"/>
          <w:sz w:val="18"/>
          <w:szCs w:val="18"/>
          <w:lang w:val="x-none"/>
        </w:rPr>
        <w:tab/>
        <w:t>Nadzór</w:t>
      </w:r>
      <w:r>
        <w:rPr>
          <w:rFonts w:ascii="Arial" w:hAnsi="Arial" w:cs="Arial"/>
          <w:color w:val="000000"/>
          <w:sz w:val="18"/>
          <w:szCs w:val="18"/>
          <w:lang w:val="x-none"/>
        </w:rPr>
        <w:tab/>
        <w:t>Użytkownik</w:t>
      </w:r>
      <w:r>
        <w:rPr>
          <w:rFonts w:ascii="Arial" w:hAnsi="Arial" w:cs="Arial"/>
          <w:color w:val="000000"/>
          <w:sz w:val="18"/>
          <w:szCs w:val="18"/>
          <w:lang w:val="x-none"/>
        </w:rPr>
        <w:tab/>
        <w:t>Projektant</w:t>
      </w:r>
    </w:p>
    <w:p w14:paraId="5DC9C32F" w14:textId="77777777" w:rsidR="000A3B2B" w:rsidRDefault="000A3B2B" w:rsidP="009E5295">
      <w:pPr>
        <w:tabs>
          <w:tab w:val="center" w:pos="840"/>
          <w:tab w:val="center" w:pos="2220"/>
          <w:tab w:val="center" w:pos="3615"/>
          <w:tab w:val="center" w:pos="5025"/>
          <w:tab w:val="center" w:pos="6435"/>
        </w:tabs>
        <w:autoSpaceDE w:val="0"/>
        <w:autoSpaceDN w:val="0"/>
        <w:adjustRightInd w:val="0"/>
        <w:spacing w:after="0" w:line="240" w:lineRule="auto"/>
        <w:jc w:val="both"/>
        <w:rPr>
          <w:rFonts w:ascii="Arial" w:hAnsi="Arial" w:cs="Arial"/>
          <w:color w:val="000000"/>
          <w:sz w:val="18"/>
          <w:szCs w:val="18"/>
          <w:lang w:val="x-none"/>
        </w:rPr>
      </w:pPr>
      <w:r>
        <w:rPr>
          <w:rFonts w:ascii="Arial" w:hAnsi="Arial" w:cs="Arial"/>
          <w:color w:val="000000"/>
          <w:sz w:val="18"/>
          <w:szCs w:val="18"/>
          <w:lang w:val="x-none"/>
        </w:rPr>
        <w:tab/>
        <w:t>1.</w:t>
      </w:r>
      <w:r>
        <w:rPr>
          <w:rFonts w:ascii="Arial" w:hAnsi="Arial" w:cs="Arial"/>
          <w:color w:val="000000"/>
          <w:sz w:val="18"/>
          <w:szCs w:val="18"/>
          <w:lang w:val="x-none"/>
        </w:rPr>
        <w:tab/>
        <w:t>2.</w:t>
      </w:r>
      <w:r>
        <w:rPr>
          <w:rFonts w:ascii="Arial" w:hAnsi="Arial" w:cs="Arial"/>
          <w:color w:val="000000"/>
          <w:sz w:val="18"/>
          <w:szCs w:val="18"/>
          <w:lang w:val="x-none"/>
        </w:rPr>
        <w:tab/>
        <w:t>3.</w:t>
      </w:r>
      <w:r>
        <w:rPr>
          <w:rFonts w:ascii="Arial" w:hAnsi="Arial" w:cs="Arial"/>
          <w:color w:val="000000"/>
          <w:sz w:val="18"/>
          <w:szCs w:val="18"/>
          <w:lang w:val="x-none"/>
        </w:rPr>
        <w:tab/>
        <w:t>4.</w:t>
      </w:r>
      <w:r>
        <w:rPr>
          <w:rFonts w:ascii="Arial" w:hAnsi="Arial" w:cs="Arial"/>
          <w:color w:val="000000"/>
          <w:sz w:val="18"/>
          <w:szCs w:val="18"/>
          <w:lang w:val="x-none"/>
        </w:rPr>
        <w:tab/>
        <w:t>5.</w:t>
      </w:r>
    </w:p>
    <w:p w14:paraId="2051D05F" w14:textId="77777777" w:rsidR="000A3B2B" w:rsidRDefault="000A3B2B" w:rsidP="009E5295">
      <w:pPr>
        <w:tabs>
          <w:tab w:val="center" w:pos="840"/>
          <w:tab w:val="center" w:pos="2220"/>
          <w:tab w:val="center" w:pos="3615"/>
          <w:tab w:val="center" w:pos="5025"/>
          <w:tab w:val="center" w:pos="6435"/>
        </w:tabs>
        <w:autoSpaceDE w:val="0"/>
        <w:autoSpaceDN w:val="0"/>
        <w:adjustRightInd w:val="0"/>
        <w:spacing w:after="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   ........................     ........................    ........................    ........................    ........................</w:t>
      </w:r>
    </w:p>
    <w:p w14:paraId="7DB38E5F" w14:textId="77777777" w:rsidR="000A3B2B" w:rsidRDefault="000A3B2B" w:rsidP="009E5295">
      <w:pPr>
        <w:autoSpaceDE w:val="0"/>
        <w:autoSpaceDN w:val="0"/>
        <w:adjustRightInd w:val="0"/>
        <w:spacing w:after="30" w:line="240" w:lineRule="auto"/>
        <w:jc w:val="both"/>
        <w:rPr>
          <w:rFonts w:ascii="Arial" w:hAnsi="Arial" w:cs="Arial"/>
          <w:color w:val="000000"/>
          <w:sz w:val="14"/>
          <w:szCs w:val="14"/>
          <w:lang w:val="x-none"/>
        </w:rPr>
      </w:pPr>
    </w:p>
    <w:p w14:paraId="6C69C5C0" w14:textId="77777777" w:rsidR="000A3B2B" w:rsidRDefault="000A3B2B" w:rsidP="009E5295">
      <w:pPr>
        <w:autoSpaceDE w:val="0"/>
        <w:autoSpaceDN w:val="0"/>
        <w:adjustRightInd w:val="0"/>
        <w:spacing w:after="30" w:line="240" w:lineRule="auto"/>
        <w:jc w:val="both"/>
        <w:rPr>
          <w:rFonts w:ascii="Arial" w:hAnsi="Arial" w:cs="Arial"/>
          <w:color w:val="000000"/>
          <w:sz w:val="14"/>
          <w:szCs w:val="14"/>
          <w:lang w:val="x-none"/>
        </w:rPr>
      </w:pPr>
      <w:r>
        <w:rPr>
          <w:rFonts w:ascii="Arial" w:hAnsi="Arial" w:cs="Arial"/>
          <w:color w:val="000000"/>
          <w:sz w:val="14"/>
          <w:szCs w:val="14"/>
          <w:lang w:val="x-none"/>
        </w:rPr>
        <w:t>* niepotrzebne skreślić</w:t>
      </w:r>
      <w:r>
        <w:rPr>
          <w:rFonts w:ascii="Arial" w:hAnsi="Arial" w:cs="Arial"/>
          <w:color w:val="000000"/>
          <w:sz w:val="14"/>
          <w:szCs w:val="14"/>
          <w:lang w:val="x-none"/>
        </w:rPr>
        <w:tab/>
        <w:t xml:space="preserve"> </w:t>
      </w:r>
    </w:p>
    <w:p w14:paraId="30D43EAD" w14:textId="77777777" w:rsidR="000A3B2B" w:rsidRDefault="000A3B2B" w:rsidP="009E5295">
      <w:pPr>
        <w:autoSpaceDE w:val="0"/>
        <w:autoSpaceDN w:val="0"/>
        <w:adjustRightInd w:val="0"/>
        <w:spacing w:after="60" w:line="240" w:lineRule="auto"/>
        <w:jc w:val="both"/>
        <w:rPr>
          <w:rFonts w:ascii="Arial" w:hAnsi="Arial" w:cs="Arial"/>
          <w:color w:val="000000"/>
          <w:sz w:val="18"/>
          <w:szCs w:val="18"/>
          <w:lang w:val="x-none"/>
        </w:rPr>
        <w:sectPr w:rsidR="000A3B2B" w:rsidSect="009E5295">
          <w:pgSz w:w="12240" w:h="15840"/>
          <w:pgMar w:top="1417" w:right="1417" w:bottom="1417" w:left="1417" w:header="708" w:footer="708" w:gutter="0"/>
          <w:cols w:space="708"/>
          <w:noEndnote/>
        </w:sectPr>
      </w:pPr>
    </w:p>
    <w:p w14:paraId="59754A4A" w14:textId="77777777" w:rsidR="000A3B2B" w:rsidRDefault="000A3B2B" w:rsidP="003C16E8">
      <w:pPr>
        <w:pStyle w:val="Styl1"/>
      </w:pPr>
      <w:r>
        <w:t>ROBOTY MONTAŻOWE SIECI KANALIZACYJNYCH Z TWORZYW SZTUCZNYCH W SYSTEMIE KANALIZACJI GRAWITACYJNEJ</w:t>
      </w:r>
    </w:p>
    <w:p w14:paraId="03AFD1C0" w14:textId="77777777" w:rsidR="000A3B2B" w:rsidRDefault="000A3B2B" w:rsidP="003C16E8">
      <w:pPr>
        <w:autoSpaceDE w:val="0"/>
        <w:autoSpaceDN w:val="0"/>
        <w:adjustRightInd w:val="0"/>
        <w:spacing w:after="3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1.</w:t>
      </w:r>
      <w:r>
        <w:rPr>
          <w:rFonts w:ascii="Arial" w:hAnsi="Arial" w:cs="Arial"/>
          <w:b/>
          <w:bCs/>
          <w:color w:val="000000"/>
          <w:sz w:val="18"/>
          <w:szCs w:val="18"/>
          <w:lang w:val="x-none"/>
        </w:rPr>
        <w:tab/>
        <w:t>CZĘŚĆ OGÓLNA</w:t>
      </w:r>
    </w:p>
    <w:p w14:paraId="0B0E7690" w14:textId="77777777" w:rsidR="000A3B2B" w:rsidRDefault="000A3B2B" w:rsidP="003C16E8">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1.1.</w:t>
      </w:r>
      <w:r>
        <w:rPr>
          <w:rFonts w:ascii="Arial" w:hAnsi="Arial" w:cs="Arial"/>
          <w:b/>
          <w:bCs/>
          <w:color w:val="000000"/>
          <w:sz w:val="18"/>
          <w:szCs w:val="18"/>
          <w:lang w:val="x-none"/>
        </w:rPr>
        <w:tab/>
        <w:t>Nazwa nadana zamówieniu przez Zamawiającego</w:t>
      </w:r>
    </w:p>
    <w:p w14:paraId="44E7348D" w14:textId="77777777" w:rsidR="000A3B2B" w:rsidRDefault="000A3B2B" w:rsidP="003C16E8">
      <w:pPr>
        <w:tabs>
          <w:tab w:val="right" w:leader="dot" w:pos="7035"/>
        </w:tabs>
        <w:autoSpaceDE w:val="0"/>
        <w:autoSpaceDN w:val="0"/>
        <w:adjustRightInd w:val="0"/>
        <w:spacing w:after="30" w:line="240" w:lineRule="auto"/>
        <w:jc w:val="both"/>
        <w:rPr>
          <w:rFonts w:ascii="Arial" w:hAnsi="Arial" w:cs="Arial"/>
          <w:color w:val="000000"/>
          <w:sz w:val="18"/>
          <w:szCs w:val="18"/>
          <w:lang w:val="x-none"/>
        </w:rPr>
      </w:pPr>
      <w:r w:rsidRPr="00D8129F">
        <w:rPr>
          <w:rFonts w:ascii="Arial" w:hAnsi="Arial" w:cs="Arial"/>
          <w:noProof/>
          <w:color w:val="000000"/>
          <w:sz w:val="18"/>
          <w:szCs w:val="18"/>
          <w:lang w:val="x-none"/>
        </w:rPr>
        <w:t>Termomodernizacja budynku Szkoły Podstawowej nr 3 przy ul. Marii Konopnickiej 2 w Reszlu.</w:t>
      </w:r>
    </w:p>
    <w:p w14:paraId="74D7CE93" w14:textId="77777777" w:rsidR="000A3B2B" w:rsidRDefault="000A3B2B" w:rsidP="003C16E8">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1.2.</w:t>
      </w:r>
      <w:r>
        <w:rPr>
          <w:rFonts w:ascii="Arial" w:hAnsi="Arial" w:cs="Arial"/>
          <w:b/>
          <w:bCs/>
          <w:color w:val="000000"/>
          <w:sz w:val="18"/>
          <w:szCs w:val="18"/>
          <w:lang w:val="x-none"/>
        </w:rPr>
        <w:tab/>
        <w:t>Przedmiot ST</w:t>
      </w:r>
    </w:p>
    <w:p w14:paraId="161CD6F0" w14:textId="77777777" w:rsidR="000A3B2B" w:rsidRDefault="000A3B2B" w:rsidP="003C16E8">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Przedmiotem niniejszej standardowej specyfikacji technicznej (ST) są wymagania ogólne dotyczące wykonania i odbioru sieci kanalizacyjnych przeznaczonych do odprowadzania ścieków bytowych, komunalnych, przemysłowych i wód opadowych.</w:t>
      </w:r>
    </w:p>
    <w:p w14:paraId="6B6E80A3" w14:textId="77777777" w:rsidR="000A3B2B" w:rsidRDefault="000A3B2B" w:rsidP="003C16E8">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Postanowień zawartych w niniejszej specyfikacji nie stosuje się do budowy sieci kanalizacyjnych na terenach górniczych, objętych odrębnymi przepisami.</w:t>
      </w:r>
    </w:p>
    <w:p w14:paraId="0949EA0D" w14:textId="77777777" w:rsidR="000A3B2B" w:rsidRDefault="000A3B2B" w:rsidP="003C16E8">
      <w:pPr>
        <w:autoSpaceDE w:val="0"/>
        <w:autoSpaceDN w:val="0"/>
        <w:adjustRightInd w:val="0"/>
        <w:spacing w:after="30" w:line="240" w:lineRule="auto"/>
        <w:jc w:val="both"/>
        <w:rPr>
          <w:rFonts w:ascii="Arial" w:hAnsi="Arial" w:cs="Arial"/>
          <w:color w:val="000000"/>
          <w:sz w:val="18"/>
          <w:szCs w:val="18"/>
          <w:lang w:val="x-none"/>
        </w:rPr>
      </w:pPr>
    </w:p>
    <w:p w14:paraId="73A49982" w14:textId="77777777" w:rsidR="000A3B2B" w:rsidRDefault="000A3B2B" w:rsidP="003C16E8">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1.3.</w:t>
      </w:r>
      <w:r>
        <w:rPr>
          <w:rFonts w:ascii="Arial" w:hAnsi="Arial" w:cs="Arial"/>
          <w:b/>
          <w:bCs/>
          <w:color w:val="000000"/>
          <w:sz w:val="18"/>
          <w:szCs w:val="18"/>
          <w:lang w:val="x-none"/>
        </w:rPr>
        <w:tab/>
        <w:t>Zakres stosowania ST</w:t>
      </w:r>
    </w:p>
    <w:p w14:paraId="0CA2178D" w14:textId="77777777" w:rsidR="000A3B2B" w:rsidRDefault="000A3B2B" w:rsidP="003C16E8">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Niniejsza specyfikacja techniczna jest dokumentem przetargowym i kontraktowym przy zlecaniu i realizacji robót wymienionych w pkt. 1.2., a objętych zamówieniem określonym w pkt. 1.8.</w:t>
      </w:r>
    </w:p>
    <w:p w14:paraId="416E317F" w14:textId="77777777" w:rsidR="000A3B2B" w:rsidRDefault="000A3B2B" w:rsidP="003C16E8">
      <w:pPr>
        <w:autoSpaceDE w:val="0"/>
        <w:autoSpaceDN w:val="0"/>
        <w:adjustRightInd w:val="0"/>
        <w:spacing w:before="60"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Odstępstwa od wymagań podanych w niniejszej specyfikacji mogą mieć miejsce tylko w przypadkach małych, prostych i drugorzędnych robót o niewielkim znaczeniu, dla których istnieje pewność, że podstawowe wymagania będą spełnione przy zastosowaniu metod wykonania wynikających z doświadczenia i przy przestrzeganiu zasad sztuki budowlanej.</w:t>
      </w:r>
    </w:p>
    <w:p w14:paraId="3B6DB499" w14:textId="77777777" w:rsidR="000A3B2B" w:rsidRDefault="000A3B2B" w:rsidP="003C16E8">
      <w:pPr>
        <w:autoSpaceDE w:val="0"/>
        <w:autoSpaceDN w:val="0"/>
        <w:adjustRightInd w:val="0"/>
        <w:spacing w:after="30" w:line="240" w:lineRule="auto"/>
        <w:jc w:val="both"/>
        <w:rPr>
          <w:rFonts w:ascii="Arial" w:hAnsi="Arial" w:cs="Arial"/>
          <w:color w:val="000000"/>
          <w:sz w:val="18"/>
          <w:szCs w:val="18"/>
          <w:lang w:val="x-none"/>
        </w:rPr>
      </w:pPr>
    </w:p>
    <w:p w14:paraId="7AB614CA" w14:textId="77777777" w:rsidR="000A3B2B" w:rsidRDefault="000A3B2B" w:rsidP="003C16E8">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1.4.</w:t>
      </w:r>
      <w:r>
        <w:rPr>
          <w:rFonts w:ascii="Arial" w:hAnsi="Arial" w:cs="Arial"/>
          <w:b/>
          <w:bCs/>
          <w:color w:val="000000"/>
          <w:sz w:val="18"/>
          <w:szCs w:val="18"/>
          <w:lang w:val="x-none"/>
        </w:rPr>
        <w:tab/>
        <w:t>Przedmiot i zakres robót objętych ST</w:t>
      </w:r>
    </w:p>
    <w:p w14:paraId="364886F7" w14:textId="77777777" w:rsidR="000A3B2B" w:rsidRDefault="000A3B2B" w:rsidP="003C16E8">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Roboty, których dotyczy Specyfikacja, obejmują wszystkie czynności podstawowe występujące przy montażu sieci kanalizacyjnych i przykanalików z tworzyw sztucznych oraz obiektów i urządzeń na tych sieciach, a także roboty tymczasowe oraz prace towarzyszące.</w:t>
      </w:r>
    </w:p>
    <w:p w14:paraId="176E75B1" w14:textId="77777777" w:rsidR="000A3B2B" w:rsidRDefault="000A3B2B" w:rsidP="003C16E8">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 xml:space="preserve">Robotami tymczasowymi przy budowie sieci kanalizacyjnych wymienionych wyżej są: wykopy, umocnienia ścian wykopów, odwodnienie wykopów na czas montażu rurociągów w przypadku wystąpienia wysokiego poziomu wód gruntowych (względnie opadowych), wykonanie podłoża, zasypanie wykopów wraz z zagęszczeniem </w:t>
      </w:r>
      <w:proofErr w:type="spellStart"/>
      <w:r>
        <w:rPr>
          <w:rFonts w:ascii="Arial" w:hAnsi="Arial" w:cs="Arial"/>
          <w:color w:val="000000"/>
          <w:sz w:val="18"/>
          <w:szCs w:val="18"/>
          <w:lang w:val="x-none"/>
        </w:rPr>
        <w:t>obsypki</w:t>
      </w:r>
      <w:proofErr w:type="spellEnd"/>
      <w:r>
        <w:rPr>
          <w:rFonts w:ascii="Arial" w:hAnsi="Arial" w:cs="Arial"/>
          <w:color w:val="000000"/>
          <w:sz w:val="18"/>
          <w:szCs w:val="18"/>
          <w:lang w:val="x-none"/>
        </w:rPr>
        <w:t xml:space="preserve"> i zasypki.</w:t>
      </w:r>
    </w:p>
    <w:p w14:paraId="03A5D77A" w14:textId="77777777" w:rsidR="000A3B2B" w:rsidRDefault="000A3B2B" w:rsidP="003C16E8">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Do prac towarzyszących należy zaliczyć między innymi geodezyjne wytyczenie tras kanalizacyjnych oraz ich inwentaryzację powykonawczą.</w:t>
      </w:r>
    </w:p>
    <w:p w14:paraId="0C482470" w14:textId="77777777" w:rsidR="000A3B2B" w:rsidRDefault="000A3B2B" w:rsidP="003C16E8">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 </w:t>
      </w:r>
    </w:p>
    <w:p w14:paraId="46AA8A3E" w14:textId="77777777" w:rsidR="000A3B2B" w:rsidRDefault="000A3B2B" w:rsidP="003C16E8">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1.5.</w:t>
      </w:r>
      <w:r>
        <w:rPr>
          <w:rFonts w:ascii="Arial" w:hAnsi="Arial" w:cs="Arial"/>
          <w:b/>
          <w:bCs/>
          <w:color w:val="000000"/>
          <w:sz w:val="18"/>
          <w:szCs w:val="18"/>
          <w:lang w:val="x-none"/>
        </w:rPr>
        <w:tab/>
        <w:t>Określenia podstawowe, definicje</w:t>
      </w:r>
    </w:p>
    <w:p w14:paraId="17865726" w14:textId="77777777" w:rsidR="000A3B2B" w:rsidRDefault="000A3B2B" w:rsidP="003C16E8">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Określenia podstawowe przyjęte w niniejszej specyfikacji technicznej są zgodne z określeniami przyjętymi w zeszycie nr 9 „Warunków Technicznych Wykonania i Odbioru (</w:t>
      </w:r>
      <w:proofErr w:type="spellStart"/>
      <w:r>
        <w:rPr>
          <w:rFonts w:ascii="Arial" w:hAnsi="Arial" w:cs="Arial"/>
          <w:color w:val="000000"/>
          <w:sz w:val="18"/>
          <w:szCs w:val="18"/>
          <w:lang w:val="x-none"/>
        </w:rPr>
        <w:t>WTWiO</w:t>
      </w:r>
      <w:proofErr w:type="spellEnd"/>
      <w:r>
        <w:rPr>
          <w:rFonts w:ascii="Arial" w:hAnsi="Arial" w:cs="Arial"/>
          <w:color w:val="000000"/>
          <w:sz w:val="18"/>
          <w:szCs w:val="18"/>
          <w:lang w:val="x-none"/>
        </w:rPr>
        <w:t>) Sieci Kanalizacyjnych” wydanych przez Centralny Ośrodek Badawczo-Rozwojowy Techniki Instalacyjnej INSTAL, odpowiednimi normami oraz określeniami podanymi w ST „Wymagania Ogólne” Kod CPV 45000000-7, pkt. 1.7., a także podanymi poniżej:</w:t>
      </w:r>
    </w:p>
    <w:p w14:paraId="17CA127E" w14:textId="77777777" w:rsidR="000A3B2B" w:rsidRDefault="000A3B2B" w:rsidP="003C16E8">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System kanalizacyjny</w:t>
      </w:r>
      <w:r>
        <w:rPr>
          <w:rFonts w:ascii="Arial" w:hAnsi="Arial" w:cs="Arial"/>
          <w:color w:val="000000"/>
          <w:sz w:val="18"/>
          <w:szCs w:val="18"/>
          <w:lang w:val="x-none"/>
        </w:rPr>
        <w:t xml:space="preserve"> – sieć rurociągów i urządzeń lub obiektów pomocniczych, które służą do odprowadzania ścieków i/lub wód opadowych od przykanalików do oczyszczalni lub innego miejsca utylizacji.</w:t>
      </w:r>
    </w:p>
    <w:p w14:paraId="3E341C67" w14:textId="77777777" w:rsidR="000A3B2B" w:rsidRDefault="000A3B2B" w:rsidP="003C16E8">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 xml:space="preserve">System grawitacyjny </w:t>
      </w:r>
      <w:r>
        <w:rPr>
          <w:rFonts w:ascii="Arial" w:hAnsi="Arial" w:cs="Arial"/>
          <w:color w:val="000000"/>
          <w:sz w:val="18"/>
          <w:szCs w:val="18"/>
          <w:lang w:val="x-none"/>
        </w:rPr>
        <w:t>– system kanalizacyjny, w którym przepływ odbywa się dzięki sile ciężkości, a przewody są projektowane do pracy w normalnych warunkach w przypadku częściowego napełnienia.</w:t>
      </w:r>
    </w:p>
    <w:p w14:paraId="703270D5" w14:textId="77777777" w:rsidR="000A3B2B" w:rsidRDefault="000A3B2B" w:rsidP="003C16E8">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Sieć kanalizacyjna ogólnospławna</w:t>
      </w:r>
      <w:r>
        <w:rPr>
          <w:rFonts w:ascii="Arial" w:hAnsi="Arial" w:cs="Arial"/>
          <w:color w:val="000000"/>
          <w:sz w:val="18"/>
          <w:szCs w:val="18"/>
          <w:lang w:val="x-none"/>
        </w:rPr>
        <w:t xml:space="preserve"> – sieć przeznaczona do odprowadzania ścieków bytowo-gospodarczych, przemysłowych i opadowych.</w:t>
      </w:r>
    </w:p>
    <w:p w14:paraId="5A1F9E47" w14:textId="77777777" w:rsidR="000A3B2B" w:rsidRDefault="000A3B2B" w:rsidP="003C16E8">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Sieć kanalizacyjna ściekowa</w:t>
      </w:r>
      <w:r>
        <w:rPr>
          <w:rFonts w:ascii="Arial" w:hAnsi="Arial" w:cs="Arial"/>
          <w:color w:val="000000"/>
          <w:sz w:val="18"/>
          <w:szCs w:val="18"/>
          <w:lang w:val="x-none"/>
        </w:rPr>
        <w:t xml:space="preserve"> – sieć przeznaczona do odprowadzania ścieków bytowo-gospodarczych i przemysłowych.</w:t>
      </w:r>
    </w:p>
    <w:p w14:paraId="0A07F039" w14:textId="77777777" w:rsidR="000A3B2B" w:rsidRDefault="000A3B2B" w:rsidP="003C16E8">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 xml:space="preserve">Sieć deszczowa </w:t>
      </w:r>
      <w:r>
        <w:rPr>
          <w:rFonts w:ascii="Arial" w:hAnsi="Arial" w:cs="Arial"/>
          <w:color w:val="000000"/>
          <w:sz w:val="18"/>
          <w:szCs w:val="18"/>
          <w:lang w:val="x-none"/>
        </w:rPr>
        <w:t>– sieć przeznaczona do odprowadzania ścieków opadowych.</w:t>
      </w:r>
    </w:p>
    <w:p w14:paraId="6D9779CB" w14:textId="77777777" w:rsidR="000A3B2B" w:rsidRDefault="000A3B2B" w:rsidP="003C16E8">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Studzienka monolityczna</w:t>
      </w:r>
      <w:r>
        <w:rPr>
          <w:rFonts w:ascii="Arial" w:hAnsi="Arial" w:cs="Arial"/>
          <w:color w:val="000000"/>
          <w:sz w:val="18"/>
          <w:szCs w:val="18"/>
          <w:lang w:val="x-none"/>
        </w:rPr>
        <w:t xml:space="preserve"> – studzienka, której co najmniej komora robocza jest wykonana w konstrukcji monolitycznej.</w:t>
      </w:r>
    </w:p>
    <w:p w14:paraId="67285EB3" w14:textId="77777777" w:rsidR="000A3B2B" w:rsidRDefault="000A3B2B" w:rsidP="003C16E8">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Studzienka prefabrykowana</w:t>
      </w:r>
      <w:r>
        <w:rPr>
          <w:rFonts w:ascii="Arial" w:hAnsi="Arial" w:cs="Arial"/>
          <w:color w:val="000000"/>
          <w:sz w:val="18"/>
          <w:szCs w:val="18"/>
          <w:lang w:val="x-none"/>
        </w:rPr>
        <w:t xml:space="preserve"> – studzienka, której co najmniej zasadnicza część komory roboczej i komin włazowy są wykonane z prefabrykatów.</w:t>
      </w:r>
    </w:p>
    <w:p w14:paraId="12C5DFE8" w14:textId="77777777" w:rsidR="000A3B2B" w:rsidRDefault="000A3B2B" w:rsidP="003C16E8">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Studzienka murowana</w:t>
      </w:r>
      <w:r>
        <w:rPr>
          <w:rFonts w:ascii="Arial" w:hAnsi="Arial" w:cs="Arial"/>
          <w:color w:val="000000"/>
          <w:sz w:val="18"/>
          <w:szCs w:val="18"/>
          <w:lang w:val="x-none"/>
        </w:rPr>
        <w:t xml:space="preserve"> – studzienka, której co najmniej zasadnicza część komory roboczej wykonana jest z cegły.</w:t>
      </w:r>
    </w:p>
    <w:p w14:paraId="4C2B89D1" w14:textId="77777777" w:rsidR="000A3B2B" w:rsidRDefault="000A3B2B" w:rsidP="003C16E8">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 xml:space="preserve">Studzienka włazowa </w:t>
      </w:r>
      <w:r>
        <w:rPr>
          <w:rFonts w:ascii="Arial" w:hAnsi="Arial" w:cs="Arial"/>
          <w:color w:val="000000"/>
          <w:sz w:val="18"/>
          <w:szCs w:val="18"/>
          <w:lang w:val="x-none"/>
        </w:rPr>
        <w:t>– studzienka przystosowana do wchodzenia i wychodzenia dla wykonywania czynności eksploatacyjnych w kanale.</w:t>
      </w:r>
    </w:p>
    <w:p w14:paraId="3D52FC28" w14:textId="77777777" w:rsidR="000A3B2B" w:rsidRDefault="000A3B2B" w:rsidP="003C16E8">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Studzienka inspekcyjna (przeglądowa)</w:t>
      </w:r>
      <w:r>
        <w:rPr>
          <w:rFonts w:ascii="Arial" w:hAnsi="Arial" w:cs="Arial"/>
          <w:color w:val="000000"/>
          <w:sz w:val="18"/>
          <w:szCs w:val="18"/>
          <w:lang w:val="x-none"/>
        </w:rPr>
        <w:t xml:space="preserve"> – studzienka </w:t>
      </w:r>
      <w:proofErr w:type="spellStart"/>
      <w:r>
        <w:rPr>
          <w:rFonts w:ascii="Arial" w:hAnsi="Arial" w:cs="Arial"/>
          <w:color w:val="000000"/>
          <w:sz w:val="18"/>
          <w:szCs w:val="18"/>
          <w:lang w:val="x-none"/>
        </w:rPr>
        <w:t>niewłazowa</w:t>
      </w:r>
      <w:proofErr w:type="spellEnd"/>
      <w:r>
        <w:rPr>
          <w:rFonts w:ascii="Arial" w:hAnsi="Arial" w:cs="Arial"/>
          <w:color w:val="000000"/>
          <w:sz w:val="18"/>
          <w:szCs w:val="18"/>
          <w:lang w:val="x-none"/>
        </w:rPr>
        <w:t xml:space="preserve"> przystosowana do wykonywania czynności eksploatacyjnych i kontrolnych z powierzchni terenu za pomocą urządzeń hydraulicznych (czyszczenie kanałów) oraz techniki video do przeglądów kanałów.</w:t>
      </w:r>
    </w:p>
    <w:p w14:paraId="33A04D38" w14:textId="77777777" w:rsidR="000A3B2B" w:rsidRDefault="000A3B2B" w:rsidP="003C16E8">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 xml:space="preserve">Komora robocza </w:t>
      </w:r>
      <w:r>
        <w:rPr>
          <w:rFonts w:ascii="Arial" w:hAnsi="Arial" w:cs="Arial"/>
          <w:color w:val="000000"/>
          <w:sz w:val="18"/>
          <w:szCs w:val="18"/>
          <w:lang w:val="x-none"/>
        </w:rPr>
        <w:t>– część studzienki przeznaczona do wykonywania czynności eksploatacyjnych.</w:t>
      </w:r>
    </w:p>
    <w:p w14:paraId="27BF2A26" w14:textId="77777777" w:rsidR="000A3B2B" w:rsidRDefault="000A3B2B" w:rsidP="003C16E8">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 xml:space="preserve">Komin włazowy </w:t>
      </w:r>
      <w:r>
        <w:rPr>
          <w:rFonts w:ascii="Arial" w:hAnsi="Arial" w:cs="Arial"/>
          <w:color w:val="000000"/>
          <w:sz w:val="18"/>
          <w:szCs w:val="18"/>
          <w:lang w:val="x-none"/>
        </w:rPr>
        <w:t>– szyb łączący komorę roboczą z powierzchnią terenu, przeznaczony do wchodzenia i wychodzenia obsługi.</w:t>
      </w:r>
    </w:p>
    <w:p w14:paraId="6BC0AE3F" w14:textId="77777777" w:rsidR="000A3B2B" w:rsidRDefault="000A3B2B" w:rsidP="003C16E8">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b/>
          <w:bCs/>
          <w:color w:val="000000"/>
          <w:sz w:val="18"/>
          <w:szCs w:val="18"/>
          <w:lang w:val="x-none"/>
        </w:rPr>
        <w:t>Kineta</w:t>
      </w:r>
      <w:r>
        <w:rPr>
          <w:rFonts w:ascii="Arial" w:hAnsi="Arial" w:cs="Arial"/>
          <w:color w:val="000000"/>
          <w:sz w:val="18"/>
          <w:szCs w:val="18"/>
          <w:lang w:val="x-none"/>
        </w:rPr>
        <w:t xml:space="preserve"> – wyprofilowane koryto w dnie studzienki, przeznaczone do przepływu ścieków.</w:t>
      </w:r>
    </w:p>
    <w:p w14:paraId="59E99ACD" w14:textId="77777777" w:rsidR="000A3B2B" w:rsidRDefault="000A3B2B" w:rsidP="003C16E8">
      <w:pPr>
        <w:autoSpaceDE w:val="0"/>
        <w:autoSpaceDN w:val="0"/>
        <w:adjustRightInd w:val="0"/>
        <w:spacing w:after="30" w:line="240" w:lineRule="auto"/>
        <w:jc w:val="both"/>
        <w:rPr>
          <w:rFonts w:ascii="Arial" w:hAnsi="Arial" w:cs="Arial"/>
          <w:color w:val="000000"/>
          <w:sz w:val="18"/>
          <w:szCs w:val="18"/>
          <w:lang w:val="x-none"/>
        </w:rPr>
      </w:pPr>
    </w:p>
    <w:p w14:paraId="71E4844F" w14:textId="77777777" w:rsidR="000A3B2B" w:rsidRDefault="000A3B2B" w:rsidP="003C16E8">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1.6.</w:t>
      </w:r>
      <w:r>
        <w:rPr>
          <w:rFonts w:ascii="Arial" w:hAnsi="Arial" w:cs="Arial"/>
          <w:b/>
          <w:bCs/>
          <w:color w:val="000000"/>
          <w:sz w:val="18"/>
          <w:szCs w:val="18"/>
          <w:lang w:val="x-none"/>
        </w:rPr>
        <w:tab/>
        <w:t>Ogólne wymagania dotyczące robót</w:t>
      </w:r>
    </w:p>
    <w:p w14:paraId="66B4C2BB" w14:textId="77777777" w:rsidR="000A3B2B" w:rsidRDefault="000A3B2B" w:rsidP="003C16E8">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Wykonawca robót jest odpowiedzialny za jakość wykonania robót oraz za zgodność z dokumentacją projektową, postanowieniami zawartymi w zeszycie nr 9 </w:t>
      </w:r>
      <w:proofErr w:type="spellStart"/>
      <w:r>
        <w:rPr>
          <w:rFonts w:ascii="Arial" w:hAnsi="Arial" w:cs="Arial"/>
          <w:color w:val="000000"/>
          <w:sz w:val="18"/>
          <w:szCs w:val="18"/>
          <w:lang w:val="x-none"/>
        </w:rPr>
        <w:t>WTWiO</w:t>
      </w:r>
      <w:proofErr w:type="spellEnd"/>
      <w:r>
        <w:rPr>
          <w:rFonts w:ascii="Arial" w:hAnsi="Arial" w:cs="Arial"/>
          <w:color w:val="000000"/>
          <w:sz w:val="18"/>
          <w:szCs w:val="18"/>
          <w:lang w:val="x-none"/>
        </w:rPr>
        <w:t xml:space="preserve"> dla sieci kanalizacyjnych, ST i poleceniami Inspektora nadzoru oraz ze sztuką budowlaną. Ogólne wymagania dotyczące robót wykonywanych na tej budowie podano w ST „Wymagania ogólne” Kod CPV 45000000-7, pkt 1.5.</w:t>
      </w:r>
    </w:p>
    <w:p w14:paraId="3F9F7FD6" w14:textId="77777777" w:rsidR="000A3B2B" w:rsidRDefault="000A3B2B" w:rsidP="003C16E8">
      <w:pPr>
        <w:autoSpaceDE w:val="0"/>
        <w:autoSpaceDN w:val="0"/>
        <w:adjustRightInd w:val="0"/>
        <w:spacing w:after="30" w:line="240" w:lineRule="auto"/>
        <w:jc w:val="both"/>
        <w:rPr>
          <w:rFonts w:ascii="Arial" w:hAnsi="Arial" w:cs="Arial"/>
          <w:color w:val="000000"/>
          <w:sz w:val="18"/>
          <w:szCs w:val="18"/>
          <w:lang w:val="x-none"/>
        </w:rPr>
      </w:pPr>
    </w:p>
    <w:p w14:paraId="64F810E7" w14:textId="77777777" w:rsidR="000A3B2B" w:rsidRDefault="000A3B2B" w:rsidP="003C16E8">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1.7.</w:t>
      </w:r>
      <w:r>
        <w:rPr>
          <w:rFonts w:ascii="Arial" w:hAnsi="Arial" w:cs="Arial"/>
          <w:b/>
          <w:bCs/>
          <w:color w:val="000000"/>
          <w:sz w:val="18"/>
          <w:szCs w:val="18"/>
          <w:lang w:val="x-none"/>
        </w:rPr>
        <w:tab/>
        <w:t>Dokumentacja robót montażowych sieci kanalizacyjnych</w:t>
      </w:r>
    </w:p>
    <w:p w14:paraId="1BAD57CB" w14:textId="77777777" w:rsidR="000A3B2B" w:rsidRDefault="000A3B2B" w:rsidP="003C16E8">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Roboty budowy sieci kanalizacyjnych należy wykonywać na podstawie dokumentacji, której wykaz oraz podstawy prawne ich sporządzenia podano w ST „Wymagania ogólne” Kod CPV 45000000-7, pkt 1.6. Przy wykonywaniu tych robót należy wykorzystać także:</w:t>
      </w:r>
    </w:p>
    <w:p w14:paraId="640DD379" w14:textId="77777777" w:rsidR="000A3B2B" w:rsidRDefault="000A3B2B" w:rsidP="003C16E8">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projekt budowlany, opracowany zgodnie z rozporządzeniem Ministra Transportu Budownictwa i Gospodarki Morskiej z dnia 25 kwietnia 2012 r. „w sprawie szczegółowego zakresu i formy projektu budowlanego (Dz. U. z 27 kwietnia 2012 r., poz. 462 z </w:t>
      </w:r>
      <w:proofErr w:type="spellStart"/>
      <w:r>
        <w:rPr>
          <w:rFonts w:ascii="Arial" w:hAnsi="Arial" w:cs="Arial"/>
          <w:color w:val="000000"/>
          <w:sz w:val="18"/>
          <w:szCs w:val="18"/>
          <w:lang w:val="x-none"/>
        </w:rPr>
        <w:t>póź</w:t>
      </w:r>
      <w:proofErr w:type="spellEnd"/>
      <w:r>
        <w:rPr>
          <w:rFonts w:ascii="Arial" w:hAnsi="Arial" w:cs="Arial"/>
          <w:color w:val="000000"/>
          <w:sz w:val="18"/>
          <w:szCs w:val="18"/>
          <w:lang w:val="x-none"/>
        </w:rPr>
        <w:t>. zmianami), dla przedmiotu zamówienia dla którego wymagane jest uzyskanie pozwolenia na budowę,</w:t>
      </w:r>
    </w:p>
    <w:p w14:paraId="0176A2CD" w14:textId="77777777" w:rsidR="000A3B2B" w:rsidRDefault="000A3B2B" w:rsidP="003C16E8">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projekt wykonawczy w zakresie wynikającym z rozporządzenia Ministra Infrastruktury z 02.09.2004 r. w sprawie szczegółowego zakresu i formy dokumentacji projektowej, specyfikacji technicznych wykonania i odbioru robót budowlanych oraz programu funkcjonalno-użytkowego (Dz. U. z 2004 r. Nr 202, poz. 2072 z </w:t>
      </w:r>
      <w:proofErr w:type="spellStart"/>
      <w:r>
        <w:rPr>
          <w:rFonts w:ascii="Arial" w:hAnsi="Arial" w:cs="Arial"/>
          <w:color w:val="000000"/>
          <w:sz w:val="18"/>
          <w:szCs w:val="18"/>
          <w:lang w:val="x-none"/>
        </w:rPr>
        <w:t>późn</w:t>
      </w:r>
      <w:proofErr w:type="spellEnd"/>
      <w:r>
        <w:rPr>
          <w:rFonts w:ascii="Arial" w:hAnsi="Arial" w:cs="Arial"/>
          <w:color w:val="000000"/>
          <w:sz w:val="18"/>
          <w:szCs w:val="18"/>
          <w:lang w:val="x-none"/>
        </w:rPr>
        <w:t>. zmianami – tekst jednolity Dz. U. 2013 Nr 00, poz. 1129),</w:t>
      </w:r>
    </w:p>
    <w:p w14:paraId="3F503DC8" w14:textId="77777777" w:rsidR="000A3B2B" w:rsidRDefault="000A3B2B" w:rsidP="003C16E8">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specyfikacja techniczna wykonania i odbioru robót (obligatoryjna w przypadku zamówień publicznych), sporządzona zgodnie z rozporządzeniem Ministra Infrastruktury z dnia 02.09.2004 r. w sprawie szczegółowego zakresu i formy dokumentacji projektowej, specyfikacji technicznych wykonania i odbioru robót budowlanych oraz programu funkcjonalno-użytkowego (Dz. U. z 2004 r. Nr 202, poz. 2072 z </w:t>
      </w:r>
      <w:proofErr w:type="spellStart"/>
      <w:r>
        <w:rPr>
          <w:rFonts w:ascii="Arial" w:hAnsi="Arial" w:cs="Arial"/>
          <w:color w:val="000000"/>
          <w:sz w:val="18"/>
          <w:szCs w:val="18"/>
          <w:lang w:val="x-none"/>
        </w:rPr>
        <w:t>późn</w:t>
      </w:r>
      <w:proofErr w:type="spellEnd"/>
      <w:r>
        <w:rPr>
          <w:rFonts w:ascii="Arial" w:hAnsi="Arial" w:cs="Arial"/>
          <w:color w:val="000000"/>
          <w:sz w:val="18"/>
          <w:szCs w:val="18"/>
          <w:lang w:val="x-none"/>
        </w:rPr>
        <w:t>. zmianami – tekst jednolity Dz. U. 2013 Nr 00, poz. 1129),</w:t>
      </w:r>
    </w:p>
    <w:p w14:paraId="045EFB0D" w14:textId="77777777" w:rsidR="000A3B2B" w:rsidRDefault="000A3B2B" w:rsidP="003C16E8">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dziennik budowy prowadzony zgodnie z rozporządzeniem Ministra Infrastruktury z dnia 26 czerwca 2002 r. w sprawie dziennika budowy, montażu i rozbiórki, tablicy informacyjnej oraz ogłoszenia zawierającego dane dotyczące bezpieczeństwa pracy i ochrony zdrowia (Dz. U. z 2002 r. Nr 108, poz. 953 z </w:t>
      </w:r>
      <w:proofErr w:type="spellStart"/>
      <w:r>
        <w:rPr>
          <w:rFonts w:ascii="Arial" w:hAnsi="Arial" w:cs="Arial"/>
          <w:color w:val="000000"/>
          <w:sz w:val="18"/>
          <w:szCs w:val="18"/>
          <w:lang w:val="x-none"/>
        </w:rPr>
        <w:t>późn</w:t>
      </w:r>
      <w:proofErr w:type="spellEnd"/>
      <w:r>
        <w:rPr>
          <w:rFonts w:ascii="Arial" w:hAnsi="Arial" w:cs="Arial"/>
          <w:color w:val="000000"/>
          <w:sz w:val="18"/>
          <w:szCs w:val="18"/>
          <w:lang w:val="x-none"/>
        </w:rPr>
        <w:t>. zmianami),</w:t>
      </w:r>
    </w:p>
    <w:p w14:paraId="4AD1D50C" w14:textId="77777777" w:rsidR="000A3B2B" w:rsidRDefault="000A3B2B" w:rsidP="003C16E8">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dokumenty świadczące o dopuszczeniu do obrotu lub udostępnieniu na rynku krajowym bądź do jednostkowego zastosowania użytych wyrobów budowlanych, zgodnie z ustawą z 16 kwietnia 2004 r. o wyrobach budowlanych (tekst jednolity Dz. U. z 2016 r. Nr 0, poz. 1570),</w:t>
      </w:r>
    </w:p>
    <w:p w14:paraId="6EE71775" w14:textId="77777777" w:rsidR="000A3B2B" w:rsidRDefault="000A3B2B" w:rsidP="003C16E8">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protokoły odbiorów częściowych, końcowych i robót zanikających, z załączonymi protokołami z badań kontrolnych,</w:t>
      </w:r>
    </w:p>
    <w:p w14:paraId="327BC523" w14:textId="77777777" w:rsidR="000A3B2B" w:rsidRDefault="000A3B2B" w:rsidP="003C16E8">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dokumentacja powykonawcza czyli wcześniej wymienione części składowe dokumentacji robót z naniesionymi zmianami dokonanymi w toku wykonywania robót (zgodnie z art. 3, pkt 14 ustawy Prawo budowlane z dnia 7 lipca 1994 r. – tekst jednolity Dz. U. z 2016, poz. 290).</w:t>
      </w:r>
    </w:p>
    <w:p w14:paraId="51469D44" w14:textId="77777777" w:rsidR="000A3B2B" w:rsidRDefault="000A3B2B" w:rsidP="003C16E8">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Roboty należy wykonywać na podstawie dokumentacji projektowej i specyfikacji technicznej wykonania i odbioru robót budowlanych opracowanych dla realizacji konkretnego zadania.</w:t>
      </w:r>
    </w:p>
    <w:p w14:paraId="1D0C1378" w14:textId="77777777" w:rsidR="000A3B2B" w:rsidRDefault="000A3B2B" w:rsidP="003C16E8">
      <w:pPr>
        <w:autoSpaceDE w:val="0"/>
        <w:autoSpaceDN w:val="0"/>
        <w:adjustRightInd w:val="0"/>
        <w:spacing w:after="30" w:line="240" w:lineRule="auto"/>
        <w:jc w:val="both"/>
        <w:rPr>
          <w:rFonts w:ascii="Arial" w:hAnsi="Arial" w:cs="Arial"/>
          <w:color w:val="000000"/>
          <w:sz w:val="18"/>
          <w:szCs w:val="18"/>
          <w:lang w:val="x-none"/>
        </w:rPr>
      </w:pPr>
    </w:p>
    <w:p w14:paraId="7353AD4B" w14:textId="77777777" w:rsidR="000A3B2B" w:rsidRDefault="000A3B2B" w:rsidP="003C16E8">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1.8.</w:t>
      </w:r>
      <w:r>
        <w:rPr>
          <w:rFonts w:ascii="Arial" w:hAnsi="Arial" w:cs="Arial"/>
          <w:b/>
          <w:bCs/>
          <w:color w:val="000000"/>
          <w:sz w:val="18"/>
          <w:szCs w:val="18"/>
          <w:lang w:val="x-none"/>
        </w:rPr>
        <w:tab/>
        <w:t>Nazwy i kody:</w:t>
      </w:r>
    </w:p>
    <w:p w14:paraId="6C2C1A1E" w14:textId="77777777" w:rsidR="000A3B2B" w:rsidRDefault="000A3B2B" w:rsidP="003C16E8">
      <w:pPr>
        <w:autoSpaceDE w:val="0"/>
        <w:autoSpaceDN w:val="0"/>
        <w:adjustRightInd w:val="0"/>
        <w:spacing w:after="30" w:line="240" w:lineRule="auto"/>
        <w:jc w:val="both"/>
        <w:rPr>
          <w:rFonts w:ascii="Arial" w:hAnsi="Arial" w:cs="Arial"/>
          <w:b/>
          <w:bCs/>
          <w:color w:val="000000"/>
          <w:sz w:val="18"/>
          <w:szCs w:val="18"/>
          <w:lang w:val="x-none"/>
        </w:rPr>
      </w:pPr>
      <w:r>
        <w:rPr>
          <w:rFonts w:ascii="Arial" w:hAnsi="Arial" w:cs="Arial"/>
          <w:b/>
          <w:bCs/>
          <w:color w:val="000000"/>
          <w:sz w:val="18"/>
          <w:szCs w:val="18"/>
          <w:lang w:val="x-none"/>
        </w:rPr>
        <w:t>Grupy robót, klasy robót lub kategorie robót</w:t>
      </w:r>
    </w:p>
    <w:tbl>
      <w:tblPr>
        <w:tblW w:w="0" w:type="auto"/>
        <w:tblCellSpacing w:w="0" w:type="dxa"/>
        <w:tblInd w:w="-8" w:type="dxa"/>
        <w:tblLayout w:type="fixed"/>
        <w:tblCellMar>
          <w:left w:w="0" w:type="dxa"/>
          <w:right w:w="0" w:type="dxa"/>
        </w:tblCellMar>
        <w:tblLook w:val="0000" w:firstRow="0" w:lastRow="0" w:firstColumn="0" w:lastColumn="0" w:noHBand="0" w:noVBand="0"/>
      </w:tblPr>
      <w:tblGrid>
        <w:gridCol w:w="292"/>
        <w:gridCol w:w="180"/>
        <w:gridCol w:w="316"/>
        <w:gridCol w:w="180"/>
        <w:gridCol w:w="314"/>
        <w:gridCol w:w="180"/>
        <w:gridCol w:w="316"/>
        <w:gridCol w:w="180"/>
        <w:gridCol w:w="314"/>
        <w:gridCol w:w="180"/>
        <w:gridCol w:w="316"/>
        <w:gridCol w:w="180"/>
        <w:gridCol w:w="314"/>
        <w:gridCol w:w="180"/>
        <w:gridCol w:w="316"/>
        <w:gridCol w:w="390"/>
        <w:gridCol w:w="314"/>
        <w:gridCol w:w="180"/>
        <w:gridCol w:w="5400"/>
      </w:tblGrid>
      <w:tr w:rsidR="000A3B2B" w14:paraId="0EBBC868" w14:textId="77777777" w:rsidTr="00443121">
        <w:trPr>
          <w:trHeight w:val="60"/>
          <w:tblCellSpacing w:w="0" w:type="dxa"/>
        </w:trPr>
        <w:tc>
          <w:tcPr>
            <w:tcW w:w="292" w:type="dxa"/>
            <w:tcBorders>
              <w:top w:val="single" w:sz="6" w:space="0" w:color="000000"/>
              <w:left w:val="single" w:sz="6" w:space="0" w:color="000000"/>
              <w:bottom w:val="single" w:sz="6" w:space="0" w:color="000000"/>
              <w:right w:val="single" w:sz="6" w:space="0" w:color="000000"/>
            </w:tcBorders>
          </w:tcPr>
          <w:p w14:paraId="72F2E51C" w14:textId="77777777" w:rsidR="000A3B2B" w:rsidRDefault="000A3B2B" w:rsidP="00443121">
            <w:pPr>
              <w:autoSpaceDE w:val="0"/>
              <w:autoSpaceDN w:val="0"/>
              <w:adjustRightInd w:val="0"/>
              <w:spacing w:after="0" w:line="240" w:lineRule="auto"/>
              <w:rPr>
                <w:rFonts w:ascii="Arial" w:hAnsi="Arial" w:cs="Arial"/>
                <w:sz w:val="24"/>
                <w:szCs w:val="24"/>
                <w:lang w:val="x-none"/>
              </w:rPr>
            </w:pPr>
            <w:r>
              <w:rPr>
                <w:rFonts w:ascii="Arial" w:hAnsi="Arial" w:cs="Arial"/>
                <w:sz w:val="24"/>
                <w:szCs w:val="24"/>
                <w:lang w:val="x-none"/>
              </w:rPr>
              <w:t>4</w:t>
            </w:r>
          </w:p>
        </w:tc>
        <w:tc>
          <w:tcPr>
            <w:tcW w:w="180" w:type="dxa"/>
            <w:tcBorders>
              <w:top w:val="nil"/>
              <w:left w:val="single" w:sz="6" w:space="0" w:color="000000"/>
              <w:bottom w:val="nil"/>
              <w:right w:val="single" w:sz="6" w:space="0" w:color="000000"/>
            </w:tcBorders>
          </w:tcPr>
          <w:p w14:paraId="6B4C58E2" w14:textId="77777777" w:rsidR="000A3B2B" w:rsidRDefault="000A3B2B" w:rsidP="00443121">
            <w:pPr>
              <w:autoSpaceDE w:val="0"/>
              <w:autoSpaceDN w:val="0"/>
              <w:adjustRightInd w:val="0"/>
              <w:spacing w:after="0" w:line="240" w:lineRule="auto"/>
              <w:rPr>
                <w:rFonts w:ascii="Arial" w:hAnsi="Arial" w:cs="Arial"/>
                <w:sz w:val="24"/>
                <w:szCs w:val="24"/>
                <w:lang w:val="x-none"/>
              </w:rPr>
            </w:pPr>
          </w:p>
        </w:tc>
        <w:tc>
          <w:tcPr>
            <w:tcW w:w="316" w:type="dxa"/>
            <w:tcBorders>
              <w:top w:val="single" w:sz="6" w:space="0" w:color="000000"/>
              <w:left w:val="single" w:sz="6" w:space="0" w:color="000000"/>
              <w:bottom w:val="single" w:sz="6" w:space="0" w:color="000000"/>
              <w:right w:val="single" w:sz="6" w:space="0" w:color="000000"/>
            </w:tcBorders>
          </w:tcPr>
          <w:p w14:paraId="6AFABDBA" w14:textId="77777777" w:rsidR="000A3B2B" w:rsidRDefault="000A3B2B" w:rsidP="00443121">
            <w:pPr>
              <w:autoSpaceDE w:val="0"/>
              <w:autoSpaceDN w:val="0"/>
              <w:adjustRightInd w:val="0"/>
              <w:spacing w:after="0" w:line="240" w:lineRule="auto"/>
              <w:rPr>
                <w:rFonts w:ascii="Arial" w:hAnsi="Arial" w:cs="Arial"/>
                <w:sz w:val="24"/>
                <w:szCs w:val="24"/>
                <w:lang w:val="x-none"/>
              </w:rPr>
            </w:pPr>
            <w:r>
              <w:rPr>
                <w:rFonts w:ascii="Arial" w:hAnsi="Arial" w:cs="Arial"/>
                <w:sz w:val="24"/>
                <w:szCs w:val="24"/>
                <w:lang w:val="x-none"/>
              </w:rPr>
              <w:t>5</w:t>
            </w:r>
          </w:p>
        </w:tc>
        <w:tc>
          <w:tcPr>
            <w:tcW w:w="180" w:type="dxa"/>
            <w:tcBorders>
              <w:top w:val="nil"/>
              <w:left w:val="single" w:sz="6" w:space="0" w:color="000000"/>
              <w:bottom w:val="nil"/>
              <w:right w:val="single" w:sz="6" w:space="0" w:color="000000"/>
            </w:tcBorders>
          </w:tcPr>
          <w:p w14:paraId="304D6A81" w14:textId="77777777" w:rsidR="000A3B2B" w:rsidRDefault="000A3B2B" w:rsidP="00443121">
            <w:pPr>
              <w:autoSpaceDE w:val="0"/>
              <w:autoSpaceDN w:val="0"/>
              <w:adjustRightInd w:val="0"/>
              <w:spacing w:after="0" w:line="240" w:lineRule="auto"/>
              <w:rPr>
                <w:rFonts w:ascii="Arial" w:hAnsi="Arial" w:cs="Arial"/>
                <w:sz w:val="24"/>
                <w:szCs w:val="24"/>
                <w:lang w:val="x-none"/>
              </w:rPr>
            </w:pPr>
          </w:p>
        </w:tc>
        <w:tc>
          <w:tcPr>
            <w:tcW w:w="314" w:type="dxa"/>
            <w:tcBorders>
              <w:top w:val="single" w:sz="6" w:space="0" w:color="000000"/>
              <w:left w:val="single" w:sz="6" w:space="0" w:color="000000"/>
              <w:bottom w:val="single" w:sz="6" w:space="0" w:color="000000"/>
              <w:right w:val="single" w:sz="6" w:space="0" w:color="000000"/>
            </w:tcBorders>
          </w:tcPr>
          <w:p w14:paraId="24FB99ED" w14:textId="77777777" w:rsidR="000A3B2B" w:rsidRDefault="000A3B2B" w:rsidP="00443121">
            <w:pPr>
              <w:autoSpaceDE w:val="0"/>
              <w:autoSpaceDN w:val="0"/>
              <w:adjustRightInd w:val="0"/>
              <w:spacing w:after="0" w:line="240" w:lineRule="auto"/>
              <w:rPr>
                <w:rFonts w:ascii="Arial" w:hAnsi="Arial" w:cs="Arial"/>
                <w:sz w:val="24"/>
                <w:szCs w:val="24"/>
                <w:lang w:val="x-none"/>
              </w:rPr>
            </w:pPr>
            <w:r>
              <w:rPr>
                <w:rFonts w:ascii="Arial" w:hAnsi="Arial" w:cs="Arial"/>
                <w:sz w:val="24"/>
                <w:szCs w:val="24"/>
                <w:lang w:val="x-none"/>
              </w:rPr>
              <w:t>2</w:t>
            </w:r>
          </w:p>
        </w:tc>
        <w:tc>
          <w:tcPr>
            <w:tcW w:w="180" w:type="dxa"/>
            <w:tcBorders>
              <w:top w:val="nil"/>
              <w:left w:val="single" w:sz="6" w:space="0" w:color="000000"/>
              <w:bottom w:val="nil"/>
              <w:right w:val="single" w:sz="6" w:space="0" w:color="000000"/>
            </w:tcBorders>
          </w:tcPr>
          <w:p w14:paraId="634CE260" w14:textId="77777777" w:rsidR="000A3B2B" w:rsidRDefault="000A3B2B" w:rsidP="00443121">
            <w:pPr>
              <w:autoSpaceDE w:val="0"/>
              <w:autoSpaceDN w:val="0"/>
              <w:adjustRightInd w:val="0"/>
              <w:spacing w:after="0" w:line="240" w:lineRule="auto"/>
              <w:rPr>
                <w:rFonts w:ascii="Arial" w:hAnsi="Arial" w:cs="Arial"/>
                <w:sz w:val="24"/>
                <w:szCs w:val="24"/>
                <w:lang w:val="x-none"/>
              </w:rPr>
            </w:pPr>
          </w:p>
        </w:tc>
        <w:tc>
          <w:tcPr>
            <w:tcW w:w="316" w:type="dxa"/>
            <w:tcBorders>
              <w:top w:val="single" w:sz="6" w:space="0" w:color="000000"/>
              <w:left w:val="single" w:sz="6" w:space="0" w:color="000000"/>
              <w:bottom w:val="single" w:sz="6" w:space="0" w:color="000000"/>
              <w:right w:val="single" w:sz="6" w:space="0" w:color="000000"/>
            </w:tcBorders>
          </w:tcPr>
          <w:p w14:paraId="17956F71" w14:textId="77777777" w:rsidR="000A3B2B" w:rsidRDefault="000A3B2B" w:rsidP="00443121">
            <w:pPr>
              <w:autoSpaceDE w:val="0"/>
              <w:autoSpaceDN w:val="0"/>
              <w:adjustRightInd w:val="0"/>
              <w:spacing w:after="0" w:line="240" w:lineRule="auto"/>
              <w:rPr>
                <w:rFonts w:ascii="Arial" w:hAnsi="Arial" w:cs="Arial"/>
                <w:sz w:val="24"/>
                <w:szCs w:val="24"/>
                <w:lang w:val="x-none"/>
              </w:rPr>
            </w:pPr>
            <w:r>
              <w:rPr>
                <w:rFonts w:ascii="Arial" w:hAnsi="Arial" w:cs="Arial"/>
                <w:sz w:val="24"/>
                <w:szCs w:val="24"/>
                <w:lang w:val="x-none"/>
              </w:rPr>
              <w:t>3</w:t>
            </w:r>
          </w:p>
        </w:tc>
        <w:tc>
          <w:tcPr>
            <w:tcW w:w="180" w:type="dxa"/>
            <w:tcBorders>
              <w:top w:val="nil"/>
              <w:left w:val="single" w:sz="6" w:space="0" w:color="000000"/>
              <w:bottom w:val="nil"/>
              <w:right w:val="single" w:sz="6" w:space="0" w:color="000000"/>
            </w:tcBorders>
          </w:tcPr>
          <w:p w14:paraId="5AE11179" w14:textId="77777777" w:rsidR="000A3B2B" w:rsidRDefault="000A3B2B" w:rsidP="00443121">
            <w:pPr>
              <w:autoSpaceDE w:val="0"/>
              <w:autoSpaceDN w:val="0"/>
              <w:adjustRightInd w:val="0"/>
              <w:spacing w:after="0" w:line="240" w:lineRule="auto"/>
              <w:rPr>
                <w:rFonts w:ascii="Arial" w:hAnsi="Arial" w:cs="Arial"/>
                <w:sz w:val="24"/>
                <w:szCs w:val="24"/>
                <w:lang w:val="x-none"/>
              </w:rPr>
            </w:pPr>
          </w:p>
        </w:tc>
        <w:tc>
          <w:tcPr>
            <w:tcW w:w="314" w:type="dxa"/>
            <w:tcBorders>
              <w:top w:val="single" w:sz="6" w:space="0" w:color="000000"/>
              <w:left w:val="single" w:sz="6" w:space="0" w:color="000000"/>
              <w:bottom w:val="single" w:sz="6" w:space="0" w:color="000000"/>
              <w:right w:val="single" w:sz="6" w:space="0" w:color="000000"/>
            </w:tcBorders>
          </w:tcPr>
          <w:p w14:paraId="07683D7B" w14:textId="77777777" w:rsidR="000A3B2B" w:rsidRDefault="000A3B2B" w:rsidP="00443121">
            <w:pPr>
              <w:autoSpaceDE w:val="0"/>
              <w:autoSpaceDN w:val="0"/>
              <w:adjustRightInd w:val="0"/>
              <w:spacing w:after="0" w:line="240" w:lineRule="auto"/>
              <w:rPr>
                <w:rFonts w:ascii="Arial" w:hAnsi="Arial" w:cs="Arial"/>
                <w:sz w:val="24"/>
                <w:szCs w:val="24"/>
                <w:lang w:val="x-none"/>
              </w:rPr>
            </w:pPr>
            <w:r>
              <w:rPr>
                <w:rFonts w:ascii="Arial" w:hAnsi="Arial" w:cs="Arial"/>
                <w:sz w:val="24"/>
                <w:szCs w:val="24"/>
                <w:lang w:val="x-none"/>
              </w:rPr>
              <w:t>1</w:t>
            </w:r>
          </w:p>
        </w:tc>
        <w:tc>
          <w:tcPr>
            <w:tcW w:w="180" w:type="dxa"/>
            <w:tcBorders>
              <w:top w:val="nil"/>
              <w:left w:val="single" w:sz="6" w:space="0" w:color="000000"/>
              <w:bottom w:val="nil"/>
              <w:right w:val="single" w:sz="6" w:space="0" w:color="000000"/>
            </w:tcBorders>
          </w:tcPr>
          <w:p w14:paraId="450B4816" w14:textId="77777777" w:rsidR="000A3B2B" w:rsidRDefault="000A3B2B" w:rsidP="00443121">
            <w:pPr>
              <w:autoSpaceDE w:val="0"/>
              <w:autoSpaceDN w:val="0"/>
              <w:adjustRightInd w:val="0"/>
              <w:spacing w:after="0" w:line="240" w:lineRule="auto"/>
              <w:rPr>
                <w:rFonts w:ascii="Arial" w:hAnsi="Arial" w:cs="Arial"/>
                <w:sz w:val="24"/>
                <w:szCs w:val="24"/>
                <w:lang w:val="x-none"/>
              </w:rPr>
            </w:pPr>
          </w:p>
        </w:tc>
        <w:tc>
          <w:tcPr>
            <w:tcW w:w="316" w:type="dxa"/>
            <w:tcBorders>
              <w:top w:val="single" w:sz="6" w:space="0" w:color="000000"/>
              <w:left w:val="single" w:sz="6" w:space="0" w:color="000000"/>
              <w:bottom w:val="single" w:sz="6" w:space="0" w:color="000000"/>
              <w:right w:val="single" w:sz="6" w:space="0" w:color="000000"/>
            </w:tcBorders>
          </w:tcPr>
          <w:p w14:paraId="5CD95ADE" w14:textId="77777777" w:rsidR="000A3B2B" w:rsidRDefault="000A3B2B" w:rsidP="00443121">
            <w:pPr>
              <w:autoSpaceDE w:val="0"/>
              <w:autoSpaceDN w:val="0"/>
              <w:adjustRightInd w:val="0"/>
              <w:spacing w:after="0" w:line="240" w:lineRule="auto"/>
              <w:rPr>
                <w:rFonts w:ascii="Arial" w:hAnsi="Arial" w:cs="Arial"/>
                <w:sz w:val="24"/>
                <w:szCs w:val="24"/>
                <w:lang w:val="x-none"/>
              </w:rPr>
            </w:pPr>
            <w:r>
              <w:rPr>
                <w:rFonts w:ascii="Arial" w:hAnsi="Arial" w:cs="Arial"/>
                <w:sz w:val="24"/>
                <w:szCs w:val="24"/>
                <w:lang w:val="x-none"/>
              </w:rPr>
              <w:t>1</w:t>
            </w:r>
          </w:p>
        </w:tc>
        <w:tc>
          <w:tcPr>
            <w:tcW w:w="180" w:type="dxa"/>
            <w:tcBorders>
              <w:top w:val="nil"/>
              <w:left w:val="single" w:sz="6" w:space="0" w:color="000000"/>
              <w:bottom w:val="nil"/>
              <w:right w:val="single" w:sz="6" w:space="0" w:color="000000"/>
            </w:tcBorders>
          </w:tcPr>
          <w:p w14:paraId="197FDF8D" w14:textId="77777777" w:rsidR="000A3B2B" w:rsidRDefault="000A3B2B" w:rsidP="00443121">
            <w:pPr>
              <w:autoSpaceDE w:val="0"/>
              <w:autoSpaceDN w:val="0"/>
              <w:adjustRightInd w:val="0"/>
              <w:spacing w:after="0" w:line="240" w:lineRule="auto"/>
              <w:rPr>
                <w:rFonts w:ascii="Arial" w:hAnsi="Arial" w:cs="Arial"/>
                <w:sz w:val="24"/>
                <w:szCs w:val="24"/>
                <w:lang w:val="x-none"/>
              </w:rPr>
            </w:pPr>
          </w:p>
        </w:tc>
        <w:tc>
          <w:tcPr>
            <w:tcW w:w="314" w:type="dxa"/>
            <w:tcBorders>
              <w:top w:val="single" w:sz="6" w:space="0" w:color="000000"/>
              <w:left w:val="single" w:sz="6" w:space="0" w:color="000000"/>
              <w:bottom w:val="single" w:sz="6" w:space="0" w:color="000000"/>
              <w:right w:val="single" w:sz="6" w:space="0" w:color="000000"/>
            </w:tcBorders>
          </w:tcPr>
          <w:p w14:paraId="59AFE316" w14:textId="77777777" w:rsidR="000A3B2B" w:rsidRDefault="000A3B2B" w:rsidP="00443121">
            <w:pPr>
              <w:autoSpaceDE w:val="0"/>
              <w:autoSpaceDN w:val="0"/>
              <w:adjustRightInd w:val="0"/>
              <w:spacing w:after="0" w:line="240" w:lineRule="auto"/>
              <w:rPr>
                <w:rFonts w:ascii="Arial" w:hAnsi="Arial" w:cs="Arial"/>
                <w:sz w:val="24"/>
                <w:szCs w:val="24"/>
                <w:lang w:val="x-none"/>
              </w:rPr>
            </w:pPr>
            <w:r>
              <w:rPr>
                <w:rFonts w:ascii="Arial" w:hAnsi="Arial" w:cs="Arial"/>
                <w:sz w:val="24"/>
                <w:szCs w:val="24"/>
                <w:lang w:val="x-none"/>
              </w:rPr>
              <w:t>1</w:t>
            </w:r>
          </w:p>
        </w:tc>
        <w:tc>
          <w:tcPr>
            <w:tcW w:w="180" w:type="dxa"/>
            <w:tcBorders>
              <w:top w:val="nil"/>
              <w:left w:val="single" w:sz="6" w:space="0" w:color="000000"/>
              <w:bottom w:val="nil"/>
              <w:right w:val="single" w:sz="6" w:space="0" w:color="000000"/>
            </w:tcBorders>
          </w:tcPr>
          <w:p w14:paraId="4BA7AC0B" w14:textId="77777777" w:rsidR="000A3B2B" w:rsidRDefault="000A3B2B" w:rsidP="00443121">
            <w:pPr>
              <w:autoSpaceDE w:val="0"/>
              <w:autoSpaceDN w:val="0"/>
              <w:adjustRightInd w:val="0"/>
              <w:spacing w:after="0" w:line="240" w:lineRule="auto"/>
              <w:rPr>
                <w:rFonts w:ascii="Arial" w:hAnsi="Arial" w:cs="Arial"/>
                <w:sz w:val="24"/>
                <w:szCs w:val="24"/>
                <w:lang w:val="x-none"/>
              </w:rPr>
            </w:pPr>
          </w:p>
        </w:tc>
        <w:tc>
          <w:tcPr>
            <w:tcW w:w="316" w:type="dxa"/>
            <w:tcBorders>
              <w:top w:val="single" w:sz="6" w:space="0" w:color="000000"/>
              <w:left w:val="single" w:sz="6" w:space="0" w:color="000000"/>
              <w:bottom w:val="single" w:sz="6" w:space="0" w:color="000000"/>
              <w:right w:val="single" w:sz="6" w:space="0" w:color="000000"/>
            </w:tcBorders>
          </w:tcPr>
          <w:p w14:paraId="7A7FEECB" w14:textId="77777777" w:rsidR="000A3B2B" w:rsidRDefault="000A3B2B" w:rsidP="00443121">
            <w:pPr>
              <w:autoSpaceDE w:val="0"/>
              <w:autoSpaceDN w:val="0"/>
              <w:adjustRightInd w:val="0"/>
              <w:spacing w:after="0" w:line="240" w:lineRule="auto"/>
              <w:rPr>
                <w:rFonts w:ascii="Arial" w:hAnsi="Arial" w:cs="Arial"/>
                <w:sz w:val="24"/>
                <w:szCs w:val="24"/>
                <w:lang w:val="x-none"/>
              </w:rPr>
            </w:pPr>
            <w:r>
              <w:rPr>
                <w:rFonts w:ascii="Arial" w:hAnsi="Arial" w:cs="Arial"/>
                <w:sz w:val="24"/>
                <w:szCs w:val="24"/>
                <w:lang w:val="x-none"/>
              </w:rPr>
              <w:t>0</w:t>
            </w:r>
          </w:p>
        </w:tc>
        <w:tc>
          <w:tcPr>
            <w:tcW w:w="390" w:type="dxa"/>
            <w:tcBorders>
              <w:top w:val="nil"/>
              <w:left w:val="single" w:sz="6" w:space="0" w:color="000000"/>
              <w:bottom w:val="nil"/>
              <w:right w:val="single" w:sz="6" w:space="0" w:color="000000"/>
            </w:tcBorders>
            <w:vAlign w:val="center"/>
          </w:tcPr>
          <w:p w14:paraId="18F8E8EB" w14:textId="77777777" w:rsidR="000A3B2B" w:rsidRDefault="000A3B2B" w:rsidP="00443121">
            <w:pPr>
              <w:tabs>
                <w:tab w:val="right" w:pos="7035"/>
              </w:tabs>
              <w:autoSpaceDE w:val="0"/>
              <w:autoSpaceDN w:val="0"/>
              <w:adjustRightInd w:val="0"/>
              <w:spacing w:after="0" w:line="288" w:lineRule="auto"/>
              <w:jc w:val="center"/>
              <w:rPr>
                <w:rFonts w:ascii="Times New Roman" w:hAnsi="Times New Roman" w:cs="Times New Roman"/>
                <w:color w:val="000000"/>
                <w:sz w:val="24"/>
                <w:szCs w:val="24"/>
                <w:lang w:val="x-none"/>
              </w:rPr>
            </w:pPr>
            <w:r>
              <w:rPr>
                <w:rFonts w:ascii="Times New Roman" w:hAnsi="Times New Roman" w:cs="Times New Roman"/>
                <w:color w:val="000000"/>
                <w:sz w:val="24"/>
                <w:szCs w:val="24"/>
                <w:lang w:val="x-none"/>
              </w:rPr>
              <w:t>–</w:t>
            </w:r>
          </w:p>
        </w:tc>
        <w:tc>
          <w:tcPr>
            <w:tcW w:w="314" w:type="dxa"/>
            <w:tcBorders>
              <w:top w:val="single" w:sz="6" w:space="0" w:color="000000"/>
              <w:left w:val="single" w:sz="6" w:space="0" w:color="000000"/>
              <w:bottom w:val="single" w:sz="6" w:space="0" w:color="000000"/>
              <w:right w:val="single" w:sz="6" w:space="0" w:color="000000"/>
            </w:tcBorders>
          </w:tcPr>
          <w:p w14:paraId="200C4CED" w14:textId="77777777" w:rsidR="000A3B2B" w:rsidRDefault="000A3B2B" w:rsidP="00443121">
            <w:pPr>
              <w:autoSpaceDE w:val="0"/>
              <w:autoSpaceDN w:val="0"/>
              <w:adjustRightInd w:val="0"/>
              <w:spacing w:after="0" w:line="240" w:lineRule="auto"/>
              <w:rPr>
                <w:rFonts w:ascii="Arial" w:hAnsi="Arial" w:cs="Arial"/>
                <w:sz w:val="24"/>
                <w:szCs w:val="24"/>
                <w:lang w:val="x-none"/>
              </w:rPr>
            </w:pPr>
            <w:r>
              <w:rPr>
                <w:rFonts w:ascii="Arial" w:hAnsi="Arial" w:cs="Arial"/>
                <w:sz w:val="24"/>
                <w:szCs w:val="24"/>
                <w:lang w:val="x-none"/>
              </w:rPr>
              <w:t>9</w:t>
            </w:r>
          </w:p>
        </w:tc>
        <w:tc>
          <w:tcPr>
            <w:tcW w:w="180" w:type="dxa"/>
            <w:tcBorders>
              <w:top w:val="nil"/>
              <w:left w:val="single" w:sz="6" w:space="0" w:color="000000"/>
              <w:bottom w:val="nil"/>
              <w:right w:val="nil"/>
            </w:tcBorders>
          </w:tcPr>
          <w:p w14:paraId="12EFD380" w14:textId="77777777" w:rsidR="000A3B2B" w:rsidRDefault="000A3B2B" w:rsidP="00443121">
            <w:pPr>
              <w:autoSpaceDE w:val="0"/>
              <w:autoSpaceDN w:val="0"/>
              <w:adjustRightInd w:val="0"/>
              <w:spacing w:after="0" w:line="240" w:lineRule="auto"/>
              <w:rPr>
                <w:rFonts w:ascii="Arial" w:hAnsi="Arial" w:cs="Arial"/>
                <w:sz w:val="24"/>
                <w:szCs w:val="24"/>
                <w:lang w:val="x-none"/>
              </w:rPr>
            </w:pPr>
          </w:p>
        </w:tc>
        <w:tc>
          <w:tcPr>
            <w:tcW w:w="5400" w:type="dxa"/>
            <w:tcBorders>
              <w:top w:val="nil"/>
              <w:left w:val="nil"/>
              <w:bottom w:val="single" w:sz="6" w:space="0" w:color="auto"/>
              <w:right w:val="nil"/>
            </w:tcBorders>
            <w:vAlign w:val="bottom"/>
          </w:tcPr>
          <w:p w14:paraId="1591A035" w14:textId="77777777" w:rsidR="000A3B2B" w:rsidRDefault="000A3B2B" w:rsidP="00443121">
            <w:pPr>
              <w:autoSpaceDE w:val="0"/>
              <w:autoSpaceDN w:val="0"/>
              <w:adjustRightInd w:val="0"/>
              <w:spacing w:after="0" w:line="240" w:lineRule="auto"/>
              <w:rPr>
                <w:rFonts w:ascii="Arial" w:hAnsi="Arial" w:cs="Arial"/>
                <w:sz w:val="24"/>
                <w:szCs w:val="24"/>
                <w:lang w:val="x-none"/>
              </w:rPr>
            </w:pPr>
            <w:r>
              <w:rPr>
                <w:rFonts w:ascii="Arial" w:hAnsi="Arial" w:cs="Arial"/>
                <w:sz w:val="24"/>
                <w:szCs w:val="24"/>
                <w:lang w:val="x-none"/>
              </w:rPr>
              <w:t>Roboty budowlane w zakresie kładzenia rurociągów</w:t>
            </w:r>
          </w:p>
        </w:tc>
      </w:tr>
    </w:tbl>
    <w:p w14:paraId="5503E544" w14:textId="77777777" w:rsidR="000A3B2B" w:rsidRDefault="000A3B2B" w:rsidP="003C16E8">
      <w:pPr>
        <w:autoSpaceDE w:val="0"/>
        <w:autoSpaceDN w:val="0"/>
        <w:adjustRightInd w:val="0"/>
        <w:spacing w:after="30" w:line="240" w:lineRule="auto"/>
        <w:jc w:val="both"/>
        <w:rPr>
          <w:rFonts w:ascii="Arial" w:hAnsi="Arial" w:cs="Arial"/>
          <w:color w:val="000000"/>
          <w:sz w:val="18"/>
          <w:szCs w:val="18"/>
          <w:lang w:val="x-none"/>
        </w:rPr>
      </w:pPr>
    </w:p>
    <w:p w14:paraId="117F5758" w14:textId="77777777" w:rsidR="000A3B2B" w:rsidRDefault="000A3B2B" w:rsidP="003C16E8">
      <w:pPr>
        <w:autoSpaceDE w:val="0"/>
        <w:autoSpaceDN w:val="0"/>
        <w:adjustRightInd w:val="0"/>
        <w:spacing w:after="30" w:line="240" w:lineRule="auto"/>
        <w:jc w:val="both"/>
        <w:rPr>
          <w:rFonts w:ascii="Arial" w:hAnsi="Arial" w:cs="Arial"/>
          <w:color w:val="000000"/>
          <w:sz w:val="18"/>
          <w:szCs w:val="18"/>
          <w:lang w:val="x-none"/>
        </w:rPr>
      </w:pPr>
    </w:p>
    <w:p w14:paraId="5D468530" w14:textId="77777777" w:rsidR="000A3B2B" w:rsidRDefault="000A3B2B" w:rsidP="003C16E8">
      <w:pPr>
        <w:autoSpaceDE w:val="0"/>
        <w:autoSpaceDN w:val="0"/>
        <w:adjustRightInd w:val="0"/>
        <w:spacing w:before="285" w:after="12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2.</w:t>
      </w:r>
      <w:r>
        <w:rPr>
          <w:rFonts w:ascii="Arial" w:hAnsi="Arial" w:cs="Arial"/>
          <w:b/>
          <w:bCs/>
          <w:color w:val="000000"/>
          <w:sz w:val="18"/>
          <w:szCs w:val="18"/>
          <w:lang w:val="x-none"/>
        </w:rPr>
        <w:tab/>
        <w:t>WYMAGANIA DOTYCZĄCE MATERIAŁÓW</w:t>
      </w:r>
    </w:p>
    <w:p w14:paraId="75706172" w14:textId="77777777" w:rsidR="000A3B2B" w:rsidRDefault="000A3B2B" w:rsidP="003C16E8">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2.1.</w:t>
      </w:r>
      <w:r>
        <w:rPr>
          <w:rFonts w:ascii="Arial" w:hAnsi="Arial" w:cs="Arial"/>
          <w:b/>
          <w:bCs/>
          <w:color w:val="000000"/>
          <w:sz w:val="18"/>
          <w:szCs w:val="18"/>
          <w:lang w:val="x-none"/>
        </w:rPr>
        <w:tab/>
        <w:t>Ogólne wymagania dotyczące materiałów, ich pozyskiwania i składowania podano w ST „Wymagania ogólne” Kod CPV 45000000-7, pkt 2</w:t>
      </w:r>
    </w:p>
    <w:p w14:paraId="7357388A" w14:textId="77777777" w:rsidR="000A3B2B" w:rsidRDefault="000A3B2B" w:rsidP="003C16E8">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Materiały stosowane do budowy sieci kanalizacyjnych powinny mieć:</w:t>
      </w:r>
    </w:p>
    <w:p w14:paraId="7420F626" w14:textId="77777777" w:rsidR="000A3B2B" w:rsidRDefault="000A3B2B" w:rsidP="003C16E8">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 xml:space="preserve">– </w:t>
      </w:r>
      <w:r>
        <w:rPr>
          <w:rFonts w:ascii="Arial" w:hAnsi="Arial" w:cs="Arial"/>
          <w:color w:val="000000"/>
          <w:sz w:val="18"/>
          <w:szCs w:val="18"/>
          <w:lang w:val="x-none"/>
        </w:rPr>
        <w:tab/>
        <w:t>oznakowanie znakiem CE co oznacza, że dokonano oceny ich zgodności ze zharmonizowaną normą europejską wprowadzoną do zbioru Polskich Norm lub z europejską oceną techniczną, albo</w:t>
      </w:r>
    </w:p>
    <w:p w14:paraId="2F8FFEED" w14:textId="77777777" w:rsidR="000A3B2B" w:rsidRDefault="000A3B2B" w:rsidP="003C16E8">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 xml:space="preserve">– </w:t>
      </w:r>
      <w:r>
        <w:rPr>
          <w:rFonts w:ascii="Arial" w:hAnsi="Arial" w:cs="Arial"/>
          <w:color w:val="000000"/>
          <w:sz w:val="18"/>
          <w:szCs w:val="18"/>
          <w:lang w:val="x-none"/>
        </w:rPr>
        <w:tab/>
        <w:t>oznakowanie znakiem budowlanym, co oznacza że są to wyroby nieobjęte normą zharmonizowaną – dla której zakończył się okres koegzystencji – i dla których nie została wydana europejska ocena techniczna, a dokonano oceny zgodności z Polską Normą lub aprobatą techniczną (do końca okresu ważności tej aprobaty wydanej do 31 grudnia 2016 r., a później krajową oceną techniczną), bądź uznano za „regionalny wyrób budowlany”, albo</w:t>
      </w:r>
    </w:p>
    <w:p w14:paraId="42338BF6" w14:textId="77777777" w:rsidR="000A3B2B" w:rsidRDefault="000A3B2B" w:rsidP="003C16E8">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 xml:space="preserve">– </w:t>
      </w:r>
      <w:r>
        <w:rPr>
          <w:rFonts w:ascii="Arial" w:hAnsi="Arial" w:cs="Arial"/>
          <w:color w:val="000000"/>
          <w:sz w:val="18"/>
          <w:szCs w:val="18"/>
          <w:lang w:val="x-none"/>
        </w:rPr>
        <w:tab/>
        <w:t>legalne wprowadzenie do obrotu w innym państwie członkowskim Unii Europejskiej lub w państwie członkowskim Europejskiego Porozumienia o Wolnym Handlu (EFTA) – stronie umowy o Europejskim Obszarze Gospodarczym oraz w Turcji, o ile wyroby budowlane udostępniane na rynku krajowym są nieobjęte zakresem przedmiotowym zharmonizowanych specyfikacji technicznych, o których mowa w art. 2 pkt 10 rozporządzenia Nr 305/2011, a ich właściwości użytkowe umożliwiają spełnienie podstawowych wymagań przez obiekty budowlane zaprojektowane i budowane w sposób określony w przepisach techniczno-budowlanych, oraz zgodnie z zasadami wiedzy technicznej (wraz z wyrobem budowlanym udostępnianym na rynku krajowym dostarcza się informacje o jego właściwościach użytkowych oznaczonych zgodnie z przepisami państwa, w którym wyrób budowlany został wprowadzony do obrotu, instrukcje stosowania, instrukcje obsługi oraz informacje dotyczące zagrożenia dla zdrowia i bezpieczeństwa, jakie ten wyrób stwarza podczas stosowania i użytkowania), albo</w:t>
      </w:r>
    </w:p>
    <w:p w14:paraId="4E8D293E" w14:textId="77777777" w:rsidR="000A3B2B" w:rsidRDefault="000A3B2B" w:rsidP="003C16E8">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 xml:space="preserve">– </w:t>
      </w:r>
      <w:r>
        <w:rPr>
          <w:rFonts w:ascii="Arial" w:hAnsi="Arial" w:cs="Arial"/>
          <w:color w:val="000000"/>
          <w:sz w:val="18"/>
          <w:szCs w:val="18"/>
          <w:lang w:val="x-none"/>
        </w:rPr>
        <w:tab/>
        <w:t>dopuszczenie do jednostkowego zastosowania w obiekcie budowlanym.</w:t>
      </w:r>
    </w:p>
    <w:p w14:paraId="1874174D" w14:textId="77777777" w:rsidR="000A3B2B" w:rsidRDefault="000A3B2B" w:rsidP="003C16E8">
      <w:pPr>
        <w:autoSpaceDE w:val="0"/>
        <w:autoSpaceDN w:val="0"/>
        <w:adjustRightInd w:val="0"/>
        <w:spacing w:after="30" w:line="240" w:lineRule="auto"/>
        <w:ind w:left="285" w:hanging="285"/>
        <w:jc w:val="both"/>
        <w:rPr>
          <w:rFonts w:ascii="Arial" w:hAnsi="Arial" w:cs="Arial"/>
          <w:color w:val="000000"/>
          <w:sz w:val="18"/>
          <w:szCs w:val="18"/>
          <w:lang w:val="x-none"/>
        </w:rPr>
      </w:pPr>
    </w:p>
    <w:p w14:paraId="38AEAE67" w14:textId="77777777" w:rsidR="000A3B2B" w:rsidRDefault="000A3B2B" w:rsidP="003C16E8">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2.2.</w:t>
      </w:r>
      <w:r>
        <w:rPr>
          <w:rFonts w:ascii="Arial" w:hAnsi="Arial" w:cs="Arial"/>
          <w:b/>
          <w:bCs/>
          <w:color w:val="000000"/>
          <w:sz w:val="18"/>
          <w:szCs w:val="18"/>
          <w:lang w:val="x-none"/>
        </w:rPr>
        <w:tab/>
        <w:t>Rodzaje materiałów</w:t>
      </w:r>
    </w:p>
    <w:p w14:paraId="20657F8F" w14:textId="77777777" w:rsidR="000A3B2B" w:rsidRDefault="000A3B2B" w:rsidP="003C16E8">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2.2.1.</w:t>
      </w:r>
      <w:r>
        <w:rPr>
          <w:rFonts w:ascii="Arial" w:hAnsi="Arial" w:cs="Arial"/>
          <w:b/>
          <w:bCs/>
          <w:color w:val="000000"/>
          <w:sz w:val="18"/>
          <w:szCs w:val="18"/>
          <w:lang w:val="x-none"/>
        </w:rPr>
        <w:tab/>
        <w:t>Rury i kształtki z niezmiękczonego polichlorku winylu (PVC-U)</w:t>
      </w:r>
    </w:p>
    <w:p w14:paraId="70DB5821" w14:textId="77777777" w:rsidR="000A3B2B" w:rsidRDefault="000A3B2B" w:rsidP="003C16E8">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Rury i kształtki z niezmiękczonego polichlorku winylu (PVC-U) do odwadniania i kanalizacji muszą spełniać warunki określone w PN-EN 1401-1:2009. </w:t>
      </w:r>
    </w:p>
    <w:p w14:paraId="29D0D942" w14:textId="77777777" w:rsidR="000A3B2B" w:rsidRDefault="000A3B2B" w:rsidP="003C16E8">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Wymiary DN/OD rur i kształtek są następujące: 110, 125, 160, 200, 250, 315, 355, 400, 450, 500, 560, 630, 710, 800, 900, 1000 mm.</w:t>
      </w:r>
    </w:p>
    <w:p w14:paraId="4C2B88C6" w14:textId="77777777" w:rsidR="000A3B2B" w:rsidRDefault="000A3B2B" w:rsidP="003C16E8">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2.2.2.</w:t>
      </w:r>
      <w:r>
        <w:rPr>
          <w:rFonts w:ascii="Arial" w:hAnsi="Arial" w:cs="Arial"/>
          <w:b/>
          <w:bCs/>
          <w:color w:val="000000"/>
          <w:sz w:val="18"/>
          <w:szCs w:val="18"/>
          <w:lang w:val="x-none"/>
        </w:rPr>
        <w:tab/>
        <w:t>Rury i kształtki z polipropylenu (PP)</w:t>
      </w:r>
    </w:p>
    <w:p w14:paraId="3D2AFEEE" w14:textId="77777777" w:rsidR="000A3B2B" w:rsidRDefault="000A3B2B" w:rsidP="003C16E8">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Rury i kształtki z polipropylenu (PP) do odwadniania i kanalizacji muszą spełniać warunki określone w PN-EN 1852-1:2010. </w:t>
      </w:r>
    </w:p>
    <w:p w14:paraId="3582B2A0" w14:textId="77777777" w:rsidR="000A3B2B" w:rsidRDefault="000A3B2B" w:rsidP="003C16E8">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Wymiary DN/OD rur i kształtek są następujące: 110, 125, 160, 200, 250, 315, 355, 400, 450, 500, 560, 630, 800, 1000, 1200, 1400, 1600 mm.</w:t>
      </w:r>
    </w:p>
    <w:p w14:paraId="720B6682" w14:textId="77777777" w:rsidR="000A3B2B" w:rsidRDefault="000A3B2B" w:rsidP="003C16E8">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2.2.3.</w:t>
      </w:r>
      <w:r>
        <w:rPr>
          <w:rFonts w:ascii="Arial" w:hAnsi="Arial" w:cs="Arial"/>
          <w:b/>
          <w:bCs/>
          <w:color w:val="000000"/>
          <w:sz w:val="18"/>
          <w:szCs w:val="18"/>
          <w:lang w:val="x-none"/>
        </w:rPr>
        <w:tab/>
        <w:t>Studzienki kanalizacyjne</w:t>
      </w:r>
    </w:p>
    <w:p w14:paraId="3A6886E2" w14:textId="77777777" w:rsidR="000A3B2B" w:rsidRDefault="000A3B2B" w:rsidP="003C16E8">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Studzienki kanalizacyjne powinny spełniać wymagania zawarte w dokumentach odniesienia (normach, europejskich ocenach technicznych, aprobatach technicznych – wydanych do 31 grudnia 2016 r., a po zakończeniu okresu ich ważności w krajowych ocenach technicznych – kartach technicznych itd.).  Studzienki kanalizacyjne powinny być wykonane z materiałów trwałych. Zaleca się:</w:t>
      </w:r>
    </w:p>
    <w:p w14:paraId="570B571B" w14:textId="77777777" w:rsidR="000A3B2B" w:rsidRDefault="000A3B2B" w:rsidP="003C16E8">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beton hydrotechniczny z domieszkami uszczelniającymi,</w:t>
      </w:r>
    </w:p>
    <w:p w14:paraId="691979D4" w14:textId="77777777" w:rsidR="000A3B2B" w:rsidRDefault="000A3B2B" w:rsidP="003C16E8">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kręgi betonowe i żelbetowe łączone na zaprawę cementową lub na uszczelki,</w:t>
      </w:r>
    </w:p>
    <w:p w14:paraId="11639DC0" w14:textId="77777777" w:rsidR="000A3B2B" w:rsidRDefault="000A3B2B" w:rsidP="003C16E8">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cegłę kanalizacyjną,</w:t>
      </w:r>
    </w:p>
    <w:p w14:paraId="35A77929" w14:textId="77777777" w:rsidR="000A3B2B" w:rsidRDefault="000A3B2B" w:rsidP="003C16E8">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tworzywa sztuczne, takie jak PVC-U, PP, PE i inne.</w:t>
      </w:r>
    </w:p>
    <w:p w14:paraId="74DFEC63" w14:textId="77777777" w:rsidR="000A3B2B" w:rsidRDefault="000A3B2B" w:rsidP="003C16E8">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 przypadku ścieków agresywnych należy zastosować odpowiednie materiały chemoodporne lub izolacje.</w:t>
      </w:r>
    </w:p>
    <w:tbl>
      <w:tblPr>
        <w:tblW w:w="0" w:type="auto"/>
        <w:tblCellSpacing w:w="0" w:type="dxa"/>
        <w:tblInd w:w="-8" w:type="dxa"/>
        <w:tblLayout w:type="fixed"/>
        <w:tblCellMar>
          <w:left w:w="0" w:type="dxa"/>
          <w:right w:w="0" w:type="dxa"/>
        </w:tblCellMar>
        <w:tblLook w:val="0000" w:firstRow="0" w:lastRow="0" w:firstColumn="0" w:lastColumn="0" w:noHBand="0" w:noVBand="0"/>
      </w:tblPr>
      <w:tblGrid>
        <w:gridCol w:w="9532"/>
      </w:tblGrid>
      <w:tr w:rsidR="000A3B2B" w14:paraId="3EEC2E33" w14:textId="77777777" w:rsidTr="00443121">
        <w:trPr>
          <w:trHeight w:val="60"/>
          <w:tblCellSpacing w:w="0" w:type="dxa"/>
        </w:trPr>
        <w:tc>
          <w:tcPr>
            <w:tcW w:w="9532" w:type="dxa"/>
            <w:tcBorders>
              <w:top w:val="single" w:sz="6" w:space="0" w:color="000000"/>
              <w:left w:val="single" w:sz="6" w:space="0" w:color="000000"/>
              <w:bottom w:val="single" w:sz="6" w:space="0" w:color="000000"/>
              <w:right w:val="single" w:sz="6" w:space="0" w:color="000000"/>
            </w:tcBorders>
          </w:tcPr>
          <w:p w14:paraId="4D7C91A4" w14:textId="77777777" w:rsidR="000A3B2B" w:rsidRDefault="000A3B2B" w:rsidP="00443121">
            <w:pPr>
              <w:autoSpaceDE w:val="0"/>
              <w:autoSpaceDN w:val="0"/>
              <w:adjustRightInd w:val="0"/>
              <w:spacing w:after="30" w:line="240" w:lineRule="auto"/>
              <w:jc w:val="both"/>
              <w:rPr>
                <w:rFonts w:ascii="Arial" w:hAnsi="Arial" w:cs="Arial"/>
                <w:i/>
                <w:iCs/>
                <w:color w:val="000000"/>
                <w:sz w:val="18"/>
                <w:szCs w:val="18"/>
                <w:lang w:val="x-none"/>
              </w:rPr>
            </w:pPr>
            <w:r>
              <w:rPr>
                <w:rFonts w:ascii="Arial" w:hAnsi="Arial" w:cs="Arial"/>
                <w:i/>
                <w:iCs/>
                <w:color w:val="000000"/>
                <w:sz w:val="18"/>
                <w:szCs w:val="18"/>
                <w:lang w:val="x-none"/>
              </w:rPr>
              <w:t>Uwaga. W specyfikacji szczegółowej należy wówczas podać parametry techniczne takich materiałów.</w:t>
            </w:r>
          </w:p>
        </w:tc>
      </w:tr>
    </w:tbl>
    <w:p w14:paraId="05B52A68" w14:textId="77777777" w:rsidR="000A3B2B" w:rsidRDefault="000A3B2B" w:rsidP="003C16E8">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Minimalna średnica wewnętrzna studzienki włazowej powinna wynosić 1,20 m wyjątkowo dopuszcza się 1,0 m, a wysokość komory roboczej 2,0 m.</w:t>
      </w:r>
    </w:p>
    <w:p w14:paraId="12287D06" w14:textId="77777777" w:rsidR="000A3B2B" w:rsidRDefault="000A3B2B" w:rsidP="003C16E8">
      <w:pPr>
        <w:autoSpaceDE w:val="0"/>
        <w:autoSpaceDN w:val="0"/>
        <w:adjustRightInd w:val="0"/>
        <w:spacing w:after="30" w:line="240" w:lineRule="auto"/>
        <w:ind w:firstLine="285"/>
        <w:jc w:val="both"/>
        <w:rPr>
          <w:rFonts w:ascii="Arial" w:hAnsi="Arial" w:cs="Arial"/>
          <w:color w:val="000000"/>
          <w:sz w:val="18"/>
          <w:szCs w:val="18"/>
          <w:lang w:val="x-none"/>
        </w:rPr>
      </w:pPr>
    </w:p>
    <w:p w14:paraId="36510D39" w14:textId="77777777" w:rsidR="000A3B2B" w:rsidRDefault="000A3B2B" w:rsidP="003C16E8">
      <w:pPr>
        <w:autoSpaceDE w:val="0"/>
        <w:autoSpaceDN w:val="0"/>
        <w:adjustRightInd w:val="0"/>
        <w:spacing w:before="225" w:after="12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3.</w:t>
      </w:r>
      <w:r>
        <w:rPr>
          <w:rFonts w:ascii="Arial" w:hAnsi="Arial" w:cs="Arial"/>
          <w:b/>
          <w:bCs/>
          <w:color w:val="000000"/>
          <w:sz w:val="18"/>
          <w:szCs w:val="18"/>
          <w:lang w:val="x-none"/>
        </w:rPr>
        <w:tab/>
        <w:t>WYMAGANIA DOTYCZĄCE SPRZĘTU I MASZYN</w:t>
      </w:r>
    </w:p>
    <w:p w14:paraId="5E750677" w14:textId="77777777" w:rsidR="000A3B2B" w:rsidRDefault="000A3B2B" w:rsidP="003C16E8">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3.1.</w:t>
      </w:r>
      <w:r>
        <w:rPr>
          <w:rFonts w:ascii="Arial" w:hAnsi="Arial" w:cs="Arial"/>
          <w:b/>
          <w:bCs/>
          <w:color w:val="000000"/>
          <w:sz w:val="18"/>
          <w:szCs w:val="18"/>
          <w:lang w:val="x-none"/>
        </w:rPr>
        <w:tab/>
        <w:t>Ogólne wymagania dotyczące sprzętu podane zostały w ST „Wymagania ogólne” Kod CPV 45000000-7, pkt 3</w:t>
      </w:r>
    </w:p>
    <w:p w14:paraId="4A85FD5D" w14:textId="77777777" w:rsidR="000A3B2B" w:rsidRDefault="000A3B2B" w:rsidP="003C16E8">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Sprzęt używany do robót powinien być zgodny z ofertą Wykonawcy i powinien odpowiadać pod względem typów i ilości wskazaniom zawartym w SST, PZJ lub projekcie organizacji robót, zaakceptowanym przez inwestora. W przypadku braku ustaleń w takich dokumentach sprzęt powinien być uzgodniony i zaakceptowany przez inwestora.</w:t>
      </w:r>
    </w:p>
    <w:p w14:paraId="1155B57A" w14:textId="77777777" w:rsidR="000A3B2B" w:rsidRDefault="000A3B2B" w:rsidP="003C16E8">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Sprzęt stosowany do wykonania robót musi być utrzymywany w dobrym stanie i gotowości do pracy, oraz spełniać normy ochrony środowiska i przepisy dotyczące jego użytkowania.</w:t>
      </w:r>
    </w:p>
    <w:p w14:paraId="201FB0E2" w14:textId="77777777" w:rsidR="000A3B2B" w:rsidRDefault="000A3B2B" w:rsidP="003C16E8">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Wykonawca powinien dostarczyć kopie dokumentów potwierdzających dopuszczenie sprzętu do użytkowania, tam gdzie jest to wymagane przepisami.</w:t>
      </w:r>
    </w:p>
    <w:p w14:paraId="7AD1A457" w14:textId="77777777" w:rsidR="000A3B2B" w:rsidRDefault="000A3B2B" w:rsidP="003C16E8">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Jeżeli dokumentacja projektowa lub SST przewidują możliwość wariantowego użycia sprzętu przy wykonywanych robotach, wykonawca powiadomi inwestora o swoim zamiarze wyboru i uzyska jego akceptację przed użyciem sprzętu. Wybrany sprzęt, po akceptacji nie może być później zmieniany bez jego zgody.</w:t>
      </w:r>
    </w:p>
    <w:p w14:paraId="579AA06E" w14:textId="77777777" w:rsidR="000A3B2B" w:rsidRDefault="000A3B2B" w:rsidP="003C16E8">
      <w:pPr>
        <w:autoSpaceDE w:val="0"/>
        <w:autoSpaceDN w:val="0"/>
        <w:adjustRightInd w:val="0"/>
        <w:spacing w:after="30" w:line="240" w:lineRule="auto"/>
        <w:jc w:val="both"/>
        <w:rPr>
          <w:rFonts w:ascii="Arial" w:hAnsi="Arial" w:cs="Arial"/>
          <w:color w:val="000000"/>
          <w:sz w:val="18"/>
          <w:szCs w:val="18"/>
          <w:lang w:val="x-none"/>
        </w:rPr>
      </w:pPr>
    </w:p>
    <w:p w14:paraId="62097B7E" w14:textId="77777777" w:rsidR="000A3B2B" w:rsidRDefault="000A3B2B" w:rsidP="003C16E8">
      <w:pPr>
        <w:autoSpaceDE w:val="0"/>
        <w:autoSpaceDN w:val="0"/>
        <w:adjustRightInd w:val="0"/>
        <w:spacing w:before="225" w:after="12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4.</w:t>
      </w:r>
      <w:r>
        <w:rPr>
          <w:rFonts w:ascii="Arial" w:hAnsi="Arial" w:cs="Arial"/>
          <w:b/>
          <w:bCs/>
          <w:color w:val="000000"/>
          <w:sz w:val="18"/>
          <w:szCs w:val="18"/>
          <w:lang w:val="x-none"/>
        </w:rPr>
        <w:tab/>
        <w:t>WYMAGANIA DOTYCZĄCE TRANSPORTU</w:t>
      </w:r>
    </w:p>
    <w:p w14:paraId="20D38151" w14:textId="77777777" w:rsidR="000A3B2B" w:rsidRDefault="000A3B2B" w:rsidP="003C16E8">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4.1.</w:t>
      </w:r>
      <w:r>
        <w:rPr>
          <w:rFonts w:ascii="Arial" w:hAnsi="Arial" w:cs="Arial"/>
          <w:b/>
          <w:bCs/>
          <w:color w:val="000000"/>
          <w:sz w:val="18"/>
          <w:szCs w:val="18"/>
          <w:lang w:val="x-none"/>
        </w:rPr>
        <w:tab/>
        <w:t>Ogólne wymagania dotyczące transportu podane zostały w ST „Wymagania ogólne” Kod CPV 45000000-7, pkt 4</w:t>
      </w:r>
    </w:p>
    <w:p w14:paraId="6D14D385" w14:textId="77777777" w:rsidR="000A3B2B" w:rsidRDefault="000A3B2B" w:rsidP="003C16E8">
      <w:pPr>
        <w:autoSpaceDE w:val="0"/>
        <w:autoSpaceDN w:val="0"/>
        <w:adjustRightInd w:val="0"/>
        <w:spacing w:after="60" w:line="240" w:lineRule="auto"/>
        <w:ind w:left="390" w:hanging="390"/>
        <w:jc w:val="both"/>
        <w:rPr>
          <w:rFonts w:ascii="Arial" w:hAnsi="Arial" w:cs="Arial"/>
          <w:b/>
          <w:bCs/>
          <w:color w:val="000000"/>
          <w:sz w:val="18"/>
          <w:szCs w:val="18"/>
          <w:lang w:val="x-none"/>
        </w:rPr>
      </w:pPr>
    </w:p>
    <w:p w14:paraId="53038003" w14:textId="77777777" w:rsidR="000A3B2B" w:rsidRDefault="000A3B2B" w:rsidP="003C16E8">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4.2.</w:t>
      </w:r>
      <w:r>
        <w:rPr>
          <w:rFonts w:ascii="Arial" w:hAnsi="Arial" w:cs="Arial"/>
          <w:b/>
          <w:bCs/>
          <w:color w:val="000000"/>
          <w:sz w:val="18"/>
          <w:szCs w:val="18"/>
          <w:lang w:val="x-none"/>
        </w:rPr>
        <w:tab/>
        <w:t>Wymagania dotyczące przewozu rur z tworzyw sztucznych</w:t>
      </w:r>
    </w:p>
    <w:p w14:paraId="4852E61B" w14:textId="77777777" w:rsidR="000A3B2B" w:rsidRDefault="000A3B2B" w:rsidP="003C16E8">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Ze względu na specyficzne cechy rur z tworzyw sztucznych należy spełnić następujące dodatkowe wymagania:</w:t>
      </w:r>
    </w:p>
    <w:p w14:paraId="2F526CAE" w14:textId="77777777" w:rsidR="000A3B2B" w:rsidRDefault="000A3B2B" w:rsidP="003C16E8">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rury należy przewozić wyłącznie samochodami skrzyniowymi lub pojazdami posiadającymi boczne wsporniki o maksymalnym rozstawie 2 m; a wystające poza pojazd końce rur nie mogą być dłuższe niż 1 m,</w:t>
      </w:r>
    </w:p>
    <w:p w14:paraId="08202502" w14:textId="77777777" w:rsidR="000A3B2B" w:rsidRDefault="000A3B2B" w:rsidP="003C16E8">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jeżeli przewożone są luźne rury, to przy ich układaniu w stosy na samochodzie wysokość ładunku nie powinna przekraczać 1 m,</w:t>
      </w:r>
    </w:p>
    <w:p w14:paraId="54387061" w14:textId="77777777" w:rsidR="000A3B2B" w:rsidRDefault="000A3B2B" w:rsidP="003C16E8">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podczas transportu rury powinny być zabezpieczone przed uszkodzeniem przez metalowe części środków transportu jak śruby, łańcuchy, itp. Luźno układane rury powinny być zabezpieczone przed zarysowaniem przez podłożenie tektury falistej i desek pod łańcuch spinający boczne ściany skrzyni samochodu,</w:t>
      </w:r>
    </w:p>
    <w:p w14:paraId="143C0AFD" w14:textId="77777777" w:rsidR="000A3B2B" w:rsidRDefault="000A3B2B" w:rsidP="003C16E8">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podczas transportu rury powinny być zabezpieczone przed zmianą położenia. Platforma samochodu powinna być ustawiona w poziomie.</w:t>
      </w:r>
    </w:p>
    <w:p w14:paraId="5E7E45E7" w14:textId="77777777" w:rsidR="000A3B2B" w:rsidRDefault="000A3B2B" w:rsidP="003C16E8">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Według istniejących zaleceń przewóz powinien odbywać się przy temperaturze otoczenia –5°C do +30°C.</w:t>
      </w:r>
    </w:p>
    <w:p w14:paraId="2D4C9F63" w14:textId="77777777" w:rsidR="000A3B2B" w:rsidRDefault="000A3B2B" w:rsidP="003C16E8">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 </w:t>
      </w:r>
    </w:p>
    <w:p w14:paraId="6F8B6517" w14:textId="77777777" w:rsidR="000A3B2B" w:rsidRDefault="000A3B2B" w:rsidP="003C16E8">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4.3.</w:t>
      </w:r>
      <w:r>
        <w:rPr>
          <w:rFonts w:ascii="Arial" w:hAnsi="Arial" w:cs="Arial"/>
          <w:b/>
          <w:bCs/>
          <w:color w:val="000000"/>
          <w:sz w:val="18"/>
          <w:szCs w:val="18"/>
          <w:lang w:val="x-none"/>
        </w:rPr>
        <w:tab/>
        <w:t>Wymagania dotyczące przewozu studzienek kanalizacyjnych</w:t>
      </w:r>
    </w:p>
    <w:p w14:paraId="51B2122C" w14:textId="77777777" w:rsidR="000A3B2B" w:rsidRDefault="000A3B2B" w:rsidP="003C16E8">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4.3.1.</w:t>
      </w:r>
      <w:r>
        <w:rPr>
          <w:rFonts w:ascii="Arial" w:hAnsi="Arial" w:cs="Arial"/>
          <w:b/>
          <w:bCs/>
          <w:color w:val="000000"/>
          <w:sz w:val="18"/>
          <w:szCs w:val="18"/>
          <w:lang w:val="x-none"/>
        </w:rPr>
        <w:tab/>
        <w:t>Wymagania dotyczące przewozu studzienek kanalizacyjnych z tworzyw sztucznych</w:t>
      </w:r>
    </w:p>
    <w:p w14:paraId="377014B3" w14:textId="77777777" w:rsidR="000A3B2B" w:rsidRDefault="000A3B2B" w:rsidP="003C16E8">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Studzienki podczas transportu muszą być zabezpieczone przed uszkodzeniem. Powinny być ułożone ściśle obok siebie i zabezpieczone przed przesuwaniem się (wyłącznie materiałami niemetalowymi – najlepiej taśmami parcianymi).</w:t>
      </w:r>
    </w:p>
    <w:p w14:paraId="61D6F463" w14:textId="77777777" w:rsidR="000A3B2B" w:rsidRDefault="000A3B2B" w:rsidP="003C16E8">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Powierzchnie pojazdów przewożących studzienki muszą być równe i pozbawione ostrych lub wystających krawędzi.</w:t>
      </w:r>
    </w:p>
    <w:p w14:paraId="0E6A603F" w14:textId="77777777" w:rsidR="000A3B2B" w:rsidRDefault="000A3B2B" w:rsidP="003C16E8">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4.3.2.</w:t>
      </w:r>
      <w:r>
        <w:rPr>
          <w:rFonts w:ascii="Arial" w:hAnsi="Arial" w:cs="Arial"/>
          <w:b/>
          <w:bCs/>
          <w:color w:val="000000"/>
          <w:sz w:val="18"/>
          <w:szCs w:val="18"/>
          <w:lang w:val="x-none"/>
        </w:rPr>
        <w:tab/>
        <w:t>Wymagania dotyczące przewozu studzienek kanalizacyjnych prefabrykowanych</w:t>
      </w:r>
    </w:p>
    <w:p w14:paraId="21FB020B" w14:textId="77777777" w:rsidR="000A3B2B" w:rsidRDefault="000A3B2B" w:rsidP="003C16E8">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Studzienki kanalizacyjne prefabrykowane należy przewozić w pozycji ich wbudowania. Podczas transportu muszą być zabezpieczone przed możliwością przesunięcia się. Przy transporcie prefabrykatów w pozycji pionowej na kołowych środkach transportu powinny być one układane na elastycznych podkładach.</w:t>
      </w:r>
    </w:p>
    <w:p w14:paraId="358A1978" w14:textId="77777777" w:rsidR="000A3B2B" w:rsidRDefault="000A3B2B" w:rsidP="003C16E8">
      <w:pPr>
        <w:autoSpaceDE w:val="0"/>
        <w:autoSpaceDN w:val="0"/>
        <w:adjustRightInd w:val="0"/>
        <w:spacing w:after="30" w:line="240" w:lineRule="auto"/>
        <w:jc w:val="both"/>
        <w:rPr>
          <w:rFonts w:ascii="Arial" w:hAnsi="Arial" w:cs="Arial"/>
          <w:color w:val="000000"/>
          <w:sz w:val="18"/>
          <w:szCs w:val="18"/>
          <w:lang w:val="x-none"/>
        </w:rPr>
      </w:pPr>
    </w:p>
    <w:p w14:paraId="0DFFD049" w14:textId="77777777" w:rsidR="000A3B2B" w:rsidRDefault="000A3B2B" w:rsidP="003C16E8">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4.4.</w:t>
      </w:r>
      <w:r>
        <w:rPr>
          <w:rFonts w:ascii="Arial" w:hAnsi="Arial" w:cs="Arial"/>
          <w:b/>
          <w:bCs/>
          <w:color w:val="000000"/>
          <w:sz w:val="18"/>
          <w:szCs w:val="18"/>
          <w:lang w:val="x-none"/>
        </w:rPr>
        <w:tab/>
        <w:t>Składowanie materiałów</w:t>
      </w:r>
    </w:p>
    <w:p w14:paraId="29E64322" w14:textId="77777777" w:rsidR="000A3B2B" w:rsidRDefault="000A3B2B" w:rsidP="003C16E8">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4.4.1.</w:t>
      </w:r>
      <w:r>
        <w:rPr>
          <w:rFonts w:ascii="Arial" w:hAnsi="Arial" w:cs="Arial"/>
          <w:b/>
          <w:bCs/>
          <w:color w:val="000000"/>
          <w:sz w:val="18"/>
          <w:szCs w:val="18"/>
          <w:lang w:val="x-none"/>
        </w:rPr>
        <w:tab/>
        <w:t>Składowanie rur i kształtek w wiązkach lub luzem</w:t>
      </w:r>
    </w:p>
    <w:p w14:paraId="01AA3530" w14:textId="77777777" w:rsidR="000A3B2B" w:rsidRDefault="000A3B2B" w:rsidP="003C16E8">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Rury i kształtki należy w okresie przechowywania chronić przed bezpośrednim działaniem promieniowania słonecznego i temperaturą przekraczającą +40°C.</w:t>
      </w:r>
    </w:p>
    <w:p w14:paraId="79C73100" w14:textId="77777777" w:rsidR="000A3B2B" w:rsidRDefault="000A3B2B" w:rsidP="003C16E8">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Przy długotrwałym składowaniu (kilka miesięcy lub dłużej) rury powinny być chronione przed działaniem światła słonecznego przez przykrycie składu plandekami brezentowymi lub innym materiałem (np. folią nieprzeźroczystą z PVC lub PE) lub wykonanie zadaszenia. Należy zapewnić cyrkulację powietrza pod powłoką ochronną aby rury nie nagrzewały się i nie ulegały deformacji.</w:t>
      </w:r>
    </w:p>
    <w:p w14:paraId="69AFC08A" w14:textId="77777777" w:rsidR="000A3B2B" w:rsidRDefault="000A3B2B" w:rsidP="003C16E8">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Oryginalnie zapakowane wiązki rur można składować po trzy, jedna na drugiej do wysokości maksymalnej 3 m, przy czym ramki wiązek winny spoczywać na sobie, luźne rury lub niepełne wiązki można składować w stosach na równym podłożu, na podkładkach drewnianych o szerokości min. 10 cm, grubości min. 2,5 cm i rozstawie co 1-2 m. Stosy powinny być z boku zabezpieczone przez drewniane wsporniki, zamocowane w odstępach co 1-2 m. Wysokość układania rur w stosy nie powinna przekraczać 7 warstw rur i 1,5 m wysokości. Rury o różnych średnicach winny być składowane odrębnie.</w:t>
      </w:r>
    </w:p>
    <w:p w14:paraId="167A56F6" w14:textId="77777777" w:rsidR="000A3B2B" w:rsidRDefault="000A3B2B" w:rsidP="003C16E8">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Rury kielichowe układać kielichami naprzemianlegle lub kolejne warstwy oddzielać przekładkami drewnianymi.</w:t>
      </w:r>
    </w:p>
    <w:p w14:paraId="6E66D343" w14:textId="77777777" w:rsidR="000A3B2B" w:rsidRDefault="000A3B2B" w:rsidP="003C16E8">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Stos należy zabezpieczyć przed przypadkowym ześlizgnięciem się rury poprzez ograniczenie jego szerokości przy pomocy pionowych wsporników drewnianych zamocowanych w odstępach 1÷2 m.</w:t>
      </w:r>
    </w:p>
    <w:p w14:paraId="79C39E82" w14:textId="77777777" w:rsidR="000A3B2B" w:rsidRDefault="000A3B2B" w:rsidP="003C16E8">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4.4.2.</w:t>
      </w:r>
      <w:r>
        <w:rPr>
          <w:rFonts w:ascii="Arial" w:hAnsi="Arial" w:cs="Arial"/>
          <w:b/>
          <w:bCs/>
          <w:color w:val="000000"/>
          <w:sz w:val="18"/>
          <w:szCs w:val="18"/>
          <w:lang w:val="x-none"/>
        </w:rPr>
        <w:tab/>
        <w:t>Składowanie studzienek z tworzyw sztucznych</w:t>
      </w:r>
    </w:p>
    <w:p w14:paraId="60A4D417" w14:textId="77777777" w:rsidR="000A3B2B" w:rsidRDefault="000A3B2B" w:rsidP="003C16E8">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Studzienki z tworzyw sztucznych należy składować w takich miejscach, aby żaden z ich elementów nie był narażony na uszkodzenie. Mogą one być przechowywane na wolnym powietrzu, ale tylko wtedy, gdy temperatura otoczenia nie przekracza +40°C. Studzienki należy chronić przed kontaktem z materiałami ropopochodnymi. </w:t>
      </w:r>
    </w:p>
    <w:p w14:paraId="2E6961BB" w14:textId="77777777" w:rsidR="000A3B2B" w:rsidRDefault="000A3B2B" w:rsidP="003C16E8">
      <w:pPr>
        <w:autoSpaceDE w:val="0"/>
        <w:autoSpaceDN w:val="0"/>
        <w:adjustRightInd w:val="0"/>
        <w:spacing w:after="30" w:line="240" w:lineRule="auto"/>
        <w:jc w:val="both"/>
        <w:rPr>
          <w:rFonts w:ascii="Arial" w:hAnsi="Arial" w:cs="Arial"/>
          <w:b/>
          <w:bCs/>
          <w:color w:val="000000"/>
          <w:sz w:val="18"/>
          <w:szCs w:val="18"/>
          <w:lang w:val="x-none"/>
        </w:rPr>
      </w:pPr>
      <w:r>
        <w:rPr>
          <w:rFonts w:ascii="Arial" w:hAnsi="Arial" w:cs="Arial"/>
          <w:b/>
          <w:bCs/>
          <w:color w:val="000000"/>
          <w:sz w:val="18"/>
          <w:szCs w:val="18"/>
          <w:lang w:val="x-none"/>
        </w:rPr>
        <w:t>4.4.3.</w:t>
      </w:r>
      <w:r>
        <w:rPr>
          <w:rFonts w:ascii="Arial" w:hAnsi="Arial" w:cs="Arial"/>
          <w:b/>
          <w:bCs/>
          <w:color w:val="000000"/>
          <w:sz w:val="18"/>
          <w:szCs w:val="18"/>
          <w:lang w:val="x-none"/>
        </w:rPr>
        <w:tab/>
        <w:t>Składowanie studzienek prefabrykowanych</w:t>
      </w:r>
    </w:p>
    <w:p w14:paraId="1BD70194" w14:textId="77777777" w:rsidR="000A3B2B" w:rsidRDefault="000A3B2B" w:rsidP="003C16E8">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Elementy prefabrykowane należy składować na placu składowym o wyrównanej i odwodnionej powierzchni. Prefabrykaty drobnowymiarowe mogą być układane w stosach o wysokości do 1,80 m. Stosy powinny być zabezpieczone przed przewróceniem. </w:t>
      </w:r>
    </w:p>
    <w:p w14:paraId="2264388D" w14:textId="77777777" w:rsidR="000A3B2B" w:rsidRDefault="000A3B2B" w:rsidP="003C16E8">
      <w:pPr>
        <w:autoSpaceDE w:val="0"/>
        <w:autoSpaceDN w:val="0"/>
        <w:adjustRightInd w:val="0"/>
        <w:spacing w:after="30" w:line="240" w:lineRule="auto"/>
        <w:jc w:val="both"/>
        <w:rPr>
          <w:rFonts w:ascii="Arial" w:hAnsi="Arial" w:cs="Arial"/>
          <w:color w:val="000000"/>
          <w:sz w:val="18"/>
          <w:szCs w:val="18"/>
          <w:lang w:val="x-none"/>
        </w:rPr>
      </w:pPr>
    </w:p>
    <w:p w14:paraId="79DA2C05" w14:textId="77777777" w:rsidR="000A3B2B" w:rsidRDefault="000A3B2B" w:rsidP="003C16E8">
      <w:pPr>
        <w:autoSpaceDE w:val="0"/>
        <w:autoSpaceDN w:val="0"/>
        <w:adjustRightInd w:val="0"/>
        <w:spacing w:before="225" w:after="12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5.</w:t>
      </w:r>
      <w:r>
        <w:rPr>
          <w:rFonts w:ascii="Arial" w:hAnsi="Arial" w:cs="Arial"/>
          <w:b/>
          <w:bCs/>
          <w:color w:val="000000"/>
          <w:sz w:val="18"/>
          <w:szCs w:val="18"/>
          <w:lang w:val="x-none"/>
        </w:rPr>
        <w:tab/>
        <w:t>WYMAGANIA DOTYCZĄCE WYKONANIA ROBÓT</w:t>
      </w:r>
    </w:p>
    <w:p w14:paraId="41D7C1DD" w14:textId="77777777" w:rsidR="000A3B2B" w:rsidRDefault="000A3B2B" w:rsidP="003C16E8">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5.1.</w:t>
      </w:r>
      <w:r>
        <w:rPr>
          <w:rFonts w:ascii="Arial" w:hAnsi="Arial" w:cs="Arial"/>
          <w:b/>
          <w:bCs/>
          <w:color w:val="000000"/>
          <w:sz w:val="18"/>
          <w:szCs w:val="18"/>
          <w:lang w:val="x-none"/>
        </w:rPr>
        <w:tab/>
        <w:t>Ogólne zasady wykonania robót podane zostały w ST „Wymagania ogólne” Kod CPV 45000000-7, pkt 5</w:t>
      </w:r>
    </w:p>
    <w:p w14:paraId="0D35137B" w14:textId="77777777" w:rsidR="000A3B2B" w:rsidRDefault="000A3B2B" w:rsidP="003C16E8">
      <w:pPr>
        <w:autoSpaceDE w:val="0"/>
        <w:autoSpaceDN w:val="0"/>
        <w:adjustRightInd w:val="0"/>
        <w:spacing w:after="60" w:line="240" w:lineRule="auto"/>
        <w:ind w:left="390" w:hanging="390"/>
        <w:jc w:val="both"/>
        <w:rPr>
          <w:rFonts w:ascii="Arial" w:hAnsi="Arial" w:cs="Arial"/>
          <w:b/>
          <w:bCs/>
          <w:color w:val="000000"/>
          <w:sz w:val="18"/>
          <w:szCs w:val="18"/>
          <w:lang w:val="x-none"/>
        </w:rPr>
      </w:pPr>
    </w:p>
    <w:p w14:paraId="48390124" w14:textId="77777777" w:rsidR="000A3B2B" w:rsidRDefault="000A3B2B" w:rsidP="003C16E8">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5.2.</w:t>
      </w:r>
      <w:r>
        <w:rPr>
          <w:rFonts w:ascii="Arial" w:hAnsi="Arial" w:cs="Arial"/>
          <w:b/>
          <w:bCs/>
          <w:color w:val="000000"/>
          <w:sz w:val="18"/>
          <w:szCs w:val="18"/>
          <w:lang w:val="x-none"/>
        </w:rPr>
        <w:tab/>
        <w:t>Warunki przystąpienia do robót</w:t>
      </w:r>
    </w:p>
    <w:p w14:paraId="4DEDA967" w14:textId="77777777" w:rsidR="000A3B2B" w:rsidRDefault="000A3B2B" w:rsidP="003C16E8">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Przed przystąpieniem do montażu sieci kanalizacyjnej należy:</w:t>
      </w:r>
    </w:p>
    <w:p w14:paraId="3188C0C4" w14:textId="77777777" w:rsidR="000A3B2B" w:rsidRDefault="000A3B2B" w:rsidP="003C16E8">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dokonać geodezyjnego wytyczenia trasy rurociągu,</w:t>
      </w:r>
    </w:p>
    <w:p w14:paraId="6657EBB4" w14:textId="77777777" w:rsidR="000A3B2B" w:rsidRDefault="000A3B2B" w:rsidP="003C16E8">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wykonać wykopy z ewentualnym umocnieniem ich ścian zgodnie z PN-B-10736 </w:t>
      </w:r>
    </w:p>
    <w:p w14:paraId="55FA43B0" w14:textId="77777777" w:rsidR="000A3B2B" w:rsidRDefault="000A3B2B" w:rsidP="003C16E8">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obniżyć poziom wody gruntowej na czas wykonywania robót podstawowych (w przypadku wystąpienia wysokiego poziomu wód gruntowych lub opadowych),</w:t>
      </w:r>
    </w:p>
    <w:p w14:paraId="7D0394F8" w14:textId="77777777" w:rsidR="000A3B2B" w:rsidRDefault="000A3B2B" w:rsidP="003C16E8">
      <w:pPr>
        <w:autoSpaceDE w:val="0"/>
        <w:autoSpaceDN w:val="0"/>
        <w:adjustRightInd w:val="0"/>
        <w:spacing w:after="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przygotować podłoże pod rurociąg zgodnie z dokumentacją.</w:t>
      </w:r>
    </w:p>
    <w:p w14:paraId="0D76ECBA" w14:textId="77777777" w:rsidR="000A3B2B" w:rsidRDefault="000A3B2B" w:rsidP="003C16E8">
      <w:pPr>
        <w:autoSpaceDE w:val="0"/>
        <w:autoSpaceDN w:val="0"/>
        <w:adjustRightInd w:val="0"/>
        <w:spacing w:after="0" w:line="240" w:lineRule="auto"/>
        <w:ind w:left="285" w:hanging="285"/>
        <w:jc w:val="both"/>
        <w:rPr>
          <w:rFonts w:ascii="Arial" w:hAnsi="Arial" w:cs="Arial"/>
          <w:color w:val="000000"/>
          <w:sz w:val="18"/>
          <w:szCs w:val="18"/>
          <w:lang w:val="x-none"/>
        </w:rPr>
      </w:pPr>
    </w:p>
    <w:p w14:paraId="26644E26" w14:textId="77777777" w:rsidR="000A3B2B" w:rsidRDefault="000A3B2B" w:rsidP="003C16E8">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5.3.</w:t>
      </w:r>
      <w:r>
        <w:rPr>
          <w:rFonts w:ascii="Arial" w:hAnsi="Arial" w:cs="Arial"/>
          <w:b/>
          <w:bCs/>
          <w:color w:val="000000"/>
          <w:sz w:val="18"/>
          <w:szCs w:val="18"/>
          <w:lang w:val="x-none"/>
        </w:rPr>
        <w:tab/>
        <w:t>Montaż rurociągów</w:t>
      </w:r>
    </w:p>
    <w:p w14:paraId="7116D295" w14:textId="77777777" w:rsidR="000A3B2B" w:rsidRDefault="000A3B2B" w:rsidP="003C16E8">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Montaż rurociągów może odbywać się dwoma metodami:</w:t>
      </w:r>
    </w:p>
    <w:p w14:paraId="1399829C" w14:textId="77777777" w:rsidR="000A3B2B" w:rsidRDefault="000A3B2B" w:rsidP="003C16E8">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montaż odcinków rurociągów na powierzchni terenu i opuszczenie ich do wykopu,</w:t>
      </w:r>
    </w:p>
    <w:p w14:paraId="0334647B" w14:textId="77777777" w:rsidR="000A3B2B" w:rsidRDefault="000A3B2B" w:rsidP="003C16E8">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montaż odcinków rurociągu w wykopie.</w:t>
      </w:r>
    </w:p>
    <w:p w14:paraId="0BFF72F1" w14:textId="77777777" w:rsidR="000A3B2B" w:rsidRDefault="000A3B2B" w:rsidP="003C16E8">
      <w:pPr>
        <w:autoSpaceDE w:val="0"/>
        <w:autoSpaceDN w:val="0"/>
        <w:adjustRightInd w:val="0"/>
        <w:spacing w:after="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Rury w wykopie powinny być ułożone w osi montowanego przewodu z zachowaniem spadków. Na całej długości powinny przylegać do podłoża na co najmniej ¼ obwodu.</w:t>
      </w:r>
    </w:p>
    <w:p w14:paraId="61E93A21" w14:textId="77777777" w:rsidR="000A3B2B" w:rsidRDefault="000A3B2B" w:rsidP="003C16E8">
      <w:pPr>
        <w:autoSpaceDE w:val="0"/>
        <w:autoSpaceDN w:val="0"/>
        <w:adjustRightInd w:val="0"/>
        <w:spacing w:after="0" w:line="240" w:lineRule="auto"/>
        <w:jc w:val="both"/>
        <w:rPr>
          <w:rFonts w:ascii="Arial" w:hAnsi="Arial" w:cs="Arial"/>
          <w:color w:val="000000"/>
          <w:sz w:val="18"/>
          <w:szCs w:val="18"/>
          <w:lang w:val="x-none"/>
        </w:rPr>
      </w:pPr>
    </w:p>
    <w:p w14:paraId="4B67E5C3" w14:textId="77777777" w:rsidR="000A3B2B" w:rsidRDefault="000A3B2B" w:rsidP="003C16E8">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5.4.</w:t>
      </w:r>
      <w:r>
        <w:rPr>
          <w:rFonts w:ascii="Arial" w:hAnsi="Arial" w:cs="Arial"/>
          <w:b/>
          <w:bCs/>
          <w:color w:val="000000"/>
          <w:sz w:val="18"/>
          <w:szCs w:val="18"/>
          <w:lang w:val="x-none"/>
        </w:rPr>
        <w:tab/>
        <w:t>Połączenia rur i kształtek z PVC-U i PP</w:t>
      </w:r>
    </w:p>
    <w:p w14:paraId="6BE635F7" w14:textId="77777777" w:rsidR="000A3B2B" w:rsidRDefault="000A3B2B" w:rsidP="003C16E8">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Przed montażem rur i kształtek z PVC-U i PP należy dokonać ich oględzin. Powierzchnie wewnętrzne i zewnętrzne rur oraz kształtek powinny być gładkie, czyste, pozbawione nierówności, porów i jakichkolwiek innych uszkodzeń w stopniu uniemożliwiającym spełnienie wymagań określonych w normach PN-EN 1401 oraz PN-EN 1852.</w:t>
      </w:r>
    </w:p>
    <w:p w14:paraId="79B1338C" w14:textId="77777777" w:rsidR="000A3B2B" w:rsidRDefault="000A3B2B" w:rsidP="003C16E8">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5.4.1.</w:t>
      </w:r>
      <w:r>
        <w:rPr>
          <w:rFonts w:ascii="Arial" w:hAnsi="Arial" w:cs="Arial"/>
          <w:b/>
          <w:bCs/>
          <w:color w:val="000000"/>
          <w:sz w:val="18"/>
          <w:szCs w:val="18"/>
          <w:lang w:val="x-none"/>
        </w:rPr>
        <w:tab/>
        <w:t>Połączenia kielichowe na wcisk</w:t>
      </w:r>
    </w:p>
    <w:p w14:paraId="1E137494" w14:textId="77777777" w:rsidR="000A3B2B" w:rsidRDefault="000A3B2B" w:rsidP="003C16E8">
      <w:pPr>
        <w:autoSpaceDE w:val="0"/>
        <w:autoSpaceDN w:val="0"/>
        <w:adjustRightInd w:val="0"/>
        <w:spacing w:after="0" w:line="240" w:lineRule="auto"/>
        <w:jc w:val="both"/>
        <w:rPr>
          <w:rFonts w:ascii="Arial" w:hAnsi="Arial" w:cs="Arial"/>
          <w:color w:val="000000"/>
          <w:sz w:val="18"/>
          <w:szCs w:val="18"/>
          <w:lang w:val="x-none"/>
        </w:rPr>
      </w:pPr>
      <w:r>
        <w:rPr>
          <w:rFonts w:ascii="Arial" w:hAnsi="Arial" w:cs="Arial"/>
          <w:color w:val="000000"/>
          <w:sz w:val="18"/>
          <w:szCs w:val="18"/>
          <w:lang w:val="x-none"/>
        </w:rPr>
        <w:t>Montaż połączeń kielichowych polega na wsunięciu (wciśnięciu) końca rury w kielich, z osadzoną uszczelką (pierścieniem elastomerowym), do określonej głębokości. Dopuszczalne jest stosowanie środka smarującego ułatwiającego wsuwanie. Należy zwrócić szczególną uwagę na osiowe wprowadzenie końca rury w kielich.</w:t>
      </w:r>
    </w:p>
    <w:p w14:paraId="6B6C08D6" w14:textId="77777777" w:rsidR="000A3B2B" w:rsidRDefault="000A3B2B" w:rsidP="003C16E8">
      <w:pPr>
        <w:autoSpaceDE w:val="0"/>
        <w:autoSpaceDN w:val="0"/>
        <w:adjustRightInd w:val="0"/>
        <w:spacing w:after="0" w:line="240" w:lineRule="auto"/>
        <w:jc w:val="both"/>
        <w:rPr>
          <w:rFonts w:ascii="Arial" w:hAnsi="Arial" w:cs="Arial"/>
          <w:color w:val="000000"/>
          <w:sz w:val="18"/>
          <w:szCs w:val="18"/>
          <w:lang w:val="x-none"/>
        </w:rPr>
      </w:pPr>
    </w:p>
    <w:p w14:paraId="2A9BE6FD" w14:textId="77777777" w:rsidR="000A3B2B" w:rsidRDefault="000A3B2B" w:rsidP="003C16E8">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5.5.</w:t>
      </w:r>
      <w:r>
        <w:rPr>
          <w:rFonts w:ascii="Arial" w:hAnsi="Arial" w:cs="Arial"/>
          <w:b/>
          <w:bCs/>
          <w:color w:val="000000"/>
          <w:sz w:val="18"/>
          <w:szCs w:val="18"/>
          <w:lang w:val="x-none"/>
        </w:rPr>
        <w:tab/>
        <w:t>Studzienki kanalizacyjne</w:t>
      </w:r>
    </w:p>
    <w:p w14:paraId="39F94B75" w14:textId="77777777" w:rsidR="000A3B2B" w:rsidRDefault="000A3B2B" w:rsidP="003C16E8">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Studzienki kanalizacyjne powinny być szczelne i powinny spełniać wymagania zawarte w dokumentach odniesienia (normach, europejskich ocenach technicznych, aprobatach technicznych – wydanych do 31 grudnia 2016 r., a po zakończeniu okresu ich ważności w krajowych ocenach technicznych – kartach technicznych itd.). </w:t>
      </w:r>
    </w:p>
    <w:p w14:paraId="2BD08F49" w14:textId="77777777" w:rsidR="000A3B2B" w:rsidRDefault="000A3B2B" w:rsidP="003C16E8">
      <w:pPr>
        <w:autoSpaceDE w:val="0"/>
        <w:autoSpaceDN w:val="0"/>
        <w:adjustRightInd w:val="0"/>
        <w:spacing w:after="0" w:line="240" w:lineRule="auto"/>
        <w:jc w:val="both"/>
        <w:rPr>
          <w:rFonts w:ascii="Arial" w:hAnsi="Arial" w:cs="Arial"/>
          <w:color w:val="000000"/>
          <w:sz w:val="18"/>
          <w:szCs w:val="18"/>
          <w:lang w:val="x-none"/>
        </w:rPr>
      </w:pPr>
      <w:r>
        <w:rPr>
          <w:rFonts w:ascii="Arial" w:hAnsi="Arial" w:cs="Arial"/>
          <w:color w:val="000000"/>
          <w:sz w:val="18"/>
          <w:szCs w:val="18"/>
          <w:lang w:val="x-none"/>
        </w:rPr>
        <w:t>Elementy prefabrykowane studzienek, a także studzienki z tworzyw sztucznych powinny być montowane zgodnie z instrukcjami producentów.</w:t>
      </w:r>
    </w:p>
    <w:p w14:paraId="7B15BDCE" w14:textId="77777777" w:rsidR="000A3B2B" w:rsidRDefault="000A3B2B" w:rsidP="003C16E8">
      <w:pPr>
        <w:autoSpaceDE w:val="0"/>
        <w:autoSpaceDN w:val="0"/>
        <w:adjustRightInd w:val="0"/>
        <w:spacing w:after="0" w:line="240" w:lineRule="auto"/>
        <w:jc w:val="both"/>
        <w:rPr>
          <w:rFonts w:ascii="Arial" w:hAnsi="Arial" w:cs="Arial"/>
          <w:color w:val="000000"/>
          <w:sz w:val="18"/>
          <w:szCs w:val="18"/>
          <w:lang w:val="x-none"/>
        </w:rPr>
      </w:pPr>
    </w:p>
    <w:p w14:paraId="0C1F8352" w14:textId="77777777" w:rsidR="000A3B2B" w:rsidRDefault="000A3B2B" w:rsidP="003C16E8">
      <w:pPr>
        <w:autoSpaceDE w:val="0"/>
        <w:autoSpaceDN w:val="0"/>
        <w:adjustRightInd w:val="0"/>
        <w:spacing w:before="225" w:after="12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6.</w:t>
      </w:r>
      <w:r>
        <w:rPr>
          <w:rFonts w:ascii="Arial" w:hAnsi="Arial" w:cs="Arial"/>
          <w:b/>
          <w:bCs/>
          <w:color w:val="000000"/>
          <w:sz w:val="18"/>
          <w:szCs w:val="18"/>
          <w:lang w:val="x-none"/>
        </w:rPr>
        <w:tab/>
        <w:t>KONTROLA JAKOŚCI ROBÓT</w:t>
      </w:r>
    </w:p>
    <w:p w14:paraId="2FFDA174" w14:textId="77777777" w:rsidR="000A3B2B" w:rsidRDefault="000A3B2B" w:rsidP="003C16E8">
      <w:pPr>
        <w:autoSpaceDE w:val="0"/>
        <w:autoSpaceDN w:val="0"/>
        <w:adjustRightInd w:val="0"/>
        <w:spacing w:after="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6.1.</w:t>
      </w:r>
      <w:r>
        <w:rPr>
          <w:rFonts w:ascii="Arial" w:hAnsi="Arial" w:cs="Arial"/>
          <w:b/>
          <w:bCs/>
          <w:color w:val="000000"/>
          <w:sz w:val="18"/>
          <w:szCs w:val="18"/>
          <w:lang w:val="x-none"/>
        </w:rPr>
        <w:tab/>
        <w:t>Ogólne zasady kontroli jakości robót podane zostały w ST „Wymagania ogólne” Kod CPV 45000000-7, pkt 6</w:t>
      </w:r>
    </w:p>
    <w:p w14:paraId="3027AF9D" w14:textId="77777777" w:rsidR="000A3B2B" w:rsidRDefault="000A3B2B" w:rsidP="003C16E8">
      <w:pPr>
        <w:autoSpaceDE w:val="0"/>
        <w:autoSpaceDN w:val="0"/>
        <w:adjustRightInd w:val="0"/>
        <w:spacing w:after="0" w:line="240" w:lineRule="auto"/>
        <w:jc w:val="both"/>
        <w:rPr>
          <w:rFonts w:ascii="Arial" w:hAnsi="Arial" w:cs="Arial"/>
          <w:color w:val="000000"/>
          <w:sz w:val="18"/>
          <w:szCs w:val="18"/>
          <w:lang w:val="x-none"/>
        </w:rPr>
      </w:pPr>
    </w:p>
    <w:p w14:paraId="7D88F705" w14:textId="77777777" w:rsidR="000A3B2B" w:rsidRDefault="000A3B2B" w:rsidP="003C16E8">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6.2.</w:t>
      </w:r>
      <w:r>
        <w:rPr>
          <w:rFonts w:ascii="Arial" w:hAnsi="Arial" w:cs="Arial"/>
          <w:b/>
          <w:bCs/>
          <w:color w:val="000000"/>
          <w:sz w:val="18"/>
          <w:szCs w:val="18"/>
          <w:lang w:val="x-none"/>
        </w:rPr>
        <w:tab/>
        <w:t>Kontrolę wykonania sieci kanalizacyjnych należy przeprowadzić zgodnie z zaleceniami określonymi w zeszycie nr 9 „Warunków Technicznych Wykonania i Odbioru Sieci Kanalizacyjnych” pkt 7 „Kontrola i badania przy odbiorze”.</w:t>
      </w:r>
    </w:p>
    <w:p w14:paraId="0A79649E" w14:textId="77777777" w:rsidR="000A3B2B" w:rsidRDefault="000A3B2B" w:rsidP="003C16E8">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Szczelność przewodów wraz z podłączeniami i studzienkami należy zbadać zgodnie z zasadami określonymi w PN-EN 1610:2015. Badanie to powinno być przeprowadzone z użyciem powietrza (metoda L) lub wody (metoda W).</w:t>
      </w:r>
    </w:p>
    <w:p w14:paraId="6E15C727" w14:textId="77777777" w:rsidR="000A3B2B" w:rsidRDefault="000A3B2B" w:rsidP="003C16E8">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Metoda badań powinna być wskazana w dokumentacji projektowej lub szczegółowej specyfikacji technicznej (SST). Przewód kanalizacyjny spełnia wymagania określone w normie (podczas badania szczelności przy użyciu powietrza), gdy spadek ciśnienia zmierzony po upływie czasu badań jest mniejszy niż określony w PN-EN 1610:2015.</w:t>
      </w:r>
    </w:p>
    <w:p w14:paraId="5486277E" w14:textId="77777777" w:rsidR="000A3B2B" w:rsidRDefault="000A3B2B" w:rsidP="003C16E8">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Jeżeli w czasie wykonywania próby szczelności z użyciem powietrza występują uszkodzenia, należy przeprowadzić badanie wodą i wyniki te powinny być decydujące.</w:t>
      </w:r>
    </w:p>
    <w:p w14:paraId="39A5DE39" w14:textId="77777777" w:rsidR="000A3B2B" w:rsidRDefault="000A3B2B" w:rsidP="003C16E8">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Wymagania dotyczące badania szczelności przy pomocy wody, są spełnione, jeżeli ilość wody dodanej (podczas wykonywania badań) nie przekracza:</w:t>
      </w:r>
    </w:p>
    <w:p w14:paraId="2B4AF531" w14:textId="77777777" w:rsidR="000A3B2B" w:rsidRDefault="000A3B2B" w:rsidP="003C16E8">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0,15 l/m</w:t>
      </w:r>
      <w:r>
        <w:rPr>
          <w:rFonts w:ascii="Arial" w:hAnsi="Arial" w:cs="Arial"/>
          <w:color w:val="000000"/>
          <w:position w:val="4"/>
          <w:sz w:val="8"/>
          <w:szCs w:val="8"/>
          <w:lang w:val="x-none"/>
        </w:rPr>
        <w:t>2</w:t>
      </w:r>
      <w:r>
        <w:rPr>
          <w:rFonts w:ascii="Arial" w:hAnsi="Arial" w:cs="Arial"/>
          <w:color w:val="000000"/>
          <w:sz w:val="18"/>
          <w:szCs w:val="18"/>
          <w:lang w:val="x-none"/>
        </w:rPr>
        <w:t xml:space="preserve"> w czasie 30 min. dla przewodów,</w:t>
      </w:r>
    </w:p>
    <w:p w14:paraId="75AD3363" w14:textId="77777777" w:rsidR="000A3B2B" w:rsidRDefault="000A3B2B" w:rsidP="003C16E8">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0,20 l/m</w:t>
      </w:r>
      <w:r>
        <w:rPr>
          <w:rFonts w:ascii="Arial" w:hAnsi="Arial" w:cs="Arial"/>
          <w:color w:val="000000"/>
          <w:position w:val="4"/>
          <w:sz w:val="8"/>
          <w:szCs w:val="8"/>
          <w:lang w:val="x-none"/>
        </w:rPr>
        <w:t>2</w:t>
      </w:r>
      <w:r>
        <w:rPr>
          <w:rFonts w:ascii="Arial" w:hAnsi="Arial" w:cs="Arial"/>
          <w:color w:val="000000"/>
          <w:sz w:val="18"/>
          <w:szCs w:val="18"/>
          <w:lang w:val="x-none"/>
        </w:rPr>
        <w:t xml:space="preserve"> w czasie 30 min. dla przewodów wraz ze studzienkami włazowymi,</w:t>
      </w:r>
    </w:p>
    <w:p w14:paraId="10994DF6" w14:textId="77777777" w:rsidR="000A3B2B" w:rsidRDefault="000A3B2B" w:rsidP="003C16E8">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0,40 l/m</w:t>
      </w:r>
      <w:r>
        <w:rPr>
          <w:rFonts w:ascii="Arial" w:hAnsi="Arial" w:cs="Arial"/>
          <w:color w:val="000000"/>
          <w:position w:val="4"/>
          <w:sz w:val="8"/>
          <w:szCs w:val="8"/>
          <w:lang w:val="x-none"/>
        </w:rPr>
        <w:t>2</w:t>
      </w:r>
      <w:r>
        <w:rPr>
          <w:rFonts w:ascii="Arial" w:hAnsi="Arial" w:cs="Arial"/>
          <w:color w:val="000000"/>
          <w:sz w:val="18"/>
          <w:szCs w:val="18"/>
          <w:lang w:val="x-none"/>
        </w:rPr>
        <w:t xml:space="preserve"> w czasie 30 min. dla studzienek kanalizacyjnych,</w:t>
      </w:r>
    </w:p>
    <w:p w14:paraId="6450868B" w14:textId="77777777" w:rsidR="000A3B2B" w:rsidRDefault="000A3B2B" w:rsidP="003C16E8">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m</w:t>
      </w:r>
      <w:r>
        <w:rPr>
          <w:rFonts w:ascii="Arial" w:hAnsi="Arial" w:cs="Arial"/>
          <w:color w:val="000000"/>
          <w:position w:val="4"/>
          <w:sz w:val="8"/>
          <w:szCs w:val="8"/>
          <w:lang w:val="x-none"/>
        </w:rPr>
        <w:t>2</w:t>
      </w:r>
      <w:r>
        <w:rPr>
          <w:rFonts w:ascii="Arial" w:hAnsi="Arial" w:cs="Arial"/>
          <w:color w:val="000000"/>
          <w:sz w:val="18"/>
          <w:szCs w:val="18"/>
          <w:lang w:val="x-none"/>
        </w:rPr>
        <w:t xml:space="preserve"> – odnosi się do wewnętrznej powierzchni zwilżonej rur i studzienek.</w:t>
      </w:r>
    </w:p>
    <w:p w14:paraId="00467AD6" w14:textId="77777777" w:rsidR="000A3B2B" w:rsidRDefault="000A3B2B" w:rsidP="003C16E8">
      <w:pPr>
        <w:autoSpaceDE w:val="0"/>
        <w:autoSpaceDN w:val="0"/>
        <w:adjustRightInd w:val="0"/>
        <w:spacing w:after="30" w:line="240" w:lineRule="auto"/>
        <w:jc w:val="both"/>
        <w:rPr>
          <w:rFonts w:ascii="Arial" w:hAnsi="Arial" w:cs="Arial"/>
          <w:color w:val="000000"/>
          <w:sz w:val="18"/>
          <w:szCs w:val="18"/>
          <w:lang w:val="x-none"/>
        </w:rPr>
      </w:pPr>
    </w:p>
    <w:p w14:paraId="2AE30C48" w14:textId="77777777" w:rsidR="000A3B2B" w:rsidRDefault="000A3B2B" w:rsidP="003C16E8">
      <w:pPr>
        <w:autoSpaceDE w:val="0"/>
        <w:autoSpaceDN w:val="0"/>
        <w:adjustRightInd w:val="0"/>
        <w:spacing w:before="225" w:after="12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7.</w:t>
      </w:r>
      <w:r>
        <w:rPr>
          <w:rFonts w:ascii="Arial" w:hAnsi="Arial" w:cs="Arial"/>
          <w:b/>
          <w:bCs/>
          <w:color w:val="000000"/>
          <w:sz w:val="18"/>
          <w:szCs w:val="18"/>
          <w:lang w:val="x-none"/>
        </w:rPr>
        <w:tab/>
        <w:t>WYMAGANIA DOTYCZĄCE PRZEDMIARU I OBMIARU ROBÓT</w:t>
      </w:r>
    </w:p>
    <w:p w14:paraId="635AE3E6" w14:textId="77777777" w:rsidR="000A3B2B" w:rsidRDefault="000A3B2B" w:rsidP="003C16E8">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7.1.</w:t>
      </w:r>
      <w:r>
        <w:rPr>
          <w:rFonts w:ascii="Arial" w:hAnsi="Arial" w:cs="Arial"/>
          <w:b/>
          <w:bCs/>
          <w:color w:val="000000"/>
          <w:sz w:val="18"/>
          <w:szCs w:val="18"/>
          <w:lang w:val="x-none"/>
        </w:rPr>
        <w:tab/>
        <w:t>Ogólne zasady obmiaru robót podane zostały w ST „Wymagania ogólne” Kod CPV 45000000-7, pkt 7</w:t>
      </w:r>
    </w:p>
    <w:p w14:paraId="30E5CA31" w14:textId="77777777" w:rsidR="000A3B2B" w:rsidRDefault="000A3B2B" w:rsidP="003C16E8">
      <w:pPr>
        <w:autoSpaceDE w:val="0"/>
        <w:autoSpaceDN w:val="0"/>
        <w:adjustRightInd w:val="0"/>
        <w:spacing w:after="30" w:line="240" w:lineRule="auto"/>
        <w:jc w:val="both"/>
        <w:rPr>
          <w:rFonts w:ascii="Arial" w:hAnsi="Arial" w:cs="Arial"/>
          <w:color w:val="000000"/>
          <w:sz w:val="18"/>
          <w:szCs w:val="18"/>
          <w:lang w:val="x-none"/>
        </w:rPr>
      </w:pPr>
    </w:p>
    <w:p w14:paraId="7A8A9942" w14:textId="77777777" w:rsidR="000A3B2B" w:rsidRDefault="000A3B2B" w:rsidP="003C16E8">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7.2.</w:t>
      </w:r>
      <w:r>
        <w:rPr>
          <w:rFonts w:ascii="Arial" w:hAnsi="Arial" w:cs="Arial"/>
          <w:b/>
          <w:bCs/>
          <w:color w:val="000000"/>
          <w:sz w:val="18"/>
          <w:szCs w:val="18"/>
          <w:lang w:val="x-none"/>
        </w:rPr>
        <w:tab/>
        <w:t>Jednostki i zasady obmiaru robót</w:t>
      </w:r>
    </w:p>
    <w:p w14:paraId="3226628D" w14:textId="77777777" w:rsidR="000A3B2B" w:rsidRDefault="000A3B2B" w:rsidP="003C16E8">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Obmiar robót będzie określać faktyczny zakres wykonanych robót, zgodnie z dokumentacją projektową i SST, w jednostkach ustalonych w kosztorysie.</w:t>
      </w:r>
    </w:p>
    <w:p w14:paraId="059F9285" w14:textId="77777777" w:rsidR="000A3B2B" w:rsidRDefault="000A3B2B" w:rsidP="003C16E8">
      <w:pPr>
        <w:autoSpaceDE w:val="0"/>
        <w:autoSpaceDN w:val="0"/>
        <w:adjustRightInd w:val="0"/>
        <w:spacing w:after="30" w:line="240" w:lineRule="auto"/>
        <w:jc w:val="both"/>
        <w:rPr>
          <w:rFonts w:ascii="Arial" w:hAnsi="Arial" w:cs="Arial"/>
          <w:color w:val="000000"/>
          <w:sz w:val="18"/>
          <w:szCs w:val="18"/>
          <w:lang w:val="x-none"/>
        </w:rPr>
      </w:pPr>
    </w:p>
    <w:p w14:paraId="55C49CE1" w14:textId="77777777" w:rsidR="000A3B2B" w:rsidRDefault="000A3B2B" w:rsidP="003C16E8">
      <w:pPr>
        <w:autoSpaceDE w:val="0"/>
        <w:autoSpaceDN w:val="0"/>
        <w:adjustRightInd w:val="0"/>
        <w:spacing w:after="30" w:line="240" w:lineRule="auto"/>
        <w:jc w:val="both"/>
        <w:rPr>
          <w:rFonts w:ascii="Arial" w:hAnsi="Arial" w:cs="Arial"/>
          <w:b/>
          <w:bCs/>
          <w:i/>
          <w:iCs/>
          <w:color w:val="000000"/>
          <w:sz w:val="18"/>
          <w:szCs w:val="18"/>
          <w:lang w:val="x-none"/>
        </w:rPr>
      </w:pPr>
      <w:r>
        <w:rPr>
          <w:rFonts w:ascii="Arial" w:hAnsi="Arial" w:cs="Arial"/>
          <w:b/>
          <w:bCs/>
          <w:i/>
          <w:iCs/>
          <w:color w:val="000000"/>
          <w:sz w:val="18"/>
          <w:szCs w:val="18"/>
          <w:lang w:val="x-none"/>
        </w:rPr>
        <w:t>Wariant I</w:t>
      </w:r>
    </w:p>
    <w:p w14:paraId="72C35627" w14:textId="77777777" w:rsidR="000A3B2B" w:rsidRDefault="000A3B2B" w:rsidP="003C16E8">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7.2.1.</w:t>
      </w:r>
      <w:r>
        <w:rPr>
          <w:rFonts w:ascii="Arial" w:hAnsi="Arial" w:cs="Arial"/>
          <w:b/>
          <w:bCs/>
          <w:color w:val="000000"/>
          <w:sz w:val="18"/>
          <w:szCs w:val="18"/>
          <w:lang w:val="x-none"/>
        </w:rPr>
        <w:tab/>
        <w:t>Jednostki i zasady obmiaru robót tymczasowych</w:t>
      </w:r>
    </w:p>
    <w:p w14:paraId="4ACCFE05" w14:textId="77777777" w:rsidR="000A3B2B" w:rsidRDefault="000A3B2B" w:rsidP="003C16E8">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Robotami tymczasowymi przy montażu sieci wodociągowych są roboty ziemne (wykopy), umocnienia ich pionowych ścian, wykonanie podłoża pod rurociągi oraz zasypanie z zagęszczeniem gruntu. Zasady obmiaru tych robót należy przyjąć takie same jak dla robót ziemnych określone w odpowiednich katalogach. Jednostkami obmiaru są:</w:t>
      </w:r>
    </w:p>
    <w:p w14:paraId="3539D65E" w14:textId="77777777" w:rsidR="000A3B2B" w:rsidRDefault="000A3B2B" w:rsidP="003C16E8">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wykopy i zasypka – m</w:t>
      </w:r>
      <w:r>
        <w:rPr>
          <w:rFonts w:ascii="Arial" w:hAnsi="Arial" w:cs="Arial"/>
          <w:color w:val="000000"/>
          <w:position w:val="4"/>
          <w:sz w:val="8"/>
          <w:szCs w:val="8"/>
          <w:lang w:val="x-none"/>
        </w:rPr>
        <w:t>3</w:t>
      </w:r>
      <w:r>
        <w:rPr>
          <w:rFonts w:ascii="Arial" w:hAnsi="Arial" w:cs="Arial"/>
          <w:color w:val="000000"/>
          <w:sz w:val="18"/>
          <w:szCs w:val="18"/>
          <w:lang w:val="x-none"/>
        </w:rPr>
        <w:t>,</w:t>
      </w:r>
    </w:p>
    <w:p w14:paraId="06E191BE" w14:textId="77777777" w:rsidR="000A3B2B" w:rsidRDefault="000A3B2B" w:rsidP="003C16E8">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umocnienie ścian wykopów – m</w:t>
      </w:r>
      <w:r>
        <w:rPr>
          <w:rFonts w:ascii="Arial" w:hAnsi="Arial" w:cs="Arial"/>
          <w:color w:val="000000"/>
          <w:position w:val="4"/>
          <w:sz w:val="8"/>
          <w:szCs w:val="8"/>
          <w:lang w:val="x-none"/>
        </w:rPr>
        <w:t>2</w:t>
      </w:r>
      <w:r>
        <w:rPr>
          <w:rFonts w:ascii="Arial" w:hAnsi="Arial" w:cs="Arial"/>
          <w:color w:val="000000"/>
          <w:sz w:val="18"/>
          <w:szCs w:val="18"/>
          <w:lang w:val="x-none"/>
        </w:rPr>
        <w:t>,</w:t>
      </w:r>
    </w:p>
    <w:p w14:paraId="16A0E557" w14:textId="77777777" w:rsidR="000A3B2B" w:rsidRDefault="000A3B2B" w:rsidP="003C16E8">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wykonanie podłoża – m</w:t>
      </w:r>
      <w:r>
        <w:rPr>
          <w:rFonts w:ascii="Arial" w:hAnsi="Arial" w:cs="Arial"/>
          <w:color w:val="000000"/>
          <w:position w:val="4"/>
          <w:sz w:val="8"/>
          <w:szCs w:val="8"/>
          <w:lang w:val="x-none"/>
        </w:rPr>
        <w:t>3</w:t>
      </w:r>
      <w:r>
        <w:rPr>
          <w:rFonts w:ascii="Arial" w:hAnsi="Arial" w:cs="Arial"/>
          <w:color w:val="000000"/>
          <w:sz w:val="18"/>
          <w:szCs w:val="18"/>
          <w:lang w:val="x-none"/>
        </w:rPr>
        <w:t xml:space="preserve"> (lub m</w:t>
      </w:r>
      <w:r>
        <w:rPr>
          <w:rFonts w:ascii="Arial" w:hAnsi="Arial" w:cs="Arial"/>
          <w:color w:val="000000"/>
          <w:position w:val="4"/>
          <w:sz w:val="8"/>
          <w:szCs w:val="8"/>
          <w:lang w:val="x-none"/>
        </w:rPr>
        <w:t>2</w:t>
      </w:r>
      <w:r>
        <w:rPr>
          <w:rFonts w:ascii="Arial" w:hAnsi="Arial" w:cs="Arial"/>
          <w:color w:val="000000"/>
          <w:sz w:val="18"/>
          <w:szCs w:val="18"/>
          <w:lang w:val="x-none"/>
        </w:rPr>
        <w:t xml:space="preserve"> wraz z podaniem grubości warstwy w m).</w:t>
      </w:r>
    </w:p>
    <w:p w14:paraId="358B00BD" w14:textId="77777777" w:rsidR="000A3B2B" w:rsidRDefault="000A3B2B" w:rsidP="003C16E8">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7.2.2.</w:t>
      </w:r>
      <w:r>
        <w:rPr>
          <w:rFonts w:ascii="Arial" w:hAnsi="Arial" w:cs="Arial"/>
          <w:b/>
          <w:bCs/>
          <w:color w:val="000000"/>
          <w:sz w:val="18"/>
          <w:szCs w:val="18"/>
          <w:lang w:val="x-none"/>
        </w:rPr>
        <w:tab/>
        <w:t>Jednostki i zasady obmiaru robót podstawowych</w:t>
      </w:r>
    </w:p>
    <w:p w14:paraId="30A82D1A" w14:textId="77777777" w:rsidR="000A3B2B" w:rsidRDefault="000A3B2B" w:rsidP="003C16E8">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Obmiaru robót podstawowych sieci i przyłączy kanalizacyjnych (w przypadku wyceny robót w oparciu o KNR 2-18 lub KNNR 4) dokonuje się z uwzględnieniem podziału na:</w:t>
      </w:r>
    </w:p>
    <w:p w14:paraId="3ED6FB23" w14:textId="77777777" w:rsidR="000A3B2B" w:rsidRDefault="000A3B2B" w:rsidP="003C16E8">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rodzaj rur i ich średnice,</w:t>
      </w:r>
    </w:p>
    <w:p w14:paraId="586D4C7F" w14:textId="77777777" w:rsidR="000A3B2B" w:rsidRDefault="000A3B2B" w:rsidP="003C16E8">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rodzaj wykopu – o ścianach pionowych lub skarpowych,</w:t>
      </w:r>
    </w:p>
    <w:p w14:paraId="741C9BB8" w14:textId="77777777" w:rsidR="000A3B2B" w:rsidRDefault="000A3B2B" w:rsidP="003C16E8">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głębokość posadowienia rurociągu licząc od powierzchni terenu,</w:t>
      </w:r>
    </w:p>
    <w:p w14:paraId="088EDE27" w14:textId="77777777" w:rsidR="000A3B2B" w:rsidRDefault="000A3B2B" w:rsidP="003C16E8">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poziom wody gruntowej.</w:t>
      </w:r>
    </w:p>
    <w:p w14:paraId="6BED3ED4" w14:textId="77777777" w:rsidR="000A3B2B" w:rsidRDefault="000A3B2B" w:rsidP="003C16E8">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Długość kanałów obmierza się w metrach wzdłuż osi. Do długości kanałów nie wlicza się komór i studni rewizyjnych (licząc ich wymiar wewnętrzny).</w:t>
      </w:r>
    </w:p>
    <w:p w14:paraId="079041DB" w14:textId="77777777" w:rsidR="000A3B2B" w:rsidRDefault="000A3B2B" w:rsidP="003C16E8">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Zwężki zalicza się do przewodów o większej średnicy.</w:t>
      </w:r>
    </w:p>
    <w:p w14:paraId="443B2555" w14:textId="77777777" w:rsidR="000A3B2B" w:rsidRDefault="000A3B2B" w:rsidP="003C16E8">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Podłoża pod rurociągi obmierza się w metrach kwadratowych, a obetonowanie kanałów – w metrach sześciennych zużytego betonu.</w:t>
      </w:r>
    </w:p>
    <w:p w14:paraId="2C13FF41" w14:textId="77777777" w:rsidR="000A3B2B" w:rsidRDefault="000A3B2B" w:rsidP="003C16E8">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Kształtek nie wlicza się do długości rurociągu, a oblicza się ich liczbę w sztukach.</w:t>
      </w:r>
    </w:p>
    <w:p w14:paraId="16341E22" w14:textId="77777777" w:rsidR="000A3B2B" w:rsidRDefault="000A3B2B" w:rsidP="003C16E8">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Studnie rewizyjne z prefabrykatów betonowych i tworzyw sztucznych oblicza się w kompletach zależnie od średnicy, rodzaju gruntów (dla studni wykonywanych metodą studniarską) i głębokości. Głębokość studni określa się jako różnicę rzędnych włazu i dna studni.</w:t>
      </w:r>
    </w:p>
    <w:p w14:paraId="6874B6B2" w14:textId="77777777" w:rsidR="000A3B2B" w:rsidRDefault="000A3B2B" w:rsidP="003C16E8">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Długość odcinków kanałów i kolektorów poddanych próbie szczelności należy mierzyć między osiami studzienek rewizyjnych, ograniczających odcinek poddany próbie.</w:t>
      </w:r>
    </w:p>
    <w:p w14:paraId="6091BB48" w14:textId="77777777" w:rsidR="000A3B2B" w:rsidRDefault="000A3B2B" w:rsidP="003C16E8">
      <w:pPr>
        <w:autoSpaceDE w:val="0"/>
        <w:autoSpaceDN w:val="0"/>
        <w:adjustRightInd w:val="0"/>
        <w:spacing w:after="30" w:line="240" w:lineRule="auto"/>
        <w:jc w:val="both"/>
        <w:rPr>
          <w:rFonts w:ascii="Arial" w:hAnsi="Arial" w:cs="Arial"/>
          <w:i/>
          <w:iCs/>
          <w:color w:val="000000"/>
          <w:sz w:val="18"/>
          <w:szCs w:val="18"/>
          <w:lang w:val="x-none"/>
        </w:rPr>
      </w:pPr>
      <w:r>
        <w:rPr>
          <w:rFonts w:ascii="Arial" w:hAnsi="Arial" w:cs="Arial"/>
          <w:b/>
          <w:bCs/>
          <w:i/>
          <w:iCs/>
          <w:color w:val="000000"/>
          <w:sz w:val="18"/>
          <w:szCs w:val="18"/>
          <w:lang w:val="x-none"/>
        </w:rPr>
        <w:t>Wariant II</w:t>
      </w:r>
      <w:r>
        <w:rPr>
          <w:rFonts w:ascii="Arial" w:hAnsi="Arial" w:cs="Arial"/>
          <w:i/>
          <w:iCs/>
          <w:color w:val="000000"/>
          <w:sz w:val="18"/>
          <w:szCs w:val="18"/>
          <w:lang w:val="x-none"/>
        </w:rPr>
        <w:t xml:space="preserve"> – Przy wyższym poziomie agregacji robót</w:t>
      </w:r>
    </w:p>
    <w:p w14:paraId="51CA9338" w14:textId="77777777" w:rsidR="000A3B2B" w:rsidRDefault="000A3B2B" w:rsidP="003C16E8">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 xml:space="preserve">Sieci kanalizacyjne </w:t>
      </w:r>
      <w:proofErr w:type="spellStart"/>
      <w:r>
        <w:rPr>
          <w:rFonts w:ascii="Arial" w:hAnsi="Arial" w:cs="Arial"/>
          <w:color w:val="000000"/>
          <w:sz w:val="18"/>
          <w:szCs w:val="18"/>
          <w:lang w:val="x-none"/>
        </w:rPr>
        <w:t>obmiaruje</w:t>
      </w:r>
      <w:proofErr w:type="spellEnd"/>
      <w:r>
        <w:rPr>
          <w:rFonts w:ascii="Arial" w:hAnsi="Arial" w:cs="Arial"/>
          <w:color w:val="000000"/>
          <w:sz w:val="18"/>
          <w:szCs w:val="18"/>
          <w:lang w:val="x-none"/>
        </w:rPr>
        <w:t xml:space="preserve"> się w metrach długości tych sieci łącznie z kształtkami, studzienkami i komorami. Ten poziom agregacji obejmuje wykonanie robót tymczasowych i towarzyszących.</w:t>
      </w:r>
    </w:p>
    <w:tbl>
      <w:tblPr>
        <w:tblW w:w="0" w:type="auto"/>
        <w:tblCellSpacing w:w="0" w:type="dxa"/>
        <w:tblInd w:w="-8" w:type="dxa"/>
        <w:tblLayout w:type="fixed"/>
        <w:tblCellMar>
          <w:left w:w="0" w:type="dxa"/>
          <w:right w:w="0" w:type="dxa"/>
        </w:tblCellMar>
        <w:tblLook w:val="0000" w:firstRow="0" w:lastRow="0" w:firstColumn="0" w:lastColumn="0" w:noHBand="0" w:noVBand="0"/>
      </w:tblPr>
      <w:tblGrid>
        <w:gridCol w:w="9532"/>
      </w:tblGrid>
      <w:tr w:rsidR="000A3B2B" w14:paraId="0E7C77C4" w14:textId="77777777" w:rsidTr="00443121">
        <w:trPr>
          <w:trHeight w:val="60"/>
          <w:tblCellSpacing w:w="0" w:type="dxa"/>
        </w:trPr>
        <w:tc>
          <w:tcPr>
            <w:tcW w:w="9532" w:type="dxa"/>
            <w:tcBorders>
              <w:top w:val="single" w:sz="6" w:space="0" w:color="000000"/>
              <w:left w:val="single" w:sz="6" w:space="0" w:color="000000"/>
              <w:bottom w:val="single" w:sz="6" w:space="0" w:color="000000"/>
              <w:right w:val="single" w:sz="6" w:space="0" w:color="000000"/>
            </w:tcBorders>
          </w:tcPr>
          <w:p w14:paraId="637EB1EB" w14:textId="77777777" w:rsidR="000A3B2B" w:rsidRDefault="000A3B2B" w:rsidP="00443121">
            <w:pPr>
              <w:autoSpaceDE w:val="0"/>
              <w:autoSpaceDN w:val="0"/>
              <w:adjustRightInd w:val="0"/>
              <w:spacing w:after="30" w:line="240" w:lineRule="auto"/>
              <w:jc w:val="both"/>
              <w:rPr>
                <w:rFonts w:ascii="Arial" w:hAnsi="Arial" w:cs="Arial"/>
                <w:i/>
                <w:iCs/>
                <w:color w:val="000000"/>
                <w:sz w:val="18"/>
                <w:szCs w:val="18"/>
                <w:lang w:val="x-none"/>
              </w:rPr>
            </w:pPr>
            <w:r>
              <w:rPr>
                <w:rFonts w:ascii="Arial" w:hAnsi="Arial" w:cs="Arial"/>
                <w:i/>
                <w:iCs/>
                <w:color w:val="000000"/>
                <w:sz w:val="18"/>
                <w:szCs w:val="18"/>
                <w:lang w:val="x-none"/>
              </w:rPr>
              <w:t>Uwaga. Ustalając treść szczegółowej specyfikacji technicznej dla konkretnej dokumentacji projektowej należy wybrać tylko jeden wariant uzgodniony z Zamawiającym.</w:t>
            </w:r>
          </w:p>
        </w:tc>
      </w:tr>
    </w:tbl>
    <w:p w14:paraId="580B4330" w14:textId="77777777" w:rsidR="000A3B2B" w:rsidRDefault="000A3B2B" w:rsidP="003C16E8">
      <w:pPr>
        <w:autoSpaceDE w:val="0"/>
        <w:autoSpaceDN w:val="0"/>
        <w:adjustRightInd w:val="0"/>
        <w:spacing w:after="30" w:line="240" w:lineRule="auto"/>
        <w:jc w:val="both"/>
        <w:rPr>
          <w:rFonts w:ascii="Arial" w:hAnsi="Arial" w:cs="Arial"/>
          <w:i/>
          <w:iCs/>
          <w:color w:val="000000"/>
          <w:sz w:val="18"/>
          <w:szCs w:val="18"/>
          <w:lang w:val="x-none"/>
        </w:rPr>
      </w:pPr>
    </w:p>
    <w:p w14:paraId="431D6FFD" w14:textId="77777777" w:rsidR="000A3B2B" w:rsidRDefault="000A3B2B" w:rsidP="003C16E8">
      <w:pPr>
        <w:autoSpaceDE w:val="0"/>
        <w:autoSpaceDN w:val="0"/>
        <w:adjustRightInd w:val="0"/>
        <w:spacing w:after="30" w:line="240" w:lineRule="auto"/>
        <w:jc w:val="both"/>
        <w:rPr>
          <w:rFonts w:ascii="Arial" w:hAnsi="Arial" w:cs="Arial"/>
          <w:color w:val="000000"/>
          <w:sz w:val="18"/>
          <w:szCs w:val="18"/>
          <w:lang w:val="x-none"/>
        </w:rPr>
      </w:pPr>
    </w:p>
    <w:p w14:paraId="5B5E17CC" w14:textId="77777777" w:rsidR="000A3B2B" w:rsidRDefault="000A3B2B" w:rsidP="003C16E8">
      <w:pPr>
        <w:autoSpaceDE w:val="0"/>
        <w:autoSpaceDN w:val="0"/>
        <w:adjustRightInd w:val="0"/>
        <w:spacing w:before="225" w:after="12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8.</w:t>
      </w:r>
      <w:r>
        <w:rPr>
          <w:rFonts w:ascii="Arial" w:hAnsi="Arial" w:cs="Arial"/>
          <w:b/>
          <w:bCs/>
          <w:color w:val="000000"/>
          <w:sz w:val="18"/>
          <w:szCs w:val="18"/>
          <w:lang w:val="x-none"/>
        </w:rPr>
        <w:tab/>
        <w:t>SPOSÓB ODBIORU ROBÓT</w:t>
      </w:r>
    </w:p>
    <w:p w14:paraId="43C3D39D" w14:textId="77777777" w:rsidR="000A3B2B" w:rsidRDefault="000A3B2B" w:rsidP="003C16E8">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8.1.</w:t>
      </w:r>
      <w:r>
        <w:rPr>
          <w:rFonts w:ascii="Arial" w:hAnsi="Arial" w:cs="Arial"/>
          <w:b/>
          <w:bCs/>
          <w:color w:val="000000"/>
          <w:sz w:val="18"/>
          <w:szCs w:val="18"/>
          <w:lang w:val="x-none"/>
        </w:rPr>
        <w:tab/>
        <w:t>Ogólne zasady odbioru robót podano w ST „Wymagania ogólne” Kod CPV 45000000-7, pkt 8</w:t>
      </w:r>
    </w:p>
    <w:p w14:paraId="4A99F418" w14:textId="77777777" w:rsidR="000A3B2B" w:rsidRDefault="000A3B2B" w:rsidP="003C16E8">
      <w:pPr>
        <w:autoSpaceDE w:val="0"/>
        <w:autoSpaceDN w:val="0"/>
        <w:adjustRightInd w:val="0"/>
        <w:spacing w:after="0" w:line="240" w:lineRule="auto"/>
        <w:ind w:left="390" w:hanging="390"/>
        <w:jc w:val="both"/>
        <w:rPr>
          <w:rFonts w:ascii="Arial" w:hAnsi="Arial" w:cs="Arial"/>
          <w:b/>
          <w:bCs/>
          <w:color w:val="000000"/>
          <w:sz w:val="18"/>
          <w:szCs w:val="18"/>
          <w:lang w:val="x-none"/>
        </w:rPr>
      </w:pPr>
    </w:p>
    <w:p w14:paraId="0F361031" w14:textId="77777777" w:rsidR="000A3B2B" w:rsidRDefault="000A3B2B" w:rsidP="003C16E8">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8.2.</w:t>
      </w:r>
      <w:r>
        <w:rPr>
          <w:rFonts w:ascii="Arial" w:hAnsi="Arial" w:cs="Arial"/>
          <w:b/>
          <w:bCs/>
          <w:color w:val="000000"/>
          <w:sz w:val="18"/>
          <w:szCs w:val="18"/>
          <w:lang w:val="x-none"/>
        </w:rPr>
        <w:tab/>
        <w:t xml:space="preserve">Badanie przy odbiorze sieci kanalizacyjnych należy przeprowadzić zgodnie z ustaleniami podanymi w pkt. 7.2. </w:t>
      </w:r>
      <w:proofErr w:type="spellStart"/>
      <w:r>
        <w:rPr>
          <w:rFonts w:ascii="Arial" w:hAnsi="Arial" w:cs="Arial"/>
          <w:b/>
          <w:bCs/>
          <w:color w:val="000000"/>
          <w:sz w:val="18"/>
          <w:szCs w:val="18"/>
          <w:lang w:val="x-none"/>
        </w:rPr>
        <w:t>WTWiO</w:t>
      </w:r>
      <w:proofErr w:type="spellEnd"/>
      <w:r>
        <w:rPr>
          <w:rFonts w:ascii="Arial" w:hAnsi="Arial" w:cs="Arial"/>
          <w:b/>
          <w:bCs/>
          <w:color w:val="000000"/>
          <w:sz w:val="18"/>
          <w:szCs w:val="18"/>
          <w:lang w:val="x-none"/>
        </w:rPr>
        <w:t xml:space="preserve"> sieci kanalizacyjnych</w:t>
      </w:r>
    </w:p>
    <w:p w14:paraId="2817E89E" w14:textId="77777777" w:rsidR="000A3B2B" w:rsidRDefault="000A3B2B" w:rsidP="003C16E8">
      <w:pPr>
        <w:autoSpaceDE w:val="0"/>
        <w:autoSpaceDN w:val="0"/>
        <w:adjustRightInd w:val="0"/>
        <w:spacing w:after="0" w:line="240" w:lineRule="auto"/>
        <w:ind w:left="390" w:hanging="390"/>
        <w:jc w:val="both"/>
        <w:rPr>
          <w:rFonts w:ascii="Arial" w:hAnsi="Arial" w:cs="Arial"/>
          <w:b/>
          <w:bCs/>
          <w:color w:val="000000"/>
          <w:sz w:val="18"/>
          <w:szCs w:val="18"/>
          <w:lang w:val="x-none"/>
        </w:rPr>
      </w:pPr>
    </w:p>
    <w:p w14:paraId="3843AD72" w14:textId="77777777" w:rsidR="000A3B2B" w:rsidRDefault="000A3B2B" w:rsidP="003C16E8">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8.3.</w:t>
      </w:r>
      <w:r>
        <w:rPr>
          <w:rFonts w:ascii="Arial" w:hAnsi="Arial" w:cs="Arial"/>
          <w:b/>
          <w:bCs/>
          <w:color w:val="000000"/>
          <w:sz w:val="18"/>
          <w:szCs w:val="18"/>
          <w:lang w:val="x-none"/>
        </w:rPr>
        <w:tab/>
        <w:t>Badania przy odbiorze – rodzaje badań</w:t>
      </w:r>
    </w:p>
    <w:p w14:paraId="1761C329" w14:textId="77777777" w:rsidR="000A3B2B" w:rsidRDefault="000A3B2B" w:rsidP="003C16E8">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Badania przy odbiorze przewodów sieci kanalizacyjnej zależne są od rodzaju odbioru technicznego robót. Odbiory techniczne robót składają się z odbioru technicznego częściowego dla robót zanikających i odbioru technicznego końcowego po zakończeniu budowy.</w:t>
      </w:r>
    </w:p>
    <w:p w14:paraId="1C88C015" w14:textId="77777777" w:rsidR="000A3B2B" w:rsidRDefault="000A3B2B" w:rsidP="003C16E8">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Badania przy odbiorze powinny być zgodne z PN-EN 1610:2015.</w:t>
      </w:r>
    </w:p>
    <w:p w14:paraId="453DA458" w14:textId="77777777" w:rsidR="000A3B2B" w:rsidRDefault="000A3B2B" w:rsidP="003C16E8">
      <w:pPr>
        <w:autoSpaceDE w:val="0"/>
        <w:autoSpaceDN w:val="0"/>
        <w:adjustRightInd w:val="0"/>
        <w:spacing w:after="30" w:line="240" w:lineRule="auto"/>
        <w:jc w:val="both"/>
        <w:rPr>
          <w:rFonts w:ascii="Arial" w:hAnsi="Arial" w:cs="Arial"/>
          <w:color w:val="000000"/>
          <w:sz w:val="18"/>
          <w:szCs w:val="18"/>
          <w:lang w:val="x-none"/>
        </w:rPr>
      </w:pPr>
    </w:p>
    <w:p w14:paraId="68D69F14" w14:textId="77777777" w:rsidR="000A3B2B" w:rsidRDefault="000A3B2B" w:rsidP="003C16E8">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8.4.</w:t>
      </w:r>
      <w:r>
        <w:rPr>
          <w:rFonts w:ascii="Arial" w:hAnsi="Arial" w:cs="Arial"/>
          <w:b/>
          <w:bCs/>
          <w:color w:val="000000"/>
          <w:sz w:val="18"/>
          <w:szCs w:val="18"/>
          <w:lang w:val="x-none"/>
        </w:rPr>
        <w:tab/>
        <w:t>Odbiór techniczny częściowy</w:t>
      </w:r>
    </w:p>
    <w:p w14:paraId="0CA1BDAD" w14:textId="77777777" w:rsidR="000A3B2B" w:rsidRDefault="000A3B2B" w:rsidP="003C16E8">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Badania przy odbiorze technicznym częściowym polegają na:</w:t>
      </w:r>
    </w:p>
    <w:p w14:paraId="33F64F8B" w14:textId="77777777" w:rsidR="000A3B2B" w:rsidRDefault="000A3B2B" w:rsidP="003C16E8">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zbadaniu zgodności usytuowania i długości przewodu z dokumentacją. Dopuszczalne odchylenie w planie osi przewodu od osi wytyczonej nie powinno przekraczać ±2 cm, </w:t>
      </w:r>
    </w:p>
    <w:p w14:paraId="0B565C18" w14:textId="77777777" w:rsidR="000A3B2B" w:rsidRDefault="000A3B2B" w:rsidP="003C16E8">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zbadaniu podłoża naturalnego przez sprawdzenie nienaruszenia gruntu. W przypadku naruszenia podłoża naturalnego, sposób jego zagęszczenia powinien być uzgodniony z projektantem lub nadzorem,</w:t>
      </w:r>
    </w:p>
    <w:p w14:paraId="0B17BAF8" w14:textId="77777777" w:rsidR="000A3B2B" w:rsidRDefault="000A3B2B" w:rsidP="003C16E8">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zbadaniu podłoża wzmocnionego przez sprawdzenie jego grubości i rodzaju, zgodnie z dokumentacją,</w:t>
      </w:r>
    </w:p>
    <w:p w14:paraId="286C830D" w14:textId="77777777" w:rsidR="000A3B2B" w:rsidRDefault="000A3B2B" w:rsidP="003C16E8">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zbadaniu materiału ziemnego użytego do podsypki i </w:t>
      </w:r>
      <w:proofErr w:type="spellStart"/>
      <w:r>
        <w:rPr>
          <w:rFonts w:ascii="Arial" w:hAnsi="Arial" w:cs="Arial"/>
          <w:color w:val="000000"/>
          <w:sz w:val="18"/>
          <w:szCs w:val="18"/>
          <w:lang w:val="x-none"/>
        </w:rPr>
        <w:t>obsypki</w:t>
      </w:r>
      <w:proofErr w:type="spellEnd"/>
      <w:r>
        <w:rPr>
          <w:rFonts w:ascii="Arial" w:hAnsi="Arial" w:cs="Arial"/>
          <w:color w:val="000000"/>
          <w:sz w:val="18"/>
          <w:szCs w:val="18"/>
          <w:lang w:val="x-none"/>
        </w:rPr>
        <w:t xml:space="preserve"> przewodu, który powinien być drobny i średnioziarnisty, bez grud i kamieni,</w:t>
      </w:r>
    </w:p>
    <w:p w14:paraId="65EC6416" w14:textId="77777777" w:rsidR="000A3B2B" w:rsidRDefault="000A3B2B" w:rsidP="003C16E8">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zbadaniu szczelności przewodu. Badanie szczelności należy przeprowadzić zgodnie z PN-EN 1610:2015 dla kanalizacji grawitacyjnej.</w:t>
      </w:r>
    </w:p>
    <w:p w14:paraId="38C87C14" w14:textId="77777777" w:rsidR="000A3B2B" w:rsidRDefault="000A3B2B" w:rsidP="003C16E8">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 xml:space="preserve">Szczelność przewodów i studzienek kanalizacji grawitacyjnej powinna gwarantować utrzymanie przez okres 30 minut ciśnienia próbnego, wywołanego wypełnieniem badanego odcinka przewodu wodą do poziomu terenu. Ciśnienie to nie może być mniejsze niż 10 </w:t>
      </w:r>
      <w:proofErr w:type="spellStart"/>
      <w:r>
        <w:rPr>
          <w:rFonts w:ascii="Arial" w:hAnsi="Arial" w:cs="Arial"/>
          <w:color w:val="000000"/>
          <w:sz w:val="18"/>
          <w:szCs w:val="18"/>
          <w:lang w:val="x-none"/>
        </w:rPr>
        <w:t>kPa</w:t>
      </w:r>
      <w:proofErr w:type="spellEnd"/>
      <w:r>
        <w:rPr>
          <w:rFonts w:ascii="Arial" w:hAnsi="Arial" w:cs="Arial"/>
          <w:color w:val="000000"/>
          <w:sz w:val="18"/>
          <w:szCs w:val="18"/>
          <w:lang w:val="x-none"/>
        </w:rPr>
        <w:t xml:space="preserve"> i większe niż 50 </w:t>
      </w:r>
      <w:proofErr w:type="spellStart"/>
      <w:r>
        <w:rPr>
          <w:rFonts w:ascii="Arial" w:hAnsi="Arial" w:cs="Arial"/>
          <w:color w:val="000000"/>
          <w:sz w:val="18"/>
          <w:szCs w:val="18"/>
          <w:lang w:val="x-none"/>
        </w:rPr>
        <w:t>kPa</w:t>
      </w:r>
      <w:proofErr w:type="spellEnd"/>
      <w:r>
        <w:rPr>
          <w:rFonts w:ascii="Arial" w:hAnsi="Arial" w:cs="Arial"/>
          <w:color w:val="000000"/>
          <w:sz w:val="18"/>
          <w:szCs w:val="18"/>
          <w:lang w:val="x-none"/>
        </w:rPr>
        <w:t>, licząc od poziomu wierzchu rury.</w:t>
      </w:r>
    </w:p>
    <w:p w14:paraId="7E4CEE2B" w14:textId="77777777" w:rsidR="000A3B2B" w:rsidRDefault="000A3B2B" w:rsidP="003C16E8">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Dopuszcza się wykonywanie próby szczelności za pomocą powietrza wg PN-EN 1610:2015.</w:t>
      </w:r>
    </w:p>
    <w:p w14:paraId="6859DED4" w14:textId="77777777" w:rsidR="000A3B2B" w:rsidRDefault="000A3B2B" w:rsidP="003C16E8">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Wyniki badań, powinny być wpisane do dziennika budowy, który z protokołem próby szczelności przewodu, inwentaryzacją geodezyjną (dopuszcza się inwentaryzację szkicową) oraz dokumentami świadczącymi o dopuszczeniu rur, kształtek i studzienek kanalizacyjnych, zgodnie z właściwymi przepisami, do obrotu lub udostępnieniu na rynku krajowym bądź do jednostkowego zastosowania, jest przedłożony podczas spisywania protokołu odbioru technicznego – częściowego (załącznik 1), który stanowi podstawę do decyzji o możliwości zasypywania odebranego odcinka przewodu sieci kanalizacyjnej.</w:t>
      </w:r>
    </w:p>
    <w:p w14:paraId="5AC66AEB" w14:textId="77777777" w:rsidR="000A3B2B" w:rsidRDefault="000A3B2B" w:rsidP="003C16E8">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Wymagane jest także dokonanie wpisu do dziennika budowy o wykonaniu odbioru technicznego częściowego. Kierownik budowy jest zobowiązany, zgodnie z art. 22 ustawy Prawo budowlane, przy odbiorze technicznym – częściowym przewodu kanalizacyjnego, zgłosić inwestorowi do odbioru roboty ulegające zakryciu, zapewnić dokonanie prób i sprawdzenie przewodu, zapewnić geodezyjną inwentaryzację przewodu, przygotować dokumentację powykonawczą.</w:t>
      </w:r>
    </w:p>
    <w:p w14:paraId="09009589" w14:textId="77777777" w:rsidR="000A3B2B" w:rsidRDefault="000A3B2B" w:rsidP="003C16E8">
      <w:pPr>
        <w:autoSpaceDE w:val="0"/>
        <w:autoSpaceDN w:val="0"/>
        <w:adjustRightInd w:val="0"/>
        <w:spacing w:after="30" w:line="240" w:lineRule="auto"/>
        <w:jc w:val="both"/>
        <w:rPr>
          <w:rFonts w:ascii="Arial" w:hAnsi="Arial" w:cs="Arial"/>
          <w:color w:val="000000"/>
          <w:sz w:val="18"/>
          <w:szCs w:val="18"/>
          <w:lang w:val="x-none"/>
        </w:rPr>
      </w:pPr>
    </w:p>
    <w:p w14:paraId="76756C47" w14:textId="77777777" w:rsidR="000A3B2B" w:rsidRDefault="000A3B2B" w:rsidP="003C16E8">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8.5.</w:t>
      </w:r>
      <w:r>
        <w:rPr>
          <w:rFonts w:ascii="Arial" w:hAnsi="Arial" w:cs="Arial"/>
          <w:b/>
          <w:bCs/>
          <w:color w:val="000000"/>
          <w:sz w:val="18"/>
          <w:szCs w:val="18"/>
          <w:lang w:val="x-none"/>
        </w:rPr>
        <w:tab/>
        <w:t>Odbiór techniczny końcowy</w:t>
      </w:r>
    </w:p>
    <w:p w14:paraId="11C7D2E3" w14:textId="77777777" w:rsidR="000A3B2B" w:rsidRDefault="000A3B2B" w:rsidP="003C16E8">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Badania przy odbiorze technicznym końcowym polegają na:</w:t>
      </w:r>
    </w:p>
    <w:p w14:paraId="39F201F1" w14:textId="77777777" w:rsidR="000A3B2B" w:rsidRDefault="000A3B2B" w:rsidP="003C16E8">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zbadaniu zgodności dokumentacji technicznej ze stanem faktycznym i inwentaryzacją geodezyjną, </w:t>
      </w:r>
    </w:p>
    <w:p w14:paraId="14414C3A" w14:textId="77777777" w:rsidR="000A3B2B" w:rsidRDefault="000A3B2B" w:rsidP="003C16E8">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zbadaniu zgodności protokołu odbioru wyników badań stopnia zagęszczenia gruntu zasypki wykopu,</w:t>
      </w:r>
    </w:p>
    <w:p w14:paraId="28160019" w14:textId="77777777" w:rsidR="000A3B2B" w:rsidRDefault="000A3B2B" w:rsidP="003C16E8">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zbadaniu rozstawu studzienek kanalizacyjnych,</w:t>
      </w:r>
    </w:p>
    <w:p w14:paraId="6F0E8D4E" w14:textId="77777777" w:rsidR="000A3B2B" w:rsidRDefault="000A3B2B" w:rsidP="003C16E8">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zbadaniu protokołów odbiorów prób szczelności przewodów kanalizacyjnych.</w:t>
      </w:r>
    </w:p>
    <w:p w14:paraId="1C4FDB74" w14:textId="77777777" w:rsidR="000A3B2B" w:rsidRDefault="000A3B2B" w:rsidP="003C16E8">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Wyniki badań powinny być wpisane do dziennika budowy, który z:</w:t>
      </w:r>
    </w:p>
    <w:p w14:paraId="3EA2BD31" w14:textId="77777777" w:rsidR="000A3B2B" w:rsidRDefault="000A3B2B" w:rsidP="003C16E8">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protokołami odbiorów technicznych częściowych przewodu kanalizacyjnego (załącznik 1),</w:t>
      </w:r>
    </w:p>
    <w:p w14:paraId="0440E8A8" w14:textId="77777777" w:rsidR="000A3B2B" w:rsidRDefault="000A3B2B" w:rsidP="003C16E8">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projektem ze zmianami wprowadzonymi podczas budowy, </w:t>
      </w:r>
    </w:p>
    <w:p w14:paraId="492A1F11" w14:textId="77777777" w:rsidR="000A3B2B" w:rsidRDefault="000A3B2B" w:rsidP="003C16E8">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wynikami badań stopnia zagęszczenia gruntu zasypki wykopu,</w:t>
      </w:r>
    </w:p>
    <w:p w14:paraId="6FF6A531" w14:textId="77777777" w:rsidR="000A3B2B" w:rsidRDefault="000A3B2B" w:rsidP="003C16E8">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inwentaryzacją geodezyjną,</w:t>
      </w:r>
    </w:p>
    <w:p w14:paraId="642C36B8" w14:textId="77777777" w:rsidR="000A3B2B" w:rsidRDefault="000A3B2B" w:rsidP="003C16E8">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protokołem szczelności systemu kanalizacji grawitacyjnej (załącznik 2),</w:t>
      </w:r>
    </w:p>
    <w:p w14:paraId="0F3C1CAB" w14:textId="77777777" w:rsidR="000A3B2B" w:rsidRDefault="000A3B2B" w:rsidP="003C16E8">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należy przekazać inwestorowi wraz z wykonanym przewodem sieci kanalizacyjnej.</w:t>
      </w:r>
    </w:p>
    <w:p w14:paraId="10248E36" w14:textId="77777777" w:rsidR="000A3B2B" w:rsidRDefault="000A3B2B" w:rsidP="003C16E8">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Konieczne jest dokonanie wpisu do dziennika budowy o wykonaniu odbioru technicznego końcowego.</w:t>
      </w:r>
    </w:p>
    <w:p w14:paraId="65706909" w14:textId="77777777" w:rsidR="000A3B2B" w:rsidRDefault="000A3B2B" w:rsidP="003C16E8">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Teren po budowie przewodu kanalizacyjnego powinien być doprowadzony do pierwotnego stanu.</w:t>
      </w:r>
    </w:p>
    <w:p w14:paraId="247A59AF" w14:textId="77777777" w:rsidR="000A3B2B" w:rsidRDefault="000A3B2B" w:rsidP="003C16E8">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Kierownik budowy przekazuje inwestorowi instrukcję obsługi określonego systemu kanalizacyjnego.</w:t>
      </w:r>
    </w:p>
    <w:p w14:paraId="04CF5922" w14:textId="77777777" w:rsidR="000A3B2B" w:rsidRDefault="000A3B2B" w:rsidP="003C16E8">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Kierownik budowy jest zobowiązany, zgodnie z art. 57 ust. 1 p. 2 ustawy Prawo budowlane, przy odbiorze końcowym złożyć oświadczenia:</w:t>
      </w:r>
    </w:p>
    <w:p w14:paraId="219B1690" w14:textId="77777777" w:rsidR="000A3B2B" w:rsidRDefault="000A3B2B" w:rsidP="003C16E8">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o wykonaniu przewodu kanalizacyjnego zgodnie z dokumentacją projektową i warunkami pozwolenia na budowę,</w:t>
      </w:r>
    </w:p>
    <w:p w14:paraId="55BD6867" w14:textId="77777777" w:rsidR="000A3B2B" w:rsidRDefault="000A3B2B" w:rsidP="003C16E8">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o doprowadzeniu do należytego stanu i porządku terenu budowy, a także – w razie korzystania – ulicy i sąsiadującej z budową nieruchomości.</w:t>
      </w:r>
    </w:p>
    <w:p w14:paraId="5E5B2C4E" w14:textId="77777777" w:rsidR="000A3B2B" w:rsidRDefault="000A3B2B" w:rsidP="003C16E8">
      <w:pPr>
        <w:autoSpaceDE w:val="0"/>
        <w:autoSpaceDN w:val="0"/>
        <w:adjustRightInd w:val="0"/>
        <w:spacing w:after="30" w:line="240" w:lineRule="auto"/>
        <w:jc w:val="both"/>
        <w:rPr>
          <w:rFonts w:ascii="Arial" w:hAnsi="Arial" w:cs="Arial"/>
          <w:color w:val="000000"/>
          <w:sz w:val="18"/>
          <w:szCs w:val="18"/>
          <w:lang w:val="x-none"/>
        </w:rPr>
      </w:pPr>
    </w:p>
    <w:p w14:paraId="6ABF93F6" w14:textId="77777777" w:rsidR="000A3B2B" w:rsidRDefault="000A3B2B" w:rsidP="003C16E8">
      <w:pPr>
        <w:autoSpaceDE w:val="0"/>
        <w:autoSpaceDN w:val="0"/>
        <w:adjustRightInd w:val="0"/>
        <w:spacing w:before="225" w:after="12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9.</w:t>
      </w:r>
      <w:r>
        <w:rPr>
          <w:rFonts w:ascii="Arial" w:hAnsi="Arial" w:cs="Arial"/>
          <w:b/>
          <w:bCs/>
          <w:color w:val="000000"/>
          <w:sz w:val="18"/>
          <w:szCs w:val="18"/>
          <w:lang w:val="x-none"/>
        </w:rPr>
        <w:tab/>
        <w:t>PODSTAWA ROZLICZENIA ROBÓT</w:t>
      </w:r>
    </w:p>
    <w:p w14:paraId="529C2639" w14:textId="77777777" w:rsidR="000A3B2B" w:rsidRDefault="000A3B2B" w:rsidP="003C16E8">
      <w:pPr>
        <w:autoSpaceDE w:val="0"/>
        <w:autoSpaceDN w:val="0"/>
        <w:adjustRightInd w:val="0"/>
        <w:spacing w:after="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9.1.</w:t>
      </w:r>
      <w:r>
        <w:rPr>
          <w:rFonts w:ascii="Arial" w:hAnsi="Arial" w:cs="Arial"/>
          <w:b/>
          <w:bCs/>
          <w:color w:val="000000"/>
          <w:sz w:val="18"/>
          <w:szCs w:val="18"/>
          <w:lang w:val="x-none"/>
        </w:rPr>
        <w:tab/>
        <w:t>Ogólne ustalenia dotyczące podstawy płatności podano w ST „Wymagania ogólne” Kod CPV 45000000-7,  pkt 9</w:t>
      </w:r>
    </w:p>
    <w:p w14:paraId="4B733B16" w14:textId="77777777" w:rsidR="000A3B2B" w:rsidRDefault="000A3B2B" w:rsidP="003C16E8">
      <w:pPr>
        <w:autoSpaceDE w:val="0"/>
        <w:autoSpaceDN w:val="0"/>
        <w:adjustRightInd w:val="0"/>
        <w:spacing w:after="0" w:line="240" w:lineRule="auto"/>
        <w:ind w:left="390" w:hanging="390"/>
        <w:jc w:val="both"/>
        <w:rPr>
          <w:rFonts w:ascii="Arial" w:hAnsi="Arial" w:cs="Arial"/>
          <w:b/>
          <w:bCs/>
          <w:color w:val="000000"/>
          <w:sz w:val="18"/>
          <w:szCs w:val="18"/>
          <w:lang w:val="x-none"/>
        </w:rPr>
      </w:pPr>
    </w:p>
    <w:p w14:paraId="1EAEA7CA" w14:textId="77777777" w:rsidR="000A3B2B" w:rsidRDefault="000A3B2B" w:rsidP="003C16E8">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9.2.</w:t>
      </w:r>
      <w:r>
        <w:rPr>
          <w:rFonts w:ascii="Arial" w:hAnsi="Arial" w:cs="Arial"/>
          <w:b/>
          <w:bCs/>
          <w:color w:val="000000"/>
          <w:sz w:val="18"/>
          <w:szCs w:val="18"/>
          <w:lang w:val="x-none"/>
        </w:rPr>
        <w:tab/>
        <w:t>Zasady rozliczenia i płatności</w:t>
      </w:r>
    </w:p>
    <w:p w14:paraId="2D67C055" w14:textId="77777777" w:rsidR="000A3B2B" w:rsidRDefault="000A3B2B" w:rsidP="003C16E8">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Rozliczenie robót montażowych sieci kanalizacyjnych z tworzyw sztucznych może być dokonane jednorazowo po wykonaniu pełnego zakresu robót i ich końcowym odbiorze lub etapami określonymi w umowie, po dokonaniu odbiorów częściowych robót.</w:t>
      </w:r>
    </w:p>
    <w:p w14:paraId="004A4F74" w14:textId="77777777" w:rsidR="000A3B2B" w:rsidRDefault="000A3B2B" w:rsidP="003C16E8">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 xml:space="preserve">Ostateczne rozliczenie umowy pomiędzy zamawiającym a wykonawcą następuje po dokonaniu odbioru końcowego. </w:t>
      </w:r>
    </w:p>
    <w:p w14:paraId="3DD6CF10" w14:textId="77777777" w:rsidR="000A3B2B" w:rsidRDefault="000A3B2B" w:rsidP="003C16E8">
      <w:pPr>
        <w:autoSpaceDE w:val="0"/>
        <w:autoSpaceDN w:val="0"/>
        <w:adjustRightInd w:val="0"/>
        <w:spacing w:after="30" w:line="240" w:lineRule="auto"/>
        <w:ind w:firstLine="285"/>
        <w:jc w:val="both"/>
        <w:rPr>
          <w:rFonts w:ascii="Arial" w:hAnsi="Arial" w:cs="Arial"/>
          <w:color w:val="000000"/>
          <w:sz w:val="18"/>
          <w:szCs w:val="18"/>
          <w:lang w:val="x-none"/>
        </w:rPr>
      </w:pPr>
      <w:r>
        <w:rPr>
          <w:rFonts w:ascii="Arial" w:hAnsi="Arial" w:cs="Arial"/>
          <w:color w:val="000000"/>
          <w:sz w:val="18"/>
          <w:szCs w:val="18"/>
          <w:lang w:val="x-none"/>
        </w:rPr>
        <w:t>Podstawę rozliczenia oraz płatności wykonanego i odebranego zakresu robót stanowi wartość tych robót obliczona na podstawie:</w:t>
      </w:r>
    </w:p>
    <w:p w14:paraId="74D25BF2" w14:textId="77777777" w:rsidR="000A3B2B" w:rsidRDefault="000A3B2B" w:rsidP="003C16E8">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określonych w dokumentach umownych (ofercie) cen jednostkowych i ilości robót potwierdzonych przez zamawiającego lub</w:t>
      </w:r>
    </w:p>
    <w:p w14:paraId="451E57E9" w14:textId="77777777" w:rsidR="000A3B2B" w:rsidRDefault="000A3B2B" w:rsidP="003C16E8">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ustalonej w umowie kwoty ryczałtowej za określony zakres robót.</w:t>
      </w:r>
    </w:p>
    <w:p w14:paraId="381F6F5F" w14:textId="77777777" w:rsidR="000A3B2B" w:rsidRDefault="000A3B2B" w:rsidP="003C16E8">
      <w:pPr>
        <w:autoSpaceDE w:val="0"/>
        <w:autoSpaceDN w:val="0"/>
        <w:adjustRightInd w:val="0"/>
        <w:spacing w:after="30" w:line="240" w:lineRule="auto"/>
        <w:ind w:firstLine="285"/>
        <w:jc w:val="both"/>
        <w:rPr>
          <w:rFonts w:ascii="Arial" w:hAnsi="Arial" w:cs="Arial"/>
          <w:b/>
          <w:bCs/>
          <w:color w:val="000000"/>
          <w:sz w:val="18"/>
          <w:szCs w:val="18"/>
          <w:lang w:val="x-none"/>
        </w:rPr>
      </w:pPr>
      <w:r>
        <w:rPr>
          <w:rFonts w:ascii="Arial" w:hAnsi="Arial" w:cs="Arial"/>
          <w:b/>
          <w:bCs/>
          <w:color w:val="000000"/>
          <w:sz w:val="18"/>
          <w:szCs w:val="18"/>
          <w:lang w:val="x-none"/>
        </w:rPr>
        <w:t>Ceny jednostkowe lub kwoty ryczałtowe obejmujące wykonanie robót montażowych sieci kanalizacyjnych z tworzyw sztucznych uwzględniają:</w:t>
      </w:r>
    </w:p>
    <w:p w14:paraId="29004E4E" w14:textId="77777777" w:rsidR="000A3B2B" w:rsidRDefault="000A3B2B" w:rsidP="003C16E8">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przygotowanie stanowiska roboczego,</w:t>
      </w:r>
    </w:p>
    <w:p w14:paraId="0BC8C20F" w14:textId="77777777" w:rsidR="000A3B2B" w:rsidRDefault="000A3B2B" w:rsidP="003C16E8">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dostarczenie materiałów, narzędzi i sprzętu,</w:t>
      </w:r>
    </w:p>
    <w:p w14:paraId="2FC96403" w14:textId="77777777" w:rsidR="000A3B2B" w:rsidRDefault="000A3B2B" w:rsidP="003C16E8">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obsługę sprzętu,</w:t>
      </w:r>
    </w:p>
    <w:p w14:paraId="5C0E8128" w14:textId="77777777" w:rsidR="000A3B2B" w:rsidRDefault="000A3B2B" w:rsidP="003C16E8">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przenoszenie podręcznych urządzeń i sprzętu w miarę postępu robót,</w:t>
      </w:r>
    </w:p>
    <w:p w14:paraId="337DD2F8" w14:textId="77777777" w:rsidR="000A3B2B" w:rsidRDefault="000A3B2B" w:rsidP="003C16E8">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wykonanie robót ziemnych,</w:t>
      </w:r>
    </w:p>
    <w:p w14:paraId="7D133C19" w14:textId="77777777" w:rsidR="000A3B2B" w:rsidRDefault="000A3B2B" w:rsidP="003C16E8">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montaż rurociągów, obiektów sieciowych i urządzeń,</w:t>
      </w:r>
    </w:p>
    <w:p w14:paraId="65F57A46" w14:textId="77777777" w:rsidR="000A3B2B" w:rsidRDefault="000A3B2B" w:rsidP="003C16E8">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wykonanie prób szczelności,</w:t>
      </w:r>
    </w:p>
    <w:p w14:paraId="1560BE8D" w14:textId="77777777" w:rsidR="000A3B2B" w:rsidRDefault="000A3B2B" w:rsidP="003C16E8">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usunięcie wad i usterek powstałych w czasie wykonywania robót,</w:t>
      </w:r>
    </w:p>
    <w:p w14:paraId="3B7AE903" w14:textId="77777777" w:rsidR="000A3B2B" w:rsidRDefault="000A3B2B" w:rsidP="003C16E8">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wykonanie badań i pomiarów kontrolnych standardowych (np. próbki betonu),</w:t>
      </w:r>
    </w:p>
    <w:p w14:paraId="7549DDFF" w14:textId="77777777" w:rsidR="000A3B2B" w:rsidRDefault="000A3B2B" w:rsidP="003C16E8">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koszty pośrednie, zysk kalkulacyjny i ryzyko,</w:t>
      </w:r>
    </w:p>
    <w:p w14:paraId="2DD66B89" w14:textId="77777777" w:rsidR="000A3B2B" w:rsidRDefault="000A3B2B" w:rsidP="003C16E8">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doprowadzenie terenu po budowie przewodów kanalizacyjnych do stanu pierwotnego.</w:t>
      </w:r>
    </w:p>
    <w:p w14:paraId="15E82FD4" w14:textId="77777777" w:rsidR="000A3B2B" w:rsidRDefault="000A3B2B" w:rsidP="003C16E8">
      <w:pPr>
        <w:autoSpaceDE w:val="0"/>
        <w:autoSpaceDN w:val="0"/>
        <w:adjustRightInd w:val="0"/>
        <w:spacing w:after="60" w:line="240" w:lineRule="auto"/>
        <w:ind w:left="390" w:hanging="390"/>
        <w:jc w:val="both"/>
        <w:rPr>
          <w:rFonts w:ascii="Arial" w:hAnsi="Arial" w:cs="Arial"/>
          <w:b/>
          <w:bCs/>
          <w:color w:val="000000"/>
          <w:sz w:val="18"/>
          <w:szCs w:val="18"/>
          <w:lang w:val="x-none"/>
        </w:rPr>
      </w:pPr>
    </w:p>
    <w:p w14:paraId="077F8F51" w14:textId="77777777" w:rsidR="000A3B2B" w:rsidRDefault="000A3B2B" w:rsidP="003C16E8">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9.3.</w:t>
      </w:r>
      <w:r>
        <w:rPr>
          <w:rFonts w:ascii="Arial" w:hAnsi="Arial" w:cs="Arial"/>
          <w:b/>
          <w:bCs/>
          <w:color w:val="000000"/>
          <w:sz w:val="18"/>
          <w:szCs w:val="18"/>
          <w:lang w:val="x-none"/>
        </w:rPr>
        <w:tab/>
        <w:t>Objazdy, przejazdy i organizacja ruchu</w:t>
      </w:r>
    </w:p>
    <w:p w14:paraId="43A9CBDA" w14:textId="77777777" w:rsidR="000A3B2B" w:rsidRDefault="000A3B2B" w:rsidP="003C16E8">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9.3.1.</w:t>
      </w:r>
      <w:r>
        <w:rPr>
          <w:rFonts w:ascii="Arial" w:hAnsi="Arial" w:cs="Arial"/>
          <w:b/>
          <w:bCs/>
          <w:color w:val="000000"/>
          <w:sz w:val="18"/>
          <w:szCs w:val="18"/>
          <w:lang w:val="x-none"/>
        </w:rPr>
        <w:tab/>
        <w:t>Koszt wybudowania objazdów/przejazdów i organizacji ruchu obejmuje:</w:t>
      </w:r>
    </w:p>
    <w:p w14:paraId="63FE313A" w14:textId="77777777" w:rsidR="000A3B2B" w:rsidRDefault="000A3B2B" w:rsidP="003C16E8">
      <w:pPr>
        <w:autoSpaceDE w:val="0"/>
        <w:autoSpaceDN w:val="0"/>
        <w:adjustRightInd w:val="0"/>
        <w:spacing w:after="15"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opracowanie oraz uzgodnienie z odpowiednimi instytucjami projektu organizacji ruchu na czas trwania budowy, oraz jego aktualizację stosownie do postępu robót,</w:t>
      </w:r>
    </w:p>
    <w:p w14:paraId="29B35F67" w14:textId="77777777" w:rsidR="000A3B2B" w:rsidRDefault="000A3B2B" w:rsidP="003C16E8">
      <w:pPr>
        <w:autoSpaceDE w:val="0"/>
        <w:autoSpaceDN w:val="0"/>
        <w:adjustRightInd w:val="0"/>
        <w:spacing w:after="15"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ustawienie tymczasowego oznakowania i oświetlenia zgodnie z zatwierdzonym projektem organizacji ruchu i wymaganiami bezpieczeństwa ruchu,</w:t>
      </w:r>
    </w:p>
    <w:p w14:paraId="615FCA62" w14:textId="77777777" w:rsidR="000A3B2B" w:rsidRDefault="000A3B2B" w:rsidP="003C16E8">
      <w:pPr>
        <w:autoSpaceDE w:val="0"/>
        <w:autoSpaceDN w:val="0"/>
        <w:adjustRightInd w:val="0"/>
        <w:spacing w:after="15"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opłaty za zajęcia terenu,</w:t>
      </w:r>
    </w:p>
    <w:p w14:paraId="32E3F4E2" w14:textId="77777777" w:rsidR="000A3B2B" w:rsidRDefault="000A3B2B" w:rsidP="003C16E8">
      <w:pPr>
        <w:autoSpaceDE w:val="0"/>
        <w:autoSpaceDN w:val="0"/>
        <w:adjustRightInd w:val="0"/>
        <w:spacing w:after="15"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przygotowanie terenu,</w:t>
      </w:r>
    </w:p>
    <w:p w14:paraId="6E364F6D" w14:textId="77777777" w:rsidR="000A3B2B" w:rsidRDefault="000A3B2B" w:rsidP="003C16E8">
      <w:pPr>
        <w:autoSpaceDE w:val="0"/>
        <w:autoSpaceDN w:val="0"/>
        <w:adjustRightInd w:val="0"/>
        <w:spacing w:after="15"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konstrukcję tymczasowej nawierzchni, ramp, chodników, krawężników, barier, </w:t>
      </w:r>
      <w:proofErr w:type="spellStart"/>
      <w:r>
        <w:rPr>
          <w:rFonts w:ascii="Arial" w:hAnsi="Arial" w:cs="Arial"/>
          <w:color w:val="000000"/>
          <w:sz w:val="18"/>
          <w:szCs w:val="18"/>
          <w:lang w:val="x-none"/>
        </w:rPr>
        <w:t>oznakowań</w:t>
      </w:r>
      <w:proofErr w:type="spellEnd"/>
      <w:r>
        <w:rPr>
          <w:rFonts w:ascii="Arial" w:hAnsi="Arial" w:cs="Arial"/>
          <w:color w:val="000000"/>
          <w:sz w:val="18"/>
          <w:szCs w:val="18"/>
          <w:lang w:val="x-none"/>
        </w:rPr>
        <w:t xml:space="preserve"> i drenażu,</w:t>
      </w:r>
    </w:p>
    <w:p w14:paraId="3491F3D2" w14:textId="77777777" w:rsidR="000A3B2B" w:rsidRDefault="000A3B2B" w:rsidP="003C16E8">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tymczasową przebudowę urządzeń obcych.</w:t>
      </w:r>
    </w:p>
    <w:p w14:paraId="5E43966E" w14:textId="77777777" w:rsidR="000A3B2B" w:rsidRDefault="000A3B2B" w:rsidP="003C16E8">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9.3.2.</w:t>
      </w:r>
      <w:r>
        <w:rPr>
          <w:rFonts w:ascii="Arial" w:hAnsi="Arial" w:cs="Arial"/>
          <w:b/>
          <w:bCs/>
          <w:color w:val="000000"/>
          <w:sz w:val="18"/>
          <w:szCs w:val="18"/>
          <w:lang w:val="x-none"/>
        </w:rPr>
        <w:tab/>
        <w:t>Koszt utrzymania objazdów/przejazdów i organizacji ruchu obejmuje:</w:t>
      </w:r>
    </w:p>
    <w:p w14:paraId="61EEDD50" w14:textId="77777777" w:rsidR="000A3B2B" w:rsidRDefault="000A3B2B" w:rsidP="003C16E8">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oczyszczanie, przestawianie, przykrycie i usunięcie tymczasowych </w:t>
      </w:r>
      <w:proofErr w:type="spellStart"/>
      <w:r>
        <w:rPr>
          <w:rFonts w:ascii="Arial" w:hAnsi="Arial" w:cs="Arial"/>
          <w:color w:val="000000"/>
          <w:sz w:val="18"/>
          <w:szCs w:val="18"/>
          <w:lang w:val="x-none"/>
        </w:rPr>
        <w:t>oznakowań</w:t>
      </w:r>
      <w:proofErr w:type="spellEnd"/>
      <w:r>
        <w:rPr>
          <w:rFonts w:ascii="Arial" w:hAnsi="Arial" w:cs="Arial"/>
          <w:color w:val="000000"/>
          <w:sz w:val="18"/>
          <w:szCs w:val="18"/>
          <w:lang w:val="x-none"/>
        </w:rPr>
        <w:t xml:space="preserve"> pionowych, poziomych, barier i świateł,</w:t>
      </w:r>
    </w:p>
    <w:p w14:paraId="23AD40B9" w14:textId="77777777" w:rsidR="000A3B2B" w:rsidRDefault="000A3B2B" w:rsidP="003C16E8">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utrzymanie płynności ruchu publicznego.</w:t>
      </w:r>
    </w:p>
    <w:p w14:paraId="4898B9F2" w14:textId="77777777" w:rsidR="000A3B2B" w:rsidRDefault="000A3B2B" w:rsidP="003C16E8">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9.3.3.</w:t>
      </w:r>
      <w:r>
        <w:rPr>
          <w:rFonts w:ascii="Arial" w:hAnsi="Arial" w:cs="Arial"/>
          <w:b/>
          <w:bCs/>
          <w:color w:val="000000"/>
          <w:sz w:val="18"/>
          <w:szCs w:val="18"/>
          <w:lang w:val="x-none"/>
        </w:rPr>
        <w:tab/>
        <w:t>Koszt likwidacji objazdów/przejazdów i organizacji ruchu obejmuje:</w:t>
      </w:r>
    </w:p>
    <w:p w14:paraId="2622505B" w14:textId="77777777" w:rsidR="000A3B2B" w:rsidRDefault="000A3B2B" w:rsidP="003C16E8">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usunięcie wbudowanych materiałów i </w:t>
      </w:r>
      <w:proofErr w:type="spellStart"/>
      <w:r>
        <w:rPr>
          <w:rFonts w:ascii="Arial" w:hAnsi="Arial" w:cs="Arial"/>
          <w:color w:val="000000"/>
          <w:sz w:val="18"/>
          <w:szCs w:val="18"/>
          <w:lang w:val="x-none"/>
        </w:rPr>
        <w:t>oznakowań</w:t>
      </w:r>
      <w:proofErr w:type="spellEnd"/>
      <w:r>
        <w:rPr>
          <w:rFonts w:ascii="Arial" w:hAnsi="Arial" w:cs="Arial"/>
          <w:color w:val="000000"/>
          <w:sz w:val="18"/>
          <w:szCs w:val="18"/>
          <w:lang w:val="x-none"/>
        </w:rPr>
        <w:t>,</w:t>
      </w:r>
    </w:p>
    <w:p w14:paraId="0D718BED" w14:textId="77777777" w:rsidR="000A3B2B" w:rsidRDefault="000A3B2B" w:rsidP="003C16E8">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doprowadzenie terenu do stanu pierwotnego.</w:t>
      </w:r>
    </w:p>
    <w:p w14:paraId="5811C6E8" w14:textId="77777777" w:rsidR="000A3B2B" w:rsidRDefault="000A3B2B" w:rsidP="003C16E8">
      <w:pPr>
        <w:autoSpaceDE w:val="0"/>
        <w:autoSpaceDN w:val="0"/>
        <w:adjustRightInd w:val="0"/>
        <w:spacing w:after="30" w:line="240" w:lineRule="auto"/>
        <w:ind w:left="630" w:hanging="630"/>
        <w:jc w:val="both"/>
        <w:rPr>
          <w:rFonts w:ascii="Arial" w:hAnsi="Arial" w:cs="Arial"/>
          <w:b/>
          <w:bCs/>
          <w:color w:val="000000"/>
          <w:sz w:val="18"/>
          <w:szCs w:val="18"/>
          <w:lang w:val="x-none"/>
        </w:rPr>
      </w:pPr>
      <w:r>
        <w:rPr>
          <w:rFonts w:ascii="Arial" w:hAnsi="Arial" w:cs="Arial"/>
          <w:b/>
          <w:bCs/>
          <w:color w:val="000000"/>
          <w:sz w:val="18"/>
          <w:szCs w:val="18"/>
          <w:lang w:val="x-none"/>
        </w:rPr>
        <w:t>9.3.4.</w:t>
      </w:r>
      <w:r>
        <w:rPr>
          <w:rFonts w:ascii="Arial" w:hAnsi="Arial" w:cs="Arial"/>
          <w:b/>
          <w:bCs/>
          <w:color w:val="000000"/>
          <w:sz w:val="18"/>
          <w:szCs w:val="18"/>
          <w:lang w:val="x-none"/>
        </w:rPr>
        <w:tab/>
        <w:t>Koszt budowy, utrzymania i likwidacji objazdów, przejazdów i organizacji ruchu ponosi Zamawiający.</w:t>
      </w:r>
    </w:p>
    <w:p w14:paraId="3D089AE2" w14:textId="77777777" w:rsidR="000A3B2B" w:rsidRDefault="000A3B2B" w:rsidP="003C16E8">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 </w:t>
      </w:r>
    </w:p>
    <w:p w14:paraId="0E2A9976" w14:textId="77777777" w:rsidR="000A3B2B" w:rsidRDefault="000A3B2B" w:rsidP="003C16E8">
      <w:pPr>
        <w:autoSpaceDE w:val="0"/>
        <w:autoSpaceDN w:val="0"/>
        <w:adjustRightInd w:val="0"/>
        <w:spacing w:before="225" w:after="12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10.</w:t>
      </w:r>
      <w:r>
        <w:rPr>
          <w:rFonts w:ascii="Arial" w:hAnsi="Arial" w:cs="Arial"/>
          <w:b/>
          <w:bCs/>
          <w:color w:val="000000"/>
          <w:sz w:val="18"/>
          <w:szCs w:val="18"/>
          <w:lang w:val="x-none"/>
        </w:rPr>
        <w:tab/>
        <w:t>DOKUMENTY ODNIESIENIA</w:t>
      </w:r>
    </w:p>
    <w:p w14:paraId="134DF0AD" w14:textId="77777777" w:rsidR="000A3B2B" w:rsidRDefault="000A3B2B" w:rsidP="003C16E8">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10.1.</w:t>
      </w:r>
      <w:r>
        <w:rPr>
          <w:rFonts w:ascii="Arial" w:hAnsi="Arial" w:cs="Arial"/>
          <w:b/>
          <w:bCs/>
          <w:color w:val="000000"/>
          <w:sz w:val="18"/>
          <w:szCs w:val="18"/>
          <w:lang w:val="x-none"/>
        </w:rPr>
        <w:tab/>
        <w:t>Normy</w:t>
      </w:r>
    </w:p>
    <w:tbl>
      <w:tblPr>
        <w:tblW w:w="0" w:type="auto"/>
        <w:tblCellSpacing w:w="0" w:type="dxa"/>
        <w:tblLayout w:type="fixed"/>
        <w:tblCellMar>
          <w:left w:w="0" w:type="dxa"/>
          <w:right w:w="0" w:type="dxa"/>
        </w:tblCellMar>
        <w:tblLook w:val="0000" w:firstRow="0" w:lastRow="0" w:firstColumn="0" w:lastColumn="0" w:noHBand="0" w:noVBand="0"/>
      </w:tblPr>
      <w:tblGrid>
        <w:gridCol w:w="338"/>
        <w:gridCol w:w="2520"/>
        <w:gridCol w:w="6464"/>
      </w:tblGrid>
      <w:tr w:rsidR="000A3B2B" w14:paraId="4A94C5C7" w14:textId="77777777" w:rsidTr="00443121">
        <w:trPr>
          <w:trHeight w:val="60"/>
          <w:tblCellSpacing w:w="0" w:type="dxa"/>
        </w:trPr>
        <w:tc>
          <w:tcPr>
            <w:tcW w:w="338" w:type="dxa"/>
            <w:tcBorders>
              <w:top w:val="nil"/>
              <w:left w:val="nil"/>
              <w:bottom w:val="nil"/>
              <w:right w:val="nil"/>
            </w:tcBorders>
          </w:tcPr>
          <w:p w14:paraId="3016E827" w14:textId="77777777" w:rsidR="000A3B2B" w:rsidRDefault="000A3B2B" w:rsidP="00443121">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1.</w:t>
            </w:r>
          </w:p>
        </w:tc>
        <w:tc>
          <w:tcPr>
            <w:tcW w:w="2520" w:type="dxa"/>
            <w:tcBorders>
              <w:top w:val="nil"/>
              <w:left w:val="nil"/>
              <w:bottom w:val="nil"/>
              <w:right w:val="nil"/>
            </w:tcBorders>
          </w:tcPr>
          <w:p w14:paraId="79D4E8B2" w14:textId="77777777" w:rsidR="000A3B2B" w:rsidRDefault="000A3B2B" w:rsidP="00443121">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PN-EN 1610:2015-10</w:t>
            </w:r>
          </w:p>
        </w:tc>
        <w:tc>
          <w:tcPr>
            <w:tcW w:w="6464" w:type="dxa"/>
            <w:tcBorders>
              <w:top w:val="nil"/>
              <w:left w:val="nil"/>
              <w:bottom w:val="nil"/>
              <w:right w:val="nil"/>
            </w:tcBorders>
          </w:tcPr>
          <w:p w14:paraId="77EFEE45" w14:textId="77777777" w:rsidR="000A3B2B" w:rsidRDefault="000A3B2B" w:rsidP="00443121">
            <w:pPr>
              <w:autoSpaceDE w:val="0"/>
              <w:autoSpaceDN w:val="0"/>
              <w:adjustRightInd w:val="0"/>
              <w:spacing w:after="30" w:line="240" w:lineRule="auto"/>
              <w:jc w:val="both"/>
              <w:rPr>
                <w:rFonts w:ascii="Arial" w:hAnsi="Arial" w:cs="Arial"/>
                <w:i/>
                <w:iCs/>
                <w:color w:val="000000"/>
                <w:sz w:val="18"/>
                <w:szCs w:val="18"/>
                <w:lang w:val="x-none"/>
              </w:rPr>
            </w:pPr>
            <w:r>
              <w:rPr>
                <w:rFonts w:ascii="Arial" w:hAnsi="Arial" w:cs="Arial"/>
                <w:color w:val="000000"/>
                <w:sz w:val="18"/>
                <w:szCs w:val="18"/>
                <w:lang w:val="x-none"/>
              </w:rPr>
              <w:t>Budowa i badania przewodów kanalizacyjnych</w:t>
            </w:r>
            <w:r>
              <w:rPr>
                <w:rFonts w:ascii="Arial" w:hAnsi="Arial" w:cs="Arial"/>
                <w:i/>
                <w:iCs/>
                <w:color w:val="000000"/>
                <w:sz w:val="18"/>
                <w:szCs w:val="18"/>
                <w:lang w:val="x-none"/>
              </w:rPr>
              <w:t xml:space="preserve"> (wersja angielska).</w:t>
            </w:r>
          </w:p>
        </w:tc>
      </w:tr>
      <w:tr w:rsidR="000A3B2B" w14:paraId="11FED656" w14:textId="77777777" w:rsidTr="00443121">
        <w:trPr>
          <w:trHeight w:val="60"/>
          <w:tblCellSpacing w:w="0" w:type="dxa"/>
        </w:trPr>
        <w:tc>
          <w:tcPr>
            <w:tcW w:w="338" w:type="dxa"/>
            <w:tcBorders>
              <w:top w:val="nil"/>
              <w:left w:val="nil"/>
              <w:bottom w:val="nil"/>
              <w:right w:val="nil"/>
            </w:tcBorders>
          </w:tcPr>
          <w:p w14:paraId="48742EBF" w14:textId="77777777" w:rsidR="000A3B2B" w:rsidRDefault="000A3B2B" w:rsidP="00443121">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2.</w:t>
            </w:r>
          </w:p>
        </w:tc>
        <w:tc>
          <w:tcPr>
            <w:tcW w:w="2520" w:type="dxa"/>
            <w:tcBorders>
              <w:top w:val="nil"/>
              <w:left w:val="nil"/>
              <w:bottom w:val="nil"/>
              <w:right w:val="nil"/>
            </w:tcBorders>
          </w:tcPr>
          <w:p w14:paraId="2C322BDB" w14:textId="77777777" w:rsidR="000A3B2B" w:rsidRDefault="000A3B2B" w:rsidP="00443121">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PN-EN 752:2008</w:t>
            </w:r>
          </w:p>
        </w:tc>
        <w:tc>
          <w:tcPr>
            <w:tcW w:w="6464" w:type="dxa"/>
            <w:tcBorders>
              <w:top w:val="nil"/>
              <w:left w:val="nil"/>
              <w:bottom w:val="nil"/>
              <w:right w:val="nil"/>
            </w:tcBorders>
          </w:tcPr>
          <w:p w14:paraId="1BC93B90" w14:textId="77777777" w:rsidR="000A3B2B" w:rsidRDefault="000A3B2B" w:rsidP="00443121">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Zewnętrzne systemy kanalizacyjne.</w:t>
            </w:r>
          </w:p>
        </w:tc>
      </w:tr>
      <w:tr w:rsidR="000A3B2B" w14:paraId="619ABDB3" w14:textId="77777777" w:rsidTr="00443121">
        <w:trPr>
          <w:trHeight w:val="60"/>
          <w:tblCellSpacing w:w="0" w:type="dxa"/>
        </w:trPr>
        <w:tc>
          <w:tcPr>
            <w:tcW w:w="338" w:type="dxa"/>
            <w:tcBorders>
              <w:top w:val="nil"/>
              <w:left w:val="nil"/>
              <w:bottom w:val="nil"/>
              <w:right w:val="nil"/>
            </w:tcBorders>
          </w:tcPr>
          <w:p w14:paraId="78715E9B" w14:textId="77777777" w:rsidR="000A3B2B" w:rsidRDefault="000A3B2B" w:rsidP="00443121">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3.</w:t>
            </w:r>
          </w:p>
        </w:tc>
        <w:tc>
          <w:tcPr>
            <w:tcW w:w="2520" w:type="dxa"/>
            <w:tcBorders>
              <w:top w:val="nil"/>
              <w:left w:val="nil"/>
              <w:bottom w:val="nil"/>
              <w:right w:val="nil"/>
            </w:tcBorders>
          </w:tcPr>
          <w:p w14:paraId="30475772" w14:textId="77777777" w:rsidR="000A3B2B" w:rsidRDefault="000A3B2B" w:rsidP="00443121">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PN-EN 1401-1:2009</w:t>
            </w:r>
          </w:p>
        </w:tc>
        <w:tc>
          <w:tcPr>
            <w:tcW w:w="6464" w:type="dxa"/>
            <w:tcBorders>
              <w:top w:val="nil"/>
              <w:left w:val="nil"/>
              <w:bottom w:val="nil"/>
              <w:right w:val="nil"/>
            </w:tcBorders>
          </w:tcPr>
          <w:p w14:paraId="3BF2830F" w14:textId="77777777" w:rsidR="000A3B2B" w:rsidRDefault="000A3B2B" w:rsidP="00443121">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Systemy przewodów rurowych z tworzyw sztucznych do podziemnego bezciśnieniowego odwadniania i kanalizacji. </w:t>
            </w:r>
            <w:proofErr w:type="spellStart"/>
            <w:r>
              <w:rPr>
                <w:rFonts w:ascii="Arial" w:hAnsi="Arial" w:cs="Arial"/>
                <w:color w:val="000000"/>
                <w:sz w:val="18"/>
                <w:szCs w:val="18"/>
                <w:lang w:val="x-none"/>
              </w:rPr>
              <w:t>Nieplastyfikowany</w:t>
            </w:r>
            <w:proofErr w:type="spellEnd"/>
            <w:r>
              <w:rPr>
                <w:rFonts w:ascii="Arial" w:hAnsi="Arial" w:cs="Arial"/>
                <w:color w:val="000000"/>
                <w:sz w:val="18"/>
                <w:szCs w:val="18"/>
                <w:lang w:val="x-none"/>
              </w:rPr>
              <w:t xml:space="preserve"> polichlorek winylu (PVC-U) Część 1: Specyfikacje rur, kształtek i systemu.</w:t>
            </w:r>
          </w:p>
        </w:tc>
      </w:tr>
      <w:tr w:rsidR="000A3B2B" w14:paraId="4D429829" w14:textId="77777777" w:rsidTr="00443121">
        <w:trPr>
          <w:trHeight w:val="60"/>
          <w:tblCellSpacing w:w="0" w:type="dxa"/>
        </w:trPr>
        <w:tc>
          <w:tcPr>
            <w:tcW w:w="338" w:type="dxa"/>
            <w:tcBorders>
              <w:top w:val="nil"/>
              <w:left w:val="nil"/>
              <w:bottom w:val="nil"/>
              <w:right w:val="nil"/>
            </w:tcBorders>
          </w:tcPr>
          <w:p w14:paraId="086C6169" w14:textId="77777777" w:rsidR="000A3B2B" w:rsidRDefault="000A3B2B" w:rsidP="00443121">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4.</w:t>
            </w:r>
          </w:p>
        </w:tc>
        <w:tc>
          <w:tcPr>
            <w:tcW w:w="2520" w:type="dxa"/>
            <w:tcBorders>
              <w:top w:val="nil"/>
              <w:left w:val="nil"/>
              <w:bottom w:val="nil"/>
              <w:right w:val="nil"/>
            </w:tcBorders>
          </w:tcPr>
          <w:p w14:paraId="40E1A368" w14:textId="77777777" w:rsidR="000A3B2B" w:rsidRDefault="000A3B2B" w:rsidP="00443121">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PN-EN 1852-1:2010</w:t>
            </w:r>
          </w:p>
        </w:tc>
        <w:tc>
          <w:tcPr>
            <w:tcW w:w="6464" w:type="dxa"/>
            <w:tcBorders>
              <w:top w:val="nil"/>
              <w:left w:val="nil"/>
              <w:bottom w:val="nil"/>
              <w:right w:val="nil"/>
            </w:tcBorders>
          </w:tcPr>
          <w:p w14:paraId="2B469158" w14:textId="77777777" w:rsidR="000A3B2B" w:rsidRDefault="000A3B2B" w:rsidP="00443121">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Systemy przewodów rurowych z tworzyw sztucznych do podziemnego bezciśnieniowego odwadniania i kanalizacji. Polipropylen (PP) Część 1: Specyfikacje rur, kształtek i systemu.</w:t>
            </w:r>
          </w:p>
        </w:tc>
      </w:tr>
      <w:tr w:rsidR="000A3B2B" w14:paraId="1DC0C0C7" w14:textId="77777777" w:rsidTr="00443121">
        <w:trPr>
          <w:trHeight w:val="60"/>
          <w:tblCellSpacing w:w="0" w:type="dxa"/>
        </w:trPr>
        <w:tc>
          <w:tcPr>
            <w:tcW w:w="338" w:type="dxa"/>
            <w:tcBorders>
              <w:top w:val="nil"/>
              <w:left w:val="nil"/>
              <w:bottom w:val="nil"/>
              <w:right w:val="nil"/>
            </w:tcBorders>
          </w:tcPr>
          <w:p w14:paraId="0ED449C5" w14:textId="77777777" w:rsidR="000A3B2B" w:rsidRDefault="000A3B2B" w:rsidP="00443121">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5.</w:t>
            </w:r>
          </w:p>
        </w:tc>
        <w:tc>
          <w:tcPr>
            <w:tcW w:w="2520" w:type="dxa"/>
            <w:tcBorders>
              <w:top w:val="nil"/>
              <w:left w:val="nil"/>
              <w:bottom w:val="nil"/>
              <w:right w:val="nil"/>
            </w:tcBorders>
          </w:tcPr>
          <w:p w14:paraId="011EBB20" w14:textId="77777777" w:rsidR="000A3B2B" w:rsidRDefault="000A3B2B" w:rsidP="00443121">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 xml:space="preserve">PN-EN 1852-1:2010 </w:t>
            </w:r>
            <w:r>
              <w:rPr>
                <w:rFonts w:ascii="Arial" w:hAnsi="Arial" w:cs="Arial"/>
                <w:color w:val="000000"/>
                <w:sz w:val="18"/>
                <w:szCs w:val="18"/>
                <w:lang w:val="x-none"/>
              </w:rPr>
              <w:br/>
              <w:t>PN-EN 1852-1:2010/Ap1</w:t>
            </w:r>
          </w:p>
        </w:tc>
        <w:tc>
          <w:tcPr>
            <w:tcW w:w="6464" w:type="dxa"/>
            <w:tcBorders>
              <w:top w:val="nil"/>
              <w:left w:val="nil"/>
              <w:bottom w:val="nil"/>
              <w:right w:val="nil"/>
            </w:tcBorders>
          </w:tcPr>
          <w:p w14:paraId="12FD62B7" w14:textId="77777777" w:rsidR="000A3B2B" w:rsidRDefault="000A3B2B" w:rsidP="00443121">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Systemy przewodów rurowych z tworzyw sztucznych do podziemnego bezciśnieniowego odwadniania I kanalizacji. Polipropylen (PP). Część 1: Specyfikacje rur, kształtek I systemu.</w:t>
            </w:r>
          </w:p>
        </w:tc>
      </w:tr>
      <w:tr w:rsidR="000A3B2B" w14:paraId="3C0C5875" w14:textId="77777777" w:rsidTr="00443121">
        <w:trPr>
          <w:trHeight w:val="60"/>
          <w:tblCellSpacing w:w="0" w:type="dxa"/>
        </w:trPr>
        <w:tc>
          <w:tcPr>
            <w:tcW w:w="338" w:type="dxa"/>
            <w:tcBorders>
              <w:top w:val="nil"/>
              <w:left w:val="nil"/>
              <w:bottom w:val="nil"/>
              <w:right w:val="nil"/>
            </w:tcBorders>
          </w:tcPr>
          <w:p w14:paraId="06B05D6A" w14:textId="77777777" w:rsidR="000A3B2B" w:rsidRDefault="000A3B2B" w:rsidP="00443121">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6.</w:t>
            </w:r>
          </w:p>
        </w:tc>
        <w:tc>
          <w:tcPr>
            <w:tcW w:w="2520" w:type="dxa"/>
            <w:tcBorders>
              <w:top w:val="nil"/>
              <w:left w:val="nil"/>
              <w:bottom w:val="nil"/>
              <w:right w:val="nil"/>
            </w:tcBorders>
          </w:tcPr>
          <w:p w14:paraId="36FC4F70" w14:textId="77777777" w:rsidR="000A3B2B" w:rsidRDefault="000A3B2B" w:rsidP="00443121">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PN-EN 588-1:2000</w:t>
            </w:r>
          </w:p>
        </w:tc>
        <w:tc>
          <w:tcPr>
            <w:tcW w:w="6464" w:type="dxa"/>
            <w:tcBorders>
              <w:top w:val="nil"/>
              <w:left w:val="nil"/>
              <w:bottom w:val="nil"/>
              <w:right w:val="nil"/>
            </w:tcBorders>
          </w:tcPr>
          <w:p w14:paraId="0880460F" w14:textId="77777777" w:rsidR="000A3B2B" w:rsidRDefault="000A3B2B" w:rsidP="00443121">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Rury włókno-cementowe do kanalizacji. Rury, złącza i kształtki do systemów grawitacyjnych.</w:t>
            </w:r>
          </w:p>
        </w:tc>
      </w:tr>
      <w:tr w:rsidR="000A3B2B" w14:paraId="008FBA7E" w14:textId="77777777" w:rsidTr="00443121">
        <w:trPr>
          <w:trHeight w:val="60"/>
          <w:tblCellSpacing w:w="0" w:type="dxa"/>
        </w:trPr>
        <w:tc>
          <w:tcPr>
            <w:tcW w:w="338" w:type="dxa"/>
            <w:tcBorders>
              <w:top w:val="nil"/>
              <w:left w:val="nil"/>
              <w:bottom w:val="nil"/>
              <w:right w:val="nil"/>
            </w:tcBorders>
          </w:tcPr>
          <w:p w14:paraId="40AA6462" w14:textId="77777777" w:rsidR="000A3B2B" w:rsidRDefault="000A3B2B" w:rsidP="00443121">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7.</w:t>
            </w:r>
          </w:p>
        </w:tc>
        <w:tc>
          <w:tcPr>
            <w:tcW w:w="2520" w:type="dxa"/>
            <w:tcBorders>
              <w:top w:val="nil"/>
              <w:left w:val="nil"/>
              <w:bottom w:val="nil"/>
              <w:right w:val="nil"/>
            </w:tcBorders>
          </w:tcPr>
          <w:p w14:paraId="63D9E24F" w14:textId="77777777" w:rsidR="000A3B2B" w:rsidRDefault="000A3B2B" w:rsidP="00443121">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PN-EN 588-2:2004</w:t>
            </w:r>
          </w:p>
        </w:tc>
        <w:tc>
          <w:tcPr>
            <w:tcW w:w="6464" w:type="dxa"/>
            <w:tcBorders>
              <w:top w:val="nil"/>
              <w:left w:val="nil"/>
              <w:bottom w:val="nil"/>
              <w:right w:val="nil"/>
            </w:tcBorders>
          </w:tcPr>
          <w:p w14:paraId="38CBE151" w14:textId="77777777" w:rsidR="000A3B2B" w:rsidRDefault="000A3B2B" w:rsidP="00443121">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Rury włókno-cementowe do kanalizacji. Cześć 2: Studzienki włazowe i </w:t>
            </w:r>
            <w:proofErr w:type="spellStart"/>
            <w:r>
              <w:rPr>
                <w:rFonts w:ascii="Arial" w:hAnsi="Arial" w:cs="Arial"/>
                <w:color w:val="000000"/>
                <w:sz w:val="18"/>
                <w:szCs w:val="18"/>
                <w:lang w:val="x-none"/>
              </w:rPr>
              <w:t>niewłazowe</w:t>
            </w:r>
            <w:proofErr w:type="spellEnd"/>
            <w:r>
              <w:rPr>
                <w:rFonts w:ascii="Arial" w:hAnsi="Arial" w:cs="Arial"/>
                <w:color w:val="000000"/>
                <w:sz w:val="18"/>
                <w:szCs w:val="18"/>
                <w:lang w:val="x-none"/>
              </w:rPr>
              <w:t>.</w:t>
            </w:r>
          </w:p>
        </w:tc>
      </w:tr>
      <w:tr w:rsidR="000A3B2B" w14:paraId="49B87E95" w14:textId="77777777" w:rsidTr="00443121">
        <w:trPr>
          <w:trHeight w:val="60"/>
          <w:tblCellSpacing w:w="0" w:type="dxa"/>
        </w:trPr>
        <w:tc>
          <w:tcPr>
            <w:tcW w:w="338" w:type="dxa"/>
            <w:tcBorders>
              <w:top w:val="nil"/>
              <w:left w:val="nil"/>
              <w:bottom w:val="nil"/>
              <w:right w:val="nil"/>
            </w:tcBorders>
          </w:tcPr>
          <w:p w14:paraId="24F233FD" w14:textId="77777777" w:rsidR="000A3B2B" w:rsidRDefault="000A3B2B" w:rsidP="00443121">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8.</w:t>
            </w:r>
          </w:p>
        </w:tc>
        <w:tc>
          <w:tcPr>
            <w:tcW w:w="2520" w:type="dxa"/>
            <w:tcBorders>
              <w:top w:val="nil"/>
              <w:left w:val="nil"/>
              <w:bottom w:val="nil"/>
              <w:right w:val="nil"/>
            </w:tcBorders>
          </w:tcPr>
          <w:p w14:paraId="7AC13DEF" w14:textId="77777777" w:rsidR="000A3B2B" w:rsidRDefault="000A3B2B" w:rsidP="00443121">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PN-EN 13101:2005</w:t>
            </w:r>
          </w:p>
        </w:tc>
        <w:tc>
          <w:tcPr>
            <w:tcW w:w="6464" w:type="dxa"/>
            <w:tcBorders>
              <w:top w:val="nil"/>
              <w:left w:val="nil"/>
              <w:bottom w:val="nil"/>
              <w:right w:val="nil"/>
            </w:tcBorders>
          </w:tcPr>
          <w:p w14:paraId="6271FB09" w14:textId="77777777" w:rsidR="000A3B2B" w:rsidRDefault="000A3B2B" w:rsidP="00443121">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Stopnie do studzienek włazowych. Wymagania, znakowanie, badania i ocena zgodności.</w:t>
            </w:r>
          </w:p>
        </w:tc>
      </w:tr>
      <w:tr w:rsidR="000A3B2B" w14:paraId="47955BC7" w14:textId="77777777" w:rsidTr="00443121">
        <w:trPr>
          <w:trHeight w:val="60"/>
          <w:tblCellSpacing w:w="0" w:type="dxa"/>
        </w:trPr>
        <w:tc>
          <w:tcPr>
            <w:tcW w:w="338" w:type="dxa"/>
            <w:tcBorders>
              <w:top w:val="nil"/>
              <w:left w:val="nil"/>
              <w:bottom w:val="nil"/>
              <w:right w:val="nil"/>
            </w:tcBorders>
          </w:tcPr>
          <w:p w14:paraId="45DCECB3" w14:textId="77777777" w:rsidR="000A3B2B" w:rsidRDefault="000A3B2B" w:rsidP="00443121">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9.</w:t>
            </w:r>
          </w:p>
        </w:tc>
        <w:tc>
          <w:tcPr>
            <w:tcW w:w="2520" w:type="dxa"/>
            <w:tcBorders>
              <w:top w:val="nil"/>
              <w:left w:val="nil"/>
              <w:bottom w:val="nil"/>
              <w:right w:val="nil"/>
            </w:tcBorders>
          </w:tcPr>
          <w:p w14:paraId="47716F4F" w14:textId="77777777" w:rsidR="000A3B2B" w:rsidRDefault="000A3B2B" w:rsidP="00443121">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PN-EN 476:2012</w:t>
            </w:r>
          </w:p>
        </w:tc>
        <w:tc>
          <w:tcPr>
            <w:tcW w:w="6464" w:type="dxa"/>
            <w:tcBorders>
              <w:top w:val="nil"/>
              <w:left w:val="nil"/>
              <w:bottom w:val="nil"/>
              <w:right w:val="nil"/>
            </w:tcBorders>
          </w:tcPr>
          <w:p w14:paraId="65C81332" w14:textId="77777777" w:rsidR="000A3B2B" w:rsidRDefault="000A3B2B" w:rsidP="00443121">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Wymagania ogólne dotyczące elementów stosowanych w systemach kanalizacji deszczowej i sanitarnej.</w:t>
            </w:r>
          </w:p>
        </w:tc>
      </w:tr>
      <w:tr w:rsidR="000A3B2B" w14:paraId="07693336" w14:textId="77777777" w:rsidTr="00443121">
        <w:trPr>
          <w:trHeight w:val="60"/>
          <w:tblCellSpacing w:w="0" w:type="dxa"/>
        </w:trPr>
        <w:tc>
          <w:tcPr>
            <w:tcW w:w="338" w:type="dxa"/>
            <w:tcBorders>
              <w:top w:val="nil"/>
              <w:left w:val="nil"/>
              <w:bottom w:val="nil"/>
              <w:right w:val="nil"/>
            </w:tcBorders>
          </w:tcPr>
          <w:p w14:paraId="47EEA960" w14:textId="77777777" w:rsidR="000A3B2B" w:rsidRDefault="000A3B2B" w:rsidP="00443121">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10.</w:t>
            </w:r>
          </w:p>
        </w:tc>
        <w:tc>
          <w:tcPr>
            <w:tcW w:w="2520" w:type="dxa"/>
            <w:tcBorders>
              <w:top w:val="nil"/>
              <w:left w:val="nil"/>
              <w:bottom w:val="nil"/>
              <w:right w:val="nil"/>
            </w:tcBorders>
          </w:tcPr>
          <w:p w14:paraId="29E497AD" w14:textId="77777777" w:rsidR="000A3B2B" w:rsidRDefault="000A3B2B" w:rsidP="00443121">
            <w:pPr>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PN-EN 681-1:2002</w:t>
            </w:r>
            <w:r>
              <w:rPr>
                <w:rFonts w:ascii="Arial" w:hAnsi="Arial" w:cs="Arial"/>
                <w:color w:val="000000"/>
                <w:sz w:val="18"/>
                <w:szCs w:val="18"/>
                <w:lang w:val="x-none"/>
              </w:rPr>
              <w:br/>
              <w:t>PN-EN 681-1:2002/A3:2006</w:t>
            </w:r>
          </w:p>
        </w:tc>
        <w:tc>
          <w:tcPr>
            <w:tcW w:w="6464" w:type="dxa"/>
            <w:tcBorders>
              <w:top w:val="nil"/>
              <w:left w:val="nil"/>
              <w:bottom w:val="nil"/>
              <w:right w:val="nil"/>
            </w:tcBorders>
          </w:tcPr>
          <w:p w14:paraId="419B8C7B" w14:textId="77777777" w:rsidR="000A3B2B" w:rsidRDefault="000A3B2B" w:rsidP="00443121">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Uszczelnienia z elastomerów. Wymagania materiałowe dotyczące uszczelek złączy rur wodociągowych i odwadniających. Część 1: Guma.</w:t>
            </w:r>
          </w:p>
        </w:tc>
      </w:tr>
      <w:tr w:rsidR="000A3B2B" w14:paraId="71C1EE6B" w14:textId="77777777" w:rsidTr="00443121">
        <w:trPr>
          <w:trHeight w:val="60"/>
          <w:tblCellSpacing w:w="0" w:type="dxa"/>
        </w:trPr>
        <w:tc>
          <w:tcPr>
            <w:tcW w:w="338" w:type="dxa"/>
            <w:tcBorders>
              <w:top w:val="nil"/>
              <w:left w:val="nil"/>
              <w:bottom w:val="nil"/>
              <w:right w:val="nil"/>
            </w:tcBorders>
          </w:tcPr>
          <w:p w14:paraId="69DE6100" w14:textId="77777777" w:rsidR="000A3B2B" w:rsidRDefault="000A3B2B" w:rsidP="00443121">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11.</w:t>
            </w:r>
          </w:p>
        </w:tc>
        <w:tc>
          <w:tcPr>
            <w:tcW w:w="2520" w:type="dxa"/>
            <w:tcBorders>
              <w:top w:val="nil"/>
              <w:left w:val="nil"/>
              <w:bottom w:val="nil"/>
              <w:right w:val="nil"/>
            </w:tcBorders>
          </w:tcPr>
          <w:p w14:paraId="133C3AA8" w14:textId="77777777" w:rsidR="000A3B2B" w:rsidRDefault="000A3B2B" w:rsidP="00443121">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PN-EN 681-2:2003</w:t>
            </w:r>
          </w:p>
        </w:tc>
        <w:tc>
          <w:tcPr>
            <w:tcW w:w="6464" w:type="dxa"/>
            <w:tcBorders>
              <w:top w:val="nil"/>
              <w:left w:val="nil"/>
              <w:bottom w:val="nil"/>
              <w:right w:val="nil"/>
            </w:tcBorders>
          </w:tcPr>
          <w:p w14:paraId="08A309F7" w14:textId="77777777" w:rsidR="000A3B2B" w:rsidRDefault="000A3B2B" w:rsidP="00443121">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Uszczelnienia z elastomerów. Wymagania materiałowe dotyczące uszczelek złączy rur wodociągowych i odwadniających. Część 2: Elastomery termoplastyczne.</w:t>
            </w:r>
          </w:p>
        </w:tc>
      </w:tr>
      <w:tr w:rsidR="000A3B2B" w14:paraId="3E3E90DB" w14:textId="77777777" w:rsidTr="00443121">
        <w:trPr>
          <w:trHeight w:val="60"/>
          <w:tblCellSpacing w:w="0" w:type="dxa"/>
        </w:trPr>
        <w:tc>
          <w:tcPr>
            <w:tcW w:w="338" w:type="dxa"/>
            <w:tcBorders>
              <w:top w:val="nil"/>
              <w:left w:val="nil"/>
              <w:bottom w:val="nil"/>
              <w:right w:val="nil"/>
            </w:tcBorders>
          </w:tcPr>
          <w:p w14:paraId="37E466B9" w14:textId="77777777" w:rsidR="000A3B2B" w:rsidRDefault="000A3B2B" w:rsidP="00443121">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12.</w:t>
            </w:r>
          </w:p>
        </w:tc>
        <w:tc>
          <w:tcPr>
            <w:tcW w:w="2520" w:type="dxa"/>
            <w:tcBorders>
              <w:top w:val="nil"/>
              <w:left w:val="nil"/>
              <w:bottom w:val="nil"/>
              <w:right w:val="nil"/>
            </w:tcBorders>
          </w:tcPr>
          <w:p w14:paraId="504597C1" w14:textId="77777777" w:rsidR="000A3B2B" w:rsidRDefault="000A3B2B" w:rsidP="00443121">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PN-B-10736:1999 </w:t>
            </w:r>
          </w:p>
        </w:tc>
        <w:tc>
          <w:tcPr>
            <w:tcW w:w="6464" w:type="dxa"/>
            <w:tcBorders>
              <w:top w:val="nil"/>
              <w:left w:val="nil"/>
              <w:bottom w:val="nil"/>
              <w:right w:val="nil"/>
            </w:tcBorders>
          </w:tcPr>
          <w:p w14:paraId="18DBAB12" w14:textId="77777777" w:rsidR="000A3B2B" w:rsidRDefault="000A3B2B" w:rsidP="00443121">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Roboty ziemne. Wykopy otwarte dla przewodów wodociągowych i kanalizacyjnych. Warunki techniczne wykonania.</w:t>
            </w:r>
          </w:p>
        </w:tc>
      </w:tr>
    </w:tbl>
    <w:p w14:paraId="0147E7B2" w14:textId="77777777" w:rsidR="000A3B2B" w:rsidRDefault="000A3B2B" w:rsidP="003C16E8">
      <w:pPr>
        <w:autoSpaceDE w:val="0"/>
        <w:autoSpaceDN w:val="0"/>
        <w:adjustRightInd w:val="0"/>
        <w:spacing w:after="30" w:line="240" w:lineRule="auto"/>
        <w:jc w:val="both"/>
        <w:rPr>
          <w:rFonts w:ascii="Arial" w:hAnsi="Arial" w:cs="Arial"/>
          <w:color w:val="000000"/>
          <w:sz w:val="18"/>
          <w:szCs w:val="18"/>
          <w:lang w:val="x-none"/>
        </w:rPr>
      </w:pPr>
    </w:p>
    <w:p w14:paraId="3E904BBD" w14:textId="77777777" w:rsidR="000A3B2B" w:rsidRDefault="000A3B2B" w:rsidP="003C16E8">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10.2.</w:t>
      </w:r>
      <w:r>
        <w:rPr>
          <w:rFonts w:ascii="Arial" w:hAnsi="Arial" w:cs="Arial"/>
          <w:b/>
          <w:bCs/>
          <w:color w:val="000000"/>
          <w:sz w:val="18"/>
          <w:szCs w:val="18"/>
          <w:lang w:val="x-none"/>
        </w:rPr>
        <w:tab/>
        <w:t>Ustawy</w:t>
      </w:r>
    </w:p>
    <w:p w14:paraId="40B674B8" w14:textId="77777777" w:rsidR="000A3B2B" w:rsidRDefault="000A3B2B" w:rsidP="003C16E8">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Ustawa z dnia 7 lipca 1994 r. – Prawo budowlane (jednolity tekst Dz. U. z 2016 poz. 290).</w:t>
      </w:r>
    </w:p>
    <w:p w14:paraId="32A87ABB" w14:textId="77777777" w:rsidR="000A3B2B" w:rsidRDefault="000A3B2B" w:rsidP="003C16E8">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Ustawa z dnia 16 kwietnia 2004 r. – o wyrobach budowlanych (tekst jednolity Dz. U. z 2016 r. Nr 0, poz. 1570),</w:t>
      </w:r>
    </w:p>
    <w:p w14:paraId="04792124" w14:textId="77777777" w:rsidR="000A3B2B" w:rsidRDefault="000A3B2B" w:rsidP="003C16E8">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Ustawa z dnia 21 grudnia 2000 r. – o dozorze technicznym (Dz. U. Nr 122 poz. 1321 z </w:t>
      </w:r>
      <w:proofErr w:type="spellStart"/>
      <w:r>
        <w:rPr>
          <w:rFonts w:ascii="Arial" w:hAnsi="Arial" w:cs="Arial"/>
          <w:color w:val="000000"/>
          <w:sz w:val="18"/>
          <w:szCs w:val="18"/>
          <w:lang w:val="x-none"/>
        </w:rPr>
        <w:t>późn</w:t>
      </w:r>
      <w:proofErr w:type="spellEnd"/>
      <w:r>
        <w:rPr>
          <w:rFonts w:ascii="Arial" w:hAnsi="Arial" w:cs="Arial"/>
          <w:color w:val="000000"/>
          <w:sz w:val="18"/>
          <w:szCs w:val="18"/>
          <w:lang w:val="x-none"/>
        </w:rPr>
        <w:t>. zmianami – tekst jednolity Dz. U. z 2015 Nr 0, poz. 1125).</w:t>
      </w:r>
    </w:p>
    <w:p w14:paraId="35F92750" w14:textId="77777777" w:rsidR="000A3B2B" w:rsidRDefault="000A3B2B" w:rsidP="003C16E8">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Ustawa z dnia 27 kwietnia 2001 r. – Prawo ochrony środowiska (Dz. U. Nr 62, poz. 627 z </w:t>
      </w:r>
      <w:proofErr w:type="spellStart"/>
      <w:r>
        <w:rPr>
          <w:rFonts w:ascii="Arial" w:hAnsi="Arial" w:cs="Arial"/>
          <w:color w:val="000000"/>
          <w:sz w:val="18"/>
          <w:szCs w:val="18"/>
          <w:lang w:val="x-none"/>
        </w:rPr>
        <w:t>późn</w:t>
      </w:r>
      <w:proofErr w:type="spellEnd"/>
      <w:r>
        <w:rPr>
          <w:rFonts w:ascii="Arial" w:hAnsi="Arial" w:cs="Arial"/>
          <w:color w:val="000000"/>
          <w:sz w:val="18"/>
          <w:szCs w:val="18"/>
          <w:lang w:val="x-none"/>
        </w:rPr>
        <w:t>. zmianami).</w:t>
      </w:r>
    </w:p>
    <w:p w14:paraId="3265FB9C" w14:textId="77777777" w:rsidR="000A3B2B" w:rsidRDefault="000A3B2B" w:rsidP="003C16E8">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Ustawa z dnia 7 czerwca 2001 r. – o zbiorowym zaopatrzeniu w wodę i zbiorowym odprowadzeniu ścieków (Dz. U. Nr 72, poz. 747 z </w:t>
      </w:r>
      <w:proofErr w:type="spellStart"/>
      <w:r>
        <w:rPr>
          <w:rFonts w:ascii="Arial" w:hAnsi="Arial" w:cs="Arial"/>
          <w:color w:val="000000"/>
          <w:sz w:val="18"/>
          <w:szCs w:val="18"/>
          <w:lang w:val="x-none"/>
        </w:rPr>
        <w:t>późn</w:t>
      </w:r>
      <w:proofErr w:type="spellEnd"/>
      <w:r>
        <w:rPr>
          <w:rFonts w:ascii="Arial" w:hAnsi="Arial" w:cs="Arial"/>
          <w:color w:val="000000"/>
          <w:sz w:val="18"/>
          <w:szCs w:val="18"/>
          <w:lang w:val="x-none"/>
        </w:rPr>
        <w:t>. zmianami).</w:t>
      </w:r>
    </w:p>
    <w:p w14:paraId="0D725775" w14:textId="77777777" w:rsidR="000A3B2B" w:rsidRDefault="000A3B2B" w:rsidP="003C16E8">
      <w:pPr>
        <w:autoSpaceDE w:val="0"/>
        <w:autoSpaceDN w:val="0"/>
        <w:adjustRightInd w:val="0"/>
        <w:spacing w:after="30" w:line="240" w:lineRule="auto"/>
        <w:jc w:val="both"/>
        <w:rPr>
          <w:rFonts w:ascii="Arial" w:hAnsi="Arial" w:cs="Arial"/>
          <w:color w:val="000000"/>
          <w:sz w:val="18"/>
          <w:szCs w:val="18"/>
          <w:lang w:val="x-none"/>
        </w:rPr>
      </w:pPr>
    </w:p>
    <w:p w14:paraId="7691D76D" w14:textId="77777777" w:rsidR="000A3B2B" w:rsidRDefault="000A3B2B" w:rsidP="003C16E8">
      <w:pPr>
        <w:autoSpaceDE w:val="0"/>
        <w:autoSpaceDN w:val="0"/>
        <w:adjustRightInd w:val="0"/>
        <w:spacing w:after="6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10.3.</w:t>
      </w:r>
      <w:r>
        <w:rPr>
          <w:rFonts w:ascii="Arial" w:hAnsi="Arial" w:cs="Arial"/>
          <w:b/>
          <w:bCs/>
          <w:color w:val="000000"/>
          <w:sz w:val="18"/>
          <w:szCs w:val="18"/>
          <w:lang w:val="x-none"/>
        </w:rPr>
        <w:tab/>
        <w:t>Rozporządzenia</w:t>
      </w:r>
    </w:p>
    <w:p w14:paraId="54026C14" w14:textId="77777777" w:rsidR="000A3B2B" w:rsidRDefault="000A3B2B" w:rsidP="003C16E8">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Rozporządzenie Ministra Gospodarki Przestrzennej i Budownictwa z dnia 21 lutego 1995 r. w sprawie rodzaju i zakresu opracowań geodezyjno-kartograficznych oraz czynności geodezyjnych obowiązujących w budownictwie (Dz. U. 1995 Nr 25, poz. 133).</w:t>
      </w:r>
    </w:p>
    <w:p w14:paraId="7BF9224A" w14:textId="77777777" w:rsidR="000A3B2B" w:rsidRDefault="000A3B2B" w:rsidP="003C16E8">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Rozporządzenie Ministra Infrastruktury z dnia 12 kwietnia 2002 r. – w sprawie warunków technicznych, jakim powinny odpowiadać budynki i ich usytuowanie (Dz. U. z 2002 r. Nr 75, poz. 690 z </w:t>
      </w:r>
      <w:proofErr w:type="spellStart"/>
      <w:r>
        <w:rPr>
          <w:rFonts w:ascii="Arial" w:hAnsi="Arial" w:cs="Arial"/>
          <w:color w:val="000000"/>
          <w:sz w:val="18"/>
          <w:szCs w:val="18"/>
          <w:lang w:val="x-none"/>
        </w:rPr>
        <w:t>późn</w:t>
      </w:r>
      <w:proofErr w:type="spellEnd"/>
      <w:r>
        <w:rPr>
          <w:rFonts w:ascii="Arial" w:hAnsi="Arial" w:cs="Arial"/>
          <w:color w:val="000000"/>
          <w:sz w:val="18"/>
          <w:szCs w:val="18"/>
          <w:lang w:val="x-none"/>
        </w:rPr>
        <w:t>. zmianami – tekst jednolity Dz. U. 2015 Nr 0, poz. 1422).</w:t>
      </w:r>
    </w:p>
    <w:p w14:paraId="1FA567B9" w14:textId="77777777" w:rsidR="000A3B2B" w:rsidRDefault="000A3B2B" w:rsidP="003C16E8">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Rozporządzenie Ministra Pracy i Polityki Społecznej z dnia 26 września 1997 r. – w sprawie ogólnych przepisów bezpieczeństwa i higieny pracy (Dz. U. 1997 Nr 129, poz. 844 – tekst jednolity Dz. U. 2003 Nr 169, poz. 1650).</w:t>
      </w:r>
    </w:p>
    <w:p w14:paraId="2788DAFB" w14:textId="77777777" w:rsidR="000A3B2B" w:rsidRDefault="000A3B2B" w:rsidP="003C16E8">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Rozporządzenie Ministra Infrastruktury z dnia 6 lutego 2003 r. – w sprawie bezpieczeństwa i higieny pracy podczas wykonywania robót budowlanych (Dz. U. Nr 47, poz. 401).</w:t>
      </w:r>
    </w:p>
    <w:p w14:paraId="4845A08E" w14:textId="77777777" w:rsidR="000A3B2B" w:rsidRDefault="000A3B2B" w:rsidP="003C16E8">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Rozporządzenie Ministra Infrastruktury z dnia 23 czerwca 2003 r. – w sprawie informacji dotyczącej bezpieczeństwa i ochrony zdrowia oraz planu bezpieczeństwa i ochrony zdrowia (Dz. U. Nr 120, poz. 1126).</w:t>
      </w:r>
    </w:p>
    <w:p w14:paraId="322D4B77" w14:textId="77777777" w:rsidR="000A3B2B" w:rsidRDefault="000A3B2B" w:rsidP="003C16E8">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 xml:space="preserve">Rozporządzenie Ministra Infrastruktury z dnia 26 czerwca 2002 r. – w sprawie dziennika budowy, montażu i rozbiórki, tablicy informacyjnej oraz ogłoszenia zawierającego dane dotyczące bezpieczeństwa pracy i ochrony zdrowia (Dz. U. z 2002 r. Nr 108, poz. 953 z </w:t>
      </w:r>
      <w:proofErr w:type="spellStart"/>
      <w:r>
        <w:rPr>
          <w:rFonts w:ascii="Arial" w:hAnsi="Arial" w:cs="Arial"/>
          <w:color w:val="000000"/>
          <w:sz w:val="18"/>
          <w:szCs w:val="18"/>
          <w:lang w:val="x-none"/>
        </w:rPr>
        <w:t>późn</w:t>
      </w:r>
      <w:proofErr w:type="spellEnd"/>
      <w:r>
        <w:rPr>
          <w:rFonts w:ascii="Arial" w:hAnsi="Arial" w:cs="Arial"/>
          <w:color w:val="000000"/>
          <w:sz w:val="18"/>
          <w:szCs w:val="18"/>
          <w:lang w:val="x-none"/>
        </w:rPr>
        <w:t>. zmianami).</w:t>
      </w:r>
    </w:p>
    <w:p w14:paraId="0EB4F2F1" w14:textId="77777777" w:rsidR="000A3B2B" w:rsidRDefault="000A3B2B" w:rsidP="003C16E8">
      <w:pPr>
        <w:autoSpaceDE w:val="0"/>
        <w:autoSpaceDN w:val="0"/>
        <w:adjustRightInd w:val="0"/>
        <w:spacing w:after="30" w:line="240" w:lineRule="auto"/>
        <w:ind w:left="285" w:hanging="285"/>
        <w:jc w:val="both"/>
        <w:rPr>
          <w:rFonts w:ascii="Arial" w:hAnsi="Arial" w:cs="Arial"/>
          <w:color w:val="000000"/>
          <w:sz w:val="18"/>
          <w:szCs w:val="18"/>
          <w:lang w:val="x-none"/>
        </w:rPr>
      </w:pPr>
      <w:r>
        <w:rPr>
          <w:rFonts w:ascii="Arial" w:hAnsi="Arial" w:cs="Arial"/>
          <w:color w:val="000000"/>
          <w:sz w:val="18"/>
          <w:szCs w:val="18"/>
          <w:lang w:val="x-none"/>
        </w:rPr>
        <w:t>–</w:t>
      </w:r>
      <w:r>
        <w:rPr>
          <w:rFonts w:ascii="Arial" w:hAnsi="Arial" w:cs="Arial"/>
          <w:color w:val="000000"/>
          <w:sz w:val="18"/>
          <w:szCs w:val="18"/>
          <w:lang w:val="x-none"/>
        </w:rPr>
        <w:tab/>
        <w:t>Rozporządzenie Ministra Infrastruktury z dnia 2 września 2004 r. – w sprawie szczegółowego zakresu i formy dokumentacji projektowej, specyfikacji technicznych wykonania i odbioru robót budowlanych oraz programu funkcjonalno-użytkowego (Dz. U. 2004 Nr 202, poz. 2072, tekst jednolity Dz. U. 2013 Nr 0, poz. 1129).</w:t>
      </w:r>
    </w:p>
    <w:p w14:paraId="4ED8D1CE" w14:textId="77777777" w:rsidR="000A3B2B" w:rsidRDefault="000A3B2B" w:rsidP="003C16E8">
      <w:pPr>
        <w:autoSpaceDE w:val="0"/>
        <w:autoSpaceDN w:val="0"/>
        <w:adjustRightInd w:val="0"/>
        <w:spacing w:after="30" w:line="240" w:lineRule="auto"/>
        <w:ind w:left="285" w:hanging="285"/>
        <w:jc w:val="both"/>
        <w:rPr>
          <w:rFonts w:ascii="Arial" w:hAnsi="Arial" w:cs="Arial"/>
          <w:b/>
          <w:bCs/>
          <w:i/>
          <w:iCs/>
          <w:color w:val="000000"/>
          <w:sz w:val="18"/>
          <w:szCs w:val="18"/>
          <w:lang w:val="x-none"/>
        </w:rPr>
      </w:pPr>
    </w:p>
    <w:p w14:paraId="6EF5A5E6" w14:textId="77777777" w:rsidR="000A3B2B" w:rsidRDefault="000A3B2B" w:rsidP="003C16E8">
      <w:pPr>
        <w:autoSpaceDE w:val="0"/>
        <w:autoSpaceDN w:val="0"/>
        <w:adjustRightInd w:val="0"/>
        <w:spacing w:after="30" w:line="240" w:lineRule="auto"/>
        <w:jc w:val="right"/>
        <w:rPr>
          <w:rFonts w:ascii="Arial" w:hAnsi="Arial" w:cs="Arial"/>
          <w:b/>
          <w:bCs/>
          <w:i/>
          <w:iCs/>
          <w:color w:val="000000"/>
          <w:sz w:val="18"/>
          <w:szCs w:val="18"/>
          <w:lang w:val="x-none"/>
        </w:rPr>
      </w:pPr>
      <w:r>
        <w:rPr>
          <w:rFonts w:ascii="Arial" w:hAnsi="Arial" w:cs="Arial"/>
          <w:b/>
          <w:bCs/>
          <w:i/>
          <w:iCs/>
          <w:color w:val="000000"/>
          <w:sz w:val="18"/>
          <w:szCs w:val="18"/>
          <w:lang w:val="x-none"/>
        </w:rPr>
        <w:br w:type="page"/>
        <w:t>Załącznik 1</w:t>
      </w:r>
    </w:p>
    <w:p w14:paraId="60EA4F21" w14:textId="77777777" w:rsidR="000A3B2B" w:rsidRDefault="000A3B2B" w:rsidP="003C16E8">
      <w:pPr>
        <w:autoSpaceDE w:val="0"/>
        <w:autoSpaceDN w:val="0"/>
        <w:adjustRightInd w:val="0"/>
        <w:spacing w:after="30" w:line="240" w:lineRule="auto"/>
        <w:jc w:val="right"/>
        <w:rPr>
          <w:rFonts w:ascii="Arial" w:hAnsi="Arial" w:cs="Arial"/>
          <w:color w:val="000000"/>
          <w:sz w:val="18"/>
          <w:szCs w:val="18"/>
          <w:lang w:val="x-none"/>
        </w:rPr>
      </w:pPr>
    </w:p>
    <w:p w14:paraId="17EA9875" w14:textId="77777777" w:rsidR="000A3B2B" w:rsidRDefault="000A3B2B" w:rsidP="003C16E8">
      <w:pPr>
        <w:autoSpaceDE w:val="0"/>
        <w:autoSpaceDN w:val="0"/>
        <w:adjustRightInd w:val="0"/>
        <w:spacing w:after="30" w:line="240" w:lineRule="auto"/>
        <w:jc w:val="right"/>
        <w:rPr>
          <w:rFonts w:ascii="Arial" w:hAnsi="Arial" w:cs="Arial"/>
          <w:color w:val="000000"/>
          <w:sz w:val="18"/>
          <w:szCs w:val="18"/>
          <w:lang w:val="x-none"/>
        </w:rPr>
      </w:pPr>
      <w:r>
        <w:rPr>
          <w:rFonts w:ascii="Arial" w:hAnsi="Arial" w:cs="Arial"/>
          <w:color w:val="000000"/>
          <w:sz w:val="18"/>
          <w:szCs w:val="18"/>
          <w:lang w:val="x-none"/>
        </w:rPr>
        <w:t>..........................................., dnia ....................... r.</w:t>
      </w:r>
    </w:p>
    <w:p w14:paraId="1DE77076" w14:textId="77777777" w:rsidR="000A3B2B" w:rsidRDefault="000A3B2B" w:rsidP="003C16E8">
      <w:pPr>
        <w:autoSpaceDE w:val="0"/>
        <w:autoSpaceDN w:val="0"/>
        <w:adjustRightInd w:val="0"/>
        <w:spacing w:after="30" w:line="240" w:lineRule="auto"/>
        <w:jc w:val="center"/>
        <w:rPr>
          <w:rFonts w:ascii="Arial" w:hAnsi="Arial" w:cs="Arial"/>
          <w:b/>
          <w:bCs/>
          <w:color w:val="000000"/>
          <w:sz w:val="18"/>
          <w:szCs w:val="18"/>
          <w:lang w:val="x-none"/>
        </w:rPr>
      </w:pPr>
    </w:p>
    <w:p w14:paraId="52D21BEF" w14:textId="77777777" w:rsidR="000A3B2B" w:rsidRDefault="000A3B2B" w:rsidP="003C16E8">
      <w:pPr>
        <w:autoSpaceDE w:val="0"/>
        <w:autoSpaceDN w:val="0"/>
        <w:adjustRightInd w:val="0"/>
        <w:spacing w:after="30" w:line="240" w:lineRule="auto"/>
        <w:jc w:val="center"/>
        <w:rPr>
          <w:rFonts w:ascii="Arial" w:hAnsi="Arial" w:cs="Arial"/>
          <w:b/>
          <w:bCs/>
          <w:color w:val="000000"/>
          <w:sz w:val="18"/>
          <w:szCs w:val="18"/>
          <w:lang w:val="x-none"/>
        </w:rPr>
      </w:pPr>
      <w:r>
        <w:rPr>
          <w:rFonts w:ascii="Arial" w:hAnsi="Arial" w:cs="Arial"/>
          <w:b/>
          <w:bCs/>
          <w:color w:val="000000"/>
          <w:sz w:val="18"/>
          <w:szCs w:val="18"/>
          <w:lang w:val="x-none"/>
        </w:rPr>
        <w:t>PROTOKÓŁ ODBIORU TECHNICZNEGO – CZĘŚCIOWEGO PRZEWODU KANALIZACYJNEGO</w:t>
      </w:r>
    </w:p>
    <w:p w14:paraId="61867B16" w14:textId="77777777" w:rsidR="000A3B2B" w:rsidRDefault="000A3B2B" w:rsidP="003C16E8">
      <w:pPr>
        <w:autoSpaceDE w:val="0"/>
        <w:autoSpaceDN w:val="0"/>
        <w:adjustRightInd w:val="0"/>
        <w:spacing w:after="3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1.</w:t>
      </w:r>
      <w:r>
        <w:rPr>
          <w:rFonts w:ascii="Arial" w:hAnsi="Arial" w:cs="Arial"/>
          <w:b/>
          <w:bCs/>
          <w:color w:val="000000"/>
          <w:sz w:val="18"/>
          <w:szCs w:val="18"/>
          <w:lang w:val="x-none"/>
        </w:rPr>
        <w:tab/>
        <w:t>Przedmiot odbioru</w:t>
      </w:r>
    </w:p>
    <w:p w14:paraId="7F2CDDF8" w14:textId="77777777" w:rsidR="000A3B2B" w:rsidRDefault="000A3B2B" w:rsidP="003C16E8">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Przewód ogólnospławny*, sanitarny*, deszczowy*; system: grawitacyjny*, ciśnieniowy*, podciśnieniowy*, zrealizowany w ............................... w ul. .............................. na odcinku ......................</w:t>
      </w:r>
    </w:p>
    <w:p w14:paraId="774C7145" w14:textId="77777777" w:rsidR="000A3B2B" w:rsidRDefault="000A3B2B" w:rsidP="003C16E8">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                                             </w:t>
      </w:r>
      <w:r>
        <w:rPr>
          <w:rFonts w:ascii="Arial" w:hAnsi="Arial" w:cs="Arial"/>
          <w:color w:val="000000"/>
          <w:sz w:val="14"/>
          <w:szCs w:val="14"/>
          <w:lang w:val="x-none"/>
        </w:rPr>
        <w:t>nazwa miejscowości</w:t>
      </w:r>
      <w:r>
        <w:rPr>
          <w:rFonts w:ascii="Arial" w:hAnsi="Arial" w:cs="Arial"/>
          <w:color w:val="000000"/>
          <w:sz w:val="18"/>
          <w:szCs w:val="18"/>
          <w:lang w:val="x-none"/>
        </w:rPr>
        <w:tab/>
      </w:r>
    </w:p>
    <w:p w14:paraId="4AA25FC6" w14:textId="77777777" w:rsidR="000A3B2B" w:rsidRDefault="000A3B2B" w:rsidP="003C16E8">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o średnicy DN/ID*, DN/OD*..................................................... długości L = .......................</w:t>
      </w:r>
    </w:p>
    <w:p w14:paraId="52410492" w14:textId="77777777" w:rsidR="000A3B2B" w:rsidRDefault="000A3B2B" w:rsidP="003C16E8">
      <w:pPr>
        <w:tabs>
          <w:tab w:val="right" w:leader="dot" w:pos="7080"/>
        </w:tabs>
        <w:autoSpaceDE w:val="0"/>
        <w:autoSpaceDN w:val="0"/>
        <w:adjustRightInd w:val="0"/>
        <w:spacing w:after="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wykonany z materiału </w:t>
      </w:r>
      <w:r>
        <w:rPr>
          <w:rFonts w:ascii="Arial" w:hAnsi="Arial" w:cs="Arial"/>
          <w:color w:val="000000"/>
          <w:sz w:val="18"/>
          <w:szCs w:val="18"/>
          <w:lang w:val="x-none"/>
        </w:rPr>
        <w:tab/>
      </w:r>
    </w:p>
    <w:p w14:paraId="2359467C" w14:textId="77777777" w:rsidR="000A3B2B" w:rsidRDefault="000A3B2B" w:rsidP="003C16E8">
      <w:pPr>
        <w:tabs>
          <w:tab w:val="right" w:leader="dot" w:pos="7080"/>
        </w:tabs>
        <w:autoSpaceDE w:val="0"/>
        <w:autoSpaceDN w:val="0"/>
        <w:adjustRightInd w:val="0"/>
        <w:spacing w:after="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ze studzienkami kanalizacyjnymi </w:t>
      </w:r>
      <w:r>
        <w:rPr>
          <w:rFonts w:ascii="Arial" w:hAnsi="Arial" w:cs="Arial"/>
          <w:color w:val="000000"/>
          <w:sz w:val="18"/>
          <w:szCs w:val="18"/>
          <w:lang w:val="x-none"/>
        </w:rPr>
        <w:tab/>
      </w:r>
    </w:p>
    <w:p w14:paraId="32F1B6AC" w14:textId="77777777" w:rsidR="000A3B2B" w:rsidRDefault="000A3B2B" w:rsidP="003C16E8">
      <w:pPr>
        <w:tabs>
          <w:tab w:val="right" w:leader="dot" w:pos="7080"/>
        </w:tabs>
        <w:autoSpaceDE w:val="0"/>
        <w:autoSpaceDN w:val="0"/>
        <w:adjustRightInd w:val="0"/>
        <w:spacing w:after="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zaprojektowany przez </w:t>
      </w:r>
      <w:r>
        <w:rPr>
          <w:rFonts w:ascii="Arial" w:hAnsi="Arial" w:cs="Arial"/>
          <w:color w:val="000000"/>
          <w:sz w:val="18"/>
          <w:szCs w:val="18"/>
          <w:lang w:val="x-none"/>
        </w:rPr>
        <w:tab/>
      </w:r>
    </w:p>
    <w:p w14:paraId="7DF9C417" w14:textId="77777777" w:rsidR="000A3B2B" w:rsidRDefault="000A3B2B" w:rsidP="003C16E8">
      <w:pPr>
        <w:tabs>
          <w:tab w:val="right" w:leader="dot" w:pos="7080"/>
        </w:tabs>
        <w:autoSpaceDE w:val="0"/>
        <w:autoSpaceDN w:val="0"/>
        <w:adjustRightInd w:val="0"/>
        <w:spacing w:after="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uzgodniony przez </w:t>
      </w:r>
      <w:r>
        <w:rPr>
          <w:rFonts w:ascii="Arial" w:hAnsi="Arial" w:cs="Arial"/>
          <w:color w:val="000000"/>
          <w:sz w:val="18"/>
          <w:szCs w:val="18"/>
          <w:lang w:val="x-none"/>
        </w:rPr>
        <w:tab/>
      </w:r>
    </w:p>
    <w:p w14:paraId="71E49DDD" w14:textId="77777777" w:rsidR="000A3B2B" w:rsidRDefault="000A3B2B" w:rsidP="003C16E8">
      <w:pPr>
        <w:autoSpaceDE w:val="0"/>
        <w:autoSpaceDN w:val="0"/>
        <w:adjustRightInd w:val="0"/>
        <w:spacing w:after="30" w:line="240" w:lineRule="auto"/>
        <w:jc w:val="center"/>
        <w:rPr>
          <w:rFonts w:ascii="Arial" w:hAnsi="Arial" w:cs="Arial"/>
          <w:color w:val="000000"/>
          <w:sz w:val="14"/>
          <w:szCs w:val="14"/>
          <w:lang w:val="x-none"/>
        </w:rPr>
      </w:pPr>
      <w:r>
        <w:rPr>
          <w:rFonts w:ascii="Arial" w:hAnsi="Arial" w:cs="Arial"/>
          <w:color w:val="000000"/>
          <w:sz w:val="14"/>
          <w:szCs w:val="14"/>
          <w:lang w:val="x-none"/>
        </w:rPr>
        <w:tab/>
        <w:t>nazwa przedsiębiorstwa wodociągów i kanalizacji</w:t>
      </w:r>
    </w:p>
    <w:p w14:paraId="6A891CB2" w14:textId="77777777" w:rsidR="000A3B2B" w:rsidRDefault="000A3B2B" w:rsidP="003C16E8">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Nr uzgodnienia ............., okres budowy od dnia ........................  do dnia ..........................</w:t>
      </w:r>
    </w:p>
    <w:p w14:paraId="291ECAC8" w14:textId="77777777" w:rsidR="000A3B2B" w:rsidRDefault="000A3B2B" w:rsidP="003C16E8">
      <w:pPr>
        <w:autoSpaceDE w:val="0"/>
        <w:autoSpaceDN w:val="0"/>
        <w:adjustRightInd w:val="0"/>
        <w:spacing w:after="30" w:line="240" w:lineRule="auto"/>
        <w:ind w:left="285" w:hanging="285"/>
        <w:jc w:val="both"/>
        <w:rPr>
          <w:rFonts w:ascii="Arial" w:hAnsi="Arial" w:cs="Arial"/>
          <w:b/>
          <w:bCs/>
          <w:color w:val="000000"/>
          <w:sz w:val="18"/>
          <w:szCs w:val="18"/>
          <w:lang w:val="x-none"/>
        </w:rPr>
      </w:pPr>
    </w:p>
    <w:p w14:paraId="1D5626A3" w14:textId="77777777" w:rsidR="000A3B2B" w:rsidRDefault="000A3B2B" w:rsidP="003C16E8">
      <w:pPr>
        <w:autoSpaceDE w:val="0"/>
        <w:autoSpaceDN w:val="0"/>
        <w:adjustRightInd w:val="0"/>
        <w:spacing w:after="3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2.</w:t>
      </w:r>
      <w:r>
        <w:rPr>
          <w:rFonts w:ascii="Arial" w:hAnsi="Arial" w:cs="Arial"/>
          <w:b/>
          <w:bCs/>
          <w:color w:val="000000"/>
          <w:sz w:val="18"/>
          <w:szCs w:val="18"/>
          <w:lang w:val="x-none"/>
        </w:rPr>
        <w:tab/>
        <w:t>Skład Komisji, której przewodniczy inwestor:</w:t>
      </w:r>
    </w:p>
    <w:tbl>
      <w:tblPr>
        <w:tblW w:w="0" w:type="auto"/>
        <w:tblCellSpacing w:w="0" w:type="dxa"/>
        <w:tblInd w:w="-8" w:type="dxa"/>
        <w:tblLayout w:type="fixed"/>
        <w:tblCellMar>
          <w:left w:w="0" w:type="dxa"/>
          <w:right w:w="0" w:type="dxa"/>
        </w:tblCellMar>
        <w:tblLook w:val="0000" w:firstRow="0" w:lastRow="0" w:firstColumn="0" w:lastColumn="0" w:noHBand="0" w:noVBand="0"/>
      </w:tblPr>
      <w:tblGrid>
        <w:gridCol w:w="502"/>
        <w:gridCol w:w="1380"/>
        <w:gridCol w:w="1320"/>
        <w:gridCol w:w="1320"/>
        <w:gridCol w:w="1320"/>
        <w:gridCol w:w="1320"/>
      </w:tblGrid>
      <w:tr w:rsidR="000A3B2B" w14:paraId="37AE0654" w14:textId="77777777" w:rsidTr="00443121">
        <w:trPr>
          <w:trHeight w:val="60"/>
          <w:tblCellSpacing w:w="0" w:type="dxa"/>
        </w:trPr>
        <w:tc>
          <w:tcPr>
            <w:tcW w:w="502" w:type="dxa"/>
            <w:tcBorders>
              <w:top w:val="single" w:sz="6" w:space="0" w:color="000000"/>
              <w:left w:val="single" w:sz="6" w:space="0" w:color="000000"/>
              <w:bottom w:val="single" w:sz="6" w:space="0" w:color="000000"/>
              <w:right w:val="single" w:sz="6" w:space="0" w:color="000000"/>
            </w:tcBorders>
            <w:vAlign w:val="center"/>
          </w:tcPr>
          <w:p w14:paraId="0D14F5BD" w14:textId="77777777" w:rsidR="000A3B2B" w:rsidRDefault="000A3B2B" w:rsidP="00443121">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Poz.</w:t>
            </w:r>
          </w:p>
        </w:tc>
        <w:tc>
          <w:tcPr>
            <w:tcW w:w="1380" w:type="dxa"/>
            <w:tcBorders>
              <w:top w:val="single" w:sz="6" w:space="0" w:color="000000"/>
              <w:left w:val="single" w:sz="6" w:space="0" w:color="000000"/>
              <w:bottom w:val="single" w:sz="6" w:space="0" w:color="000000"/>
              <w:right w:val="single" w:sz="6" w:space="0" w:color="000000"/>
            </w:tcBorders>
            <w:vAlign w:val="center"/>
          </w:tcPr>
          <w:p w14:paraId="782401D0" w14:textId="77777777" w:rsidR="000A3B2B" w:rsidRDefault="000A3B2B" w:rsidP="00443121">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w:t>
            </w:r>
          </w:p>
        </w:tc>
        <w:tc>
          <w:tcPr>
            <w:tcW w:w="1320" w:type="dxa"/>
            <w:tcBorders>
              <w:top w:val="single" w:sz="6" w:space="0" w:color="000000"/>
              <w:left w:val="single" w:sz="6" w:space="0" w:color="000000"/>
              <w:bottom w:val="single" w:sz="6" w:space="0" w:color="000000"/>
              <w:right w:val="single" w:sz="6" w:space="0" w:color="000000"/>
            </w:tcBorders>
            <w:vAlign w:val="center"/>
          </w:tcPr>
          <w:p w14:paraId="18668492" w14:textId="77777777" w:rsidR="000A3B2B" w:rsidRDefault="000A3B2B" w:rsidP="00443121">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Imię i nazwisko</w:t>
            </w:r>
          </w:p>
        </w:tc>
        <w:tc>
          <w:tcPr>
            <w:tcW w:w="1320" w:type="dxa"/>
            <w:tcBorders>
              <w:top w:val="single" w:sz="6" w:space="0" w:color="000000"/>
              <w:left w:val="single" w:sz="6" w:space="0" w:color="000000"/>
              <w:bottom w:val="single" w:sz="6" w:space="0" w:color="000000"/>
              <w:right w:val="single" w:sz="6" w:space="0" w:color="000000"/>
            </w:tcBorders>
            <w:vAlign w:val="center"/>
          </w:tcPr>
          <w:p w14:paraId="2FF8A032" w14:textId="77777777" w:rsidR="000A3B2B" w:rsidRDefault="000A3B2B" w:rsidP="00443121">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Instytucja</w:t>
            </w:r>
          </w:p>
        </w:tc>
        <w:tc>
          <w:tcPr>
            <w:tcW w:w="1320" w:type="dxa"/>
            <w:tcBorders>
              <w:top w:val="single" w:sz="6" w:space="0" w:color="000000"/>
              <w:left w:val="single" w:sz="6" w:space="0" w:color="000000"/>
              <w:bottom w:val="single" w:sz="6" w:space="0" w:color="000000"/>
              <w:right w:val="single" w:sz="6" w:space="0" w:color="000000"/>
            </w:tcBorders>
            <w:vAlign w:val="center"/>
          </w:tcPr>
          <w:p w14:paraId="702658C1" w14:textId="77777777" w:rsidR="000A3B2B" w:rsidRDefault="000A3B2B" w:rsidP="00443121">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Stanowisko</w:t>
            </w:r>
          </w:p>
        </w:tc>
        <w:tc>
          <w:tcPr>
            <w:tcW w:w="1320" w:type="dxa"/>
            <w:tcBorders>
              <w:top w:val="single" w:sz="6" w:space="0" w:color="000000"/>
              <w:left w:val="single" w:sz="6" w:space="0" w:color="000000"/>
              <w:bottom w:val="single" w:sz="6" w:space="0" w:color="000000"/>
              <w:right w:val="single" w:sz="6" w:space="0" w:color="000000"/>
            </w:tcBorders>
            <w:vAlign w:val="center"/>
          </w:tcPr>
          <w:p w14:paraId="0A27E5F8" w14:textId="77777777" w:rsidR="000A3B2B" w:rsidRDefault="000A3B2B" w:rsidP="00443121">
            <w:pPr>
              <w:autoSpaceDE w:val="0"/>
              <w:autoSpaceDN w:val="0"/>
              <w:adjustRightInd w:val="0"/>
              <w:spacing w:after="30" w:line="240" w:lineRule="auto"/>
              <w:jc w:val="center"/>
              <w:rPr>
                <w:rFonts w:ascii="Arial" w:hAnsi="Arial" w:cs="Arial"/>
                <w:color w:val="000000"/>
                <w:position w:val="4"/>
                <w:sz w:val="8"/>
                <w:szCs w:val="8"/>
                <w:lang w:val="x-none"/>
              </w:rPr>
            </w:pPr>
            <w:r>
              <w:rPr>
                <w:rFonts w:ascii="Arial" w:hAnsi="Arial" w:cs="Arial"/>
                <w:color w:val="000000"/>
                <w:sz w:val="18"/>
                <w:szCs w:val="18"/>
                <w:lang w:val="x-none"/>
              </w:rPr>
              <w:t>Uwagi</w:t>
            </w:r>
            <w:r>
              <w:rPr>
                <w:rFonts w:ascii="Arial" w:hAnsi="Arial" w:cs="Arial"/>
                <w:color w:val="000000"/>
                <w:position w:val="4"/>
                <w:sz w:val="8"/>
                <w:szCs w:val="8"/>
                <w:lang w:val="x-none"/>
              </w:rPr>
              <w:t>1)</w:t>
            </w:r>
          </w:p>
        </w:tc>
      </w:tr>
      <w:tr w:rsidR="000A3B2B" w14:paraId="0BFA1FD8" w14:textId="77777777" w:rsidTr="00443121">
        <w:trPr>
          <w:trHeight w:val="60"/>
          <w:tblCellSpacing w:w="0" w:type="dxa"/>
        </w:trPr>
        <w:tc>
          <w:tcPr>
            <w:tcW w:w="502" w:type="dxa"/>
            <w:tcBorders>
              <w:top w:val="single" w:sz="6" w:space="0" w:color="000000"/>
              <w:left w:val="single" w:sz="6" w:space="0" w:color="000000"/>
              <w:bottom w:val="single" w:sz="6" w:space="0" w:color="000000"/>
              <w:right w:val="single" w:sz="6" w:space="0" w:color="000000"/>
            </w:tcBorders>
            <w:vAlign w:val="center"/>
          </w:tcPr>
          <w:p w14:paraId="2A3596F0" w14:textId="77777777" w:rsidR="000A3B2B" w:rsidRDefault="000A3B2B" w:rsidP="00443121">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w:t>
            </w:r>
          </w:p>
        </w:tc>
        <w:tc>
          <w:tcPr>
            <w:tcW w:w="1380" w:type="dxa"/>
            <w:tcBorders>
              <w:top w:val="single" w:sz="6" w:space="0" w:color="000000"/>
              <w:left w:val="single" w:sz="6" w:space="0" w:color="000000"/>
              <w:bottom w:val="single" w:sz="6" w:space="0" w:color="000000"/>
              <w:right w:val="single" w:sz="6" w:space="0" w:color="000000"/>
            </w:tcBorders>
            <w:vAlign w:val="center"/>
          </w:tcPr>
          <w:p w14:paraId="64EC4788" w14:textId="77777777" w:rsidR="000A3B2B" w:rsidRDefault="000A3B2B" w:rsidP="00443121">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Inwestor</w:t>
            </w:r>
          </w:p>
        </w:tc>
        <w:tc>
          <w:tcPr>
            <w:tcW w:w="1320" w:type="dxa"/>
            <w:tcBorders>
              <w:top w:val="single" w:sz="6" w:space="0" w:color="000000"/>
              <w:left w:val="single" w:sz="6" w:space="0" w:color="000000"/>
              <w:bottom w:val="single" w:sz="6" w:space="0" w:color="000000"/>
              <w:right w:val="single" w:sz="6" w:space="0" w:color="000000"/>
            </w:tcBorders>
            <w:vAlign w:val="center"/>
          </w:tcPr>
          <w:p w14:paraId="57811E25" w14:textId="77777777" w:rsidR="000A3B2B" w:rsidRDefault="000A3B2B" w:rsidP="00443121">
            <w:pPr>
              <w:autoSpaceDE w:val="0"/>
              <w:autoSpaceDN w:val="0"/>
              <w:adjustRightInd w:val="0"/>
              <w:spacing w:after="0" w:line="240" w:lineRule="auto"/>
              <w:rPr>
                <w:rFonts w:ascii="Arial" w:hAnsi="Arial" w:cs="Arial"/>
                <w:sz w:val="24"/>
                <w:szCs w:val="24"/>
                <w:lang w:val="x-none"/>
              </w:rPr>
            </w:pPr>
          </w:p>
        </w:tc>
        <w:tc>
          <w:tcPr>
            <w:tcW w:w="1320" w:type="dxa"/>
            <w:tcBorders>
              <w:top w:val="single" w:sz="6" w:space="0" w:color="000000"/>
              <w:left w:val="single" w:sz="6" w:space="0" w:color="000000"/>
              <w:bottom w:val="single" w:sz="6" w:space="0" w:color="000000"/>
              <w:right w:val="single" w:sz="6" w:space="0" w:color="000000"/>
            </w:tcBorders>
            <w:vAlign w:val="center"/>
          </w:tcPr>
          <w:p w14:paraId="0F6E674F" w14:textId="77777777" w:rsidR="000A3B2B" w:rsidRDefault="000A3B2B" w:rsidP="00443121">
            <w:pPr>
              <w:autoSpaceDE w:val="0"/>
              <w:autoSpaceDN w:val="0"/>
              <w:adjustRightInd w:val="0"/>
              <w:spacing w:after="0" w:line="240" w:lineRule="auto"/>
              <w:rPr>
                <w:rFonts w:ascii="Arial" w:hAnsi="Arial" w:cs="Arial"/>
                <w:sz w:val="24"/>
                <w:szCs w:val="24"/>
                <w:lang w:val="x-none"/>
              </w:rPr>
            </w:pPr>
          </w:p>
        </w:tc>
        <w:tc>
          <w:tcPr>
            <w:tcW w:w="1320" w:type="dxa"/>
            <w:tcBorders>
              <w:top w:val="single" w:sz="6" w:space="0" w:color="000000"/>
              <w:left w:val="single" w:sz="6" w:space="0" w:color="000000"/>
              <w:bottom w:val="single" w:sz="6" w:space="0" w:color="000000"/>
              <w:right w:val="single" w:sz="6" w:space="0" w:color="000000"/>
            </w:tcBorders>
            <w:vAlign w:val="center"/>
          </w:tcPr>
          <w:p w14:paraId="197DEA77" w14:textId="77777777" w:rsidR="000A3B2B" w:rsidRDefault="000A3B2B" w:rsidP="00443121">
            <w:pPr>
              <w:autoSpaceDE w:val="0"/>
              <w:autoSpaceDN w:val="0"/>
              <w:adjustRightInd w:val="0"/>
              <w:spacing w:after="0" w:line="240" w:lineRule="auto"/>
              <w:rPr>
                <w:rFonts w:ascii="Arial" w:hAnsi="Arial" w:cs="Arial"/>
                <w:sz w:val="24"/>
                <w:szCs w:val="24"/>
                <w:lang w:val="x-none"/>
              </w:rPr>
            </w:pPr>
          </w:p>
        </w:tc>
        <w:tc>
          <w:tcPr>
            <w:tcW w:w="1320" w:type="dxa"/>
            <w:tcBorders>
              <w:top w:val="single" w:sz="6" w:space="0" w:color="000000"/>
              <w:left w:val="single" w:sz="6" w:space="0" w:color="000000"/>
              <w:bottom w:val="single" w:sz="6" w:space="0" w:color="000000"/>
              <w:right w:val="single" w:sz="6" w:space="0" w:color="000000"/>
            </w:tcBorders>
            <w:vAlign w:val="center"/>
          </w:tcPr>
          <w:p w14:paraId="0E988384" w14:textId="77777777" w:rsidR="000A3B2B" w:rsidRDefault="000A3B2B" w:rsidP="00443121">
            <w:pPr>
              <w:autoSpaceDE w:val="0"/>
              <w:autoSpaceDN w:val="0"/>
              <w:adjustRightInd w:val="0"/>
              <w:spacing w:after="0" w:line="240" w:lineRule="auto"/>
              <w:rPr>
                <w:rFonts w:ascii="Arial" w:hAnsi="Arial" w:cs="Arial"/>
                <w:sz w:val="24"/>
                <w:szCs w:val="24"/>
                <w:lang w:val="x-none"/>
              </w:rPr>
            </w:pPr>
          </w:p>
        </w:tc>
      </w:tr>
      <w:tr w:rsidR="000A3B2B" w14:paraId="521C6B89" w14:textId="77777777" w:rsidTr="00443121">
        <w:trPr>
          <w:trHeight w:val="60"/>
          <w:tblCellSpacing w:w="0" w:type="dxa"/>
        </w:trPr>
        <w:tc>
          <w:tcPr>
            <w:tcW w:w="502" w:type="dxa"/>
            <w:tcBorders>
              <w:top w:val="single" w:sz="6" w:space="0" w:color="000000"/>
              <w:left w:val="single" w:sz="6" w:space="0" w:color="000000"/>
              <w:bottom w:val="single" w:sz="6" w:space="0" w:color="000000"/>
              <w:right w:val="single" w:sz="6" w:space="0" w:color="000000"/>
            </w:tcBorders>
            <w:vAlign w:val="center"/>
          </w:tcPr>
          <w:p w14:paraId="15A4607D" w14:textId="77777777" w:rsidR="000A3B2B" w:rsidRDefault="000A3B2B" w:rsidP="00443121">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2.</w:t>
            </w:r>
          </w:p>
        </w:tc>
        <w:tc>
          <w:tcPr>
            <w:tcW w:w="1380" w:type="dxa"/>
            <w:tcBorders>
              <w:top w:val="single" w:sz="6" w:space="0" w:color="000000"/>
              <w:left w:val="single" w:sz="6" w:space="0" w:color="000000"/>
              <w:bottom w:val="single" w:sz="6" w:space="0" w:color="000000"/>
              <w:right w:val="single" w:sz="6" w:space="0" w:color="000000"/>
            </w:tcBorders>
            <w:vAlign w:val="center"/>
          </w:tcPr>
          <w:p w14:paraId="5E1645AB" w14:textId="77777777" w:rsidR="000A3B2B" w:rsidRDefault="000A3B2B" w:rsidP="00443121">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Wykonawca</w:t>
            </w:r>
          </w:p>
        </w:tc>
        <w:tc>
          <w:tcPr>
            <w:tcW w:w="1320" w:type="dxa"/>
            <w:tcBorders>
              <w:top w:val="single" w:sz="6" w:space="0" w:color="000000"/>
              <w:left w:val="single" w:sz="6" w:space="0" w:color="000000"/>
              <w:bottom w:val="single" w:sz="6" w:space="0" w:color="000000"/>
              <w:right w:val="single" w:sz="6" w:space="0" w:color="000000"/>
            </w:tcBorders>
            <w:vAlign w:val="center"/>
          </w:tcPr>
          <w:p w14:paraId="177B9C0C" w14:textId="77777777" w:rsidR="000A3B2B" w:rsidRDefault="000A3B2B" w:rsidP="00443121">
            <w:pPr>
              <w:autoSpaceDE w:val="0"/>
              <w:autoSpaceDN w:val="0"/>
              <w:adjustRightInd w:val="0"/>
              <w:spacing w:after="0" w:line="240" w:lineRule="auto"/>
              <w:rPr>
                <w:rFonts w:ascii="Arial" w:hAnsi="Arial" w:cs="Arial"/>
                <w:sz w:val="24"/>
                <w:szCs w:val="24"/>
                <w:lang w:val="x-none"/>
              </w:rPr>
            </w:pPr>
          </w:p>
        </w:tc>
        <w:tc>
          <w:tcPr>
            <w:tcW w:w="1320" w:type="dxa"/>
            <w:tcBorders>
              <w:top w:val="single" w:sz="6" w:space="0" w:color="000000"/>
              <w:left w:val="single" w:sz="6" w:space="0" w:color="000000"/>
              <w:bottom w:val="single" w:sz="6" w:space="0" w:color="000000"/>
              <w:right w:val="single" w:sz="6" w:space="0" w:color="000000"/>
            </w:tcBorders>
            <w:vAlign w:val="center"/>
          </w:tcPr>
          <w:p w14:paraId="7C1E338D" w14:textId="77777777" w:rsidR="000A3B2B" w:rsidRDefault="000A3B2B" w:rsidP="00443121">
            <w:pPr>
              <w:autoSpaceDE w:val="0"/>
              <w:autoSpaceDN w:val="0"/>
              <w:adjustRightInd w:val="0"/>
              <w:spacing w:after="0" w:line="240" w:lineRule="auto"/>
              <w:rPr>
                <w:rFonts w:ascii="Arial" w:hAnsi="Arial" w:cs="Arial"/>
                <w:sz w:val="24"/>
                <w:szCs w:val="24"/>
                <w:lang w:val="x-none"/>
              </w:rPr>
            </w:pPr>
          </w:p>
        </w:tc>
        <w:tc>
          <w:tcPr>
            <w:tcW w:w="1320" w:type="dxa"/>
            <w:tcBorders>
              <w:top w:val="single" w:sz="6" w:space="0" w:color="000000"/>
              <w:left w:val="single" w:sz="6" w:space="0" w:color="000000"/>
              <w:bottom w:val="single" w:sz="6" w:space="0" w:color="000000"/>
              <w:right w:val="single" w:sz="6" w:space="0" w:color="000000"/>
            </w:tcBorders>
            <w:vAlign w:val="center"/>
          </w:tcPr>
          <w:p w14:paraId="2DAC9518" w14:textId="77777777" w:rsidR="000A3B2B" w:rsidRDefault="000A3B2B" w:rsidP="00443121">
            <w:pPr>
              <w:autoSpaceDE w:val="0"/>
              <w:autoSpaceDN w:val="0"/>
              <w:adjustRightInd w:val="0"/>
              <w:spacing w:after="0" w:line="240" w:lineRule="auto"/>
              <w:rPr>
                <w:rFonts w:ascii="Arial" w:hAnsi="Arial" w:cs="Arial"/>
                <w:sz w:val="24"/>
                <w:szCs w:val="24"/>
                <w:lang w:val="x-none"/>
              </w:rPr>
            </w:pPr>
          </w:p>
        </w:tc>
        <w:tc>
          <w:tcPr>
            <w:tcW w:w="1320" w:type="dxa"/>
            <w:tcBorders>
              <w:top w:val="single" w:sz="6" w:space="0" w:color="000000"/>
              <w:left w:val="single" w:sz="6" w:space="0" w:color="000000"/>
              <w:bottom w:val="single" w:sz="6" w:space="0" w:color="000000"/>
              <w:right w:val="single" w:sz="6" w:space="0" w:color="000000"/>
            </w:tcBorders>
            <w:vAlign w:val="center"/>
          </w:tcPr>
          <w:p w14:paraId="50E090B6" w14:textId="77777777" w:rsidR="000A3B2B" w:rsidRDefault="000A3B2B" w:rsidP="00443121">
            <w:pPr>
              <w:autoSpaceDE w:val="0"/>
              <w:autoSpaceDN w:val="0"/>
              <w:adjustRightInd w:val="0"/>
              <w:spacing w:after="0" w:line="240" w:lineRule="auto"/>
              <w:rPr>
                <w:rFonts w:ascii="Arial" w:hAnsi="Arial" w:cs="Arial"/>
                <w:sz w:val="24"/>
                <w:szCs w:val="24"/>
                <w:lang w:val="x-none"/>
              </w:rPr>
            </w:pPr>
          </w:p>
        </w:tc>
      </w:tr>
      <w:tr w:rsidR="000A3B2B" w14:paraId="47B51D0A" w14:textId="77777777" w:rsidTr="00443121">
        <w:trPr>
          <w:trHeight w:val="60"/>
          <w:tblCellSpacing w:w="0" w:type="dxa"/>
        </w:trPr>
        <w:tc>
          <w:tcPr>
            <w:tcW w:w="502" w:type="dxa"/>
            <w:tcBorders>
              <w:top w:val="single" w:sz="6" w:space="0" w:color="000000"/>
              <w:left w:val="single" w:sz="6" w:space="0" w:color="000000"/>
              <w:bottom w:val="single" w:sz="6" w:space="0" w:color="000000"/>
              <w:right w:val="single" w:sz="6" w:space="0" w:color="000000"/>
            </w:tcBorders>
            <w:vAlign w:val="center"/>
          </w:tcPr>
          <w:p w14:paraId="2756434F" w14:textId="77777777" w:rsidR="000A3B2B" w:rsidRDefault="000A3B2B" w:rsidP="00443121">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3.</w:t>
            </w:r>
          </w:p>
        </w:tc>
        <w:tc>
          <w:tcPr>
            <w:tcW w:w="1380" w:type="dxa"/>
            <w:tcBorders>
              <w:top w:val="single" w:sz="6" w:space="0" w:color="000000"/>
              <w:left w:val="single" w:sz="6" w:space="0" w:color="000000"/>
              <w:bottom w:val="single" w:sz="6" w:space="0" w:color="000000"/>
              <w:right w:val="single" w:sz="6" w:space="0" w:color="000000"/>
            </w:tcBorders>
            <w:vAlign w:val="center"/>
          </w:tcPr>
          <w:p w14:paraId="3360EDB0" w14:textId="77777777" w:rsidR="000A3B2B" w:rsidRDefault="000A3B2B" w:rsidP="00443121">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Nadzór</w:t>
            </w:r>
          </w:p>
        </w:tc>
        <w:tc>
          <w:tcPr>
            <w:tcW w:w="1320" w:type="dxa"/>
            <w:tcBorders>
              <w:top w:val="single" w:sz="6" w:space="0" w:color="000000"/>
              <w:left w:val="single" w:sz="6" w:space="0" w:color="000000"/>
              <w:bottom w:val="single" w:sz="6" w:space="0" w:color="000000"/>
              <w:right w:val="single" w:sz="6" w:space="0" w:color="000000"/>
            </w:tcBorders>
            <w:vAlign w:val="center"/>
          </w:tcPr>
          <w:p w14:paraId="288B576D" w14:textId="77777777" w:rsidR="000A3B2B" w:rsidRDefault="000A3B2B" w:rsidP="00443121">
            <w:pPr>
              <w:autoSpaceDE w:val="0"/>
              <w:autoSpaceDN w:val="0"/>
              <w:adjustRightInd w:val="0"/>
              <w:spacing w:after="0" w:line="240" w:lineRule="auto"/>
              <w:rPr>
                <w:rFonts w:ascii="Arial" w:hAnsi="Arial" w:cs="Arial"/>
                <w:sz w:val="24"/>
                <w:szCs w:val="24"/>
                <w:lang w:val="x-none"/>
              </w:rPr>
            </w:pPr>
          </w:p>
        </w:tc>
        <w:tc>
          <w:tcPr>
            <w:tcW w:w="1320" w:type="dxa"/>
            <w:tcBorders>
              <w:top w:val="single" w:sz="6" w:space="0" w:color="000000"/>
              <w:left w:val="single" w:sz="6" w:space="0" w:color="000000"/>
              <w:bottom w:val="single" w:sz="6" w:space="0" w:color="000000"/>
              <w:right w:val="single" w:sz="6" w:space="0" w:color="000000"/>
            </w:tcBorders>
            <w:vAlign w:val="center"/>
          </w:tcPr>
          <w:p w14:paraId="04A5A5F3" w14:textId="77777777" w:rsidR="000A3B2B" w:rsidRDefault="000A3B2B" w:rsidP="00443121">
            <w:pPr>
              <w:autoSpaceDE w:val="0"/>
              <w:autoSpaceDN w:val="0"/>
              <w:adjustRightInd w:val="0"/>
              <w:spacing w:after="0" w:line="240" w:lineRule="auto"/>
              <w:rPr>
                <w:rFonts w:ascii="Arial" w:hAnsi="Arial" w:cs="Arial"/>
                <w:sz w:val="24"/>
                <w:szCs w:val="24"/>
                <w:lang w:val="x-none"/>
              </w:rPr>
            </w:pPr>
          </w:p>
        </w:tc>
        <w:tc>
          <w:tcPr>
            <w:tcW w:w="1320" w:type="dxa"/>
            <w:tcBorders>
              <w:top w:val="single" w:sz="6" w:space="0" w:color="000000"/>
              <w:left w:val="single" w:sz="6" w:space="0" w:color="000000"/>
              <w:bottom w:val="single" w:sz="6" w:space="0" w:color="000000"/>
              <w:right w:val="single" w:sz="6" w:space="0" w:color="000000"/>
            </w:tcBorders>
            <w:vAlign w:val="center"/>
          </w:tcPr>
          <w:p w14:paraId="61DC1B57" w14:textId="77777777" w:rsidR="000A3B2B" w:rsidRDefault="000A3B2B" w:rsidP="00443121">
            <w:pPr>
              <w:autoSpaceDE w:val="0"/>
              <w:autoSpaceDN w:val="0"/>
              <w:adjustRightInd w:val="0"/>
              <w:spacing w:after="0" w:line="240" w:lineRule="auto"/>
              <w:rPr>
                <w:rFonts w:ascii="Arial" w:hAnsi="Arial" w:cs="Arial"/>
                <w:sz w:val="24"/>
                <w:szCs w:val="24"/>
                <w:lang w:val="x-none"/>
              </w:rPr>
            </w:pPr>
          </w:p>
        </w:tc>
        <w:tc>
          <w:tcPr>
            <w:tcW w:w="1320" w:type="dxa"/>
            <w:tcBorders>
              <w:top w:val="single" w:sz="6" w:space="0" w:color="000000"/>
              <w:left w:val="single" w:sz="6" w:space="0" w:color="000000"/>
              <w:bottom w:val="single" w:sz="6" w:space="0" w:color="000000"/>
              <w:right w:val="single" w:sz="6" w:space="0" w:color="000000"/>
            </w:tcBorders>
            <w:vAlign w:val="center"/>
          </w:tcPr>
          <w:p w14:paraId="5411BE0F" w14:textId="77777777" w:rsidR="000A3B2B" w:rsidRDefault="000A3B2B" w:rsidP="00443121">
            <w:pPr>
              <w:autoSpaceDE w:val="0"/>
              <w:autoSpaceDN w:val="0"/>
              <w:adjustRightInd w:val="0"/>
              <w:spacing w:after="0" w:line="240" w:lineRule="auto"/>
              <w:rPr>
                <w:rFonts w:ascii="Arial" w:hAnsi="Arial" w:cs="Arial"/>
                <w:sz w:val="24"/>
                <w:szCs w:val="24"/>
                <w:lang w:val="x-none"/>
              </w:rPr>
            </w:pPr>
          </w:p>
        </w:tc>
      </w:tr>
      <w:tr w:rsidR="000A3B2B" w14:paraId="539D50C8" w14:textId="77777777" w:rsidTr="00443121">
        <w:trPr>
          <w:trHeight w:val="60"/>
          <w:tblCellSpacing w:w="0" w:type="dxa"/>
        </w:trPr>
        <w:tc>
          <w:tcPr>
            <w:tcW w:w="502" w:type="dxa"/>
            <w:tcBorders>
              <w:top w:val="single" w:sz="6" w:space="0" w:color="000000"/>
              <w:left w:val="single" w:sz="6" w:space="0" w:color="000000"/>
              <w:bottom w:val="single" w:sz="6" w:space="0" w:color="000000"/>
              <w:right w:val="single" w:sz="6" w:space="0" w:color="000000"/>
            </w:tcBorders>
            <w:vAlign w:val="center"/>
          </w:tcPr>
          <w:p w14:paraId="0A27EF70" w14:textId="77777777" w:rsidR="000A3B2B" w:rsidRDefault="000A3B2B" w:rsidP="00443121">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4.</w:t>
            </w:r>
          </w:p>
        </w:tc>
        <w:tc>
          <w:tcPr>
            <w:tcW w:w="1380" w:type="dxa"/>
            <w:tcBorders>
              <w:top w:val="single" w:sz="6" w:space="0" w:color="000000"/>
              <w:left w:val="single" w:sz="6" w:space="0" w:color="000000"/>
              <w:bottom w:val="single" w:sz="6" w:space="0" w:color="000000"/>
              <w:right w:val="single" w:sz="6" w:space="0" w:color="000000"/>
            </w:tcBorders>
            <w:vAlign w:val="center"/>
          </w:tcPr>
          <w:p w14:paraId="39195742" w14:textId="77777777" w:rsidR="000A3B2B" w:rsidRDefault="000A3B2B" w:rsidP="00443121">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Użytkownik</w:t>
            </w:r>
          </w:p>
        </w:tc>
        <w:tc>
          <w:tcPr>
            <w:tcW w:w="1320" w:type="dxa"/>
            <w:tcBorders>
              <w:top w:val="single" w:sz="6" w:space="0" w:color="000000"/>
              <w:left w:val="single" w:sz="6" w:space="0" w:color="000000"/>
              <w:bottom w:val="single" w:sz="6" w:space="0" w:color="000000"/>
              <w:right w:val="single" w:sz="6" w:space="0" w:color="000000"/>
            </w:tcBorders>
            <w:vAlign w:val="center"/>
          </w:tcPr>
          <w:p w14:paraId="1C3541F7" w14:textId="77777777" w:rsidR="000A3B2B" w:rsidRDefault="000A3B2B" w:rsidP="00443121">
            <w:pPr>
              <w:autoSpaceDE w:val="0"/>
              <w:autoSpaceDN w:val="0"/>
              <w:adjustRightInd w:val="0"/>
              <w:spacing w:after="0" w:line="240" w:lineRule="auto"/>
              <w:rPr>
                <w:rFonts w:ascii="Arial" w:hAnsi="Arial" w:cs="Arial"/>
                <w:sz w:val="24"/>
                <w:szCs w:val="24"/>
                <w:lang w:val="x-none"/>
              </w:rPr>
            </w:pPr>
          </w:p>
        </w:tc>
        <w:tc>
          <w:tcPr>
            <w:tcW w:w="1320" w:type="dxa"/>
            <w:tcBorders>
              <w:top w:val="single" w:sz="6" w:space="0" w:color="000000"/>
              <w:left w:val="single" w:sz="6" w:space="0" w:color="000000"/>
              <w:bottom w:val="single" w:sz="6" w:space="0" w:color="000000"/>
              <w:right w:val="single" w:sz="6" w:space="0" w:color="000000"/>
            </w:tcBorders>
            <w:vAlign w:val="center"/>
          </w:tcPr>
          <w:p w14:paraId="4230630B" w14:textId="77777777" w:rsidR="000A3B2B" w:rsidRDefault="000A3B2B" w:rsidP="00443121">
            <w:pPr>
              <w:autoSpaceDE w:val="0"/>
              <w:autoSpaceDN w:val="0"/>
              <w:adjustRightInd w:val="0"/>
              <w:spacing w:after="0" w:line="240" w:lineRule="auto"/>
              <w:rPr>
                <w:rFonts w:ascii="Arial" w:hAnsi="Arial" w:cs="Arial"/>
                <w:sz w:val="24"/>
                <w:szCs w:val="24"/>
                <w:lang w:val="x-none"/>
              </w:rPr>
            </w:pPr>
          </w:p>
        </w:tc>
        <w:tc>
          <w:tcPr>
            <w:tcW w:w="1320" w:type="dxa"/>
            <w:tcBorders>
              <w:top w:val="single" w:sz="6" w:space="0" w:color="000000"/>
              <w:left w:val="single" w:sz="6" w:space="0" w:color="000000"/>
              <w:bottom w:val="single" w:sz="6" w:space="0" w:color="000000"/>
              <w:right w:val="single" w:sz="6" w:space="0" w:color="000000"/>
            </w:tcBorders>
            <w:vAlign w:val="center"/>
          </w:tcPr>
          <w:p w14:paraId="55546D51" w14:textId="77777777" w:rsidR="000A3B2B" w:rsidRDefault="000A3B2B" w:rsidP="00443121">
            <w:pPr>
              <w:autoSpaceDE w:val="0"/>
              <w:autoSpaceDN w:val="0"/>
              <w:adjustRightInd w:val="0"/>
              <w:spacing w:after="0" w:line="240" w:lineRule="auto"/>
              <w:rPr>
                <w:rFonts w:ascii="Arial" w:hAnsi="Arial" w:cs="Arial"/>
                <w:sz w:val="24"/>
                <w:szCs w:val="24"/>
                <w:lang w:val="x-none"/>
              </w:rPr>
            </w:pPr>
          </w:p>
        </w:tc>
        <w:tc>
          <w:tcPr>
            <w:tcW w:w="1320" w:type="dxa"/>
            <w:tcBorders>
              <w:top w:val="single" w:sz="6" w:space="0" w:color="000000"/>
              <w:left w:val="single" w:sz="6" w:space="0" w:color="000000"/>
              <w:bottom w:val="single" w:sz="6" w:space="0" w:color="000000"/>
              <w:right w:val="single" w:sz="6" w:space="0" w:color="000000"/>
            </w:tcBorders>
            <w:vAlign w:val="center"/>
          </w:tcPr>
          <w:p w14:paraId="22F2B1D7" w14:textId="77777777" w:rsidR="000A3B2B" w:rsidRDefault="000A3B2B" w:rsidP="00443121">
            <w:pPr>
              <w:autoSpaceDE w:val="0"/>
              <w:autoSpaceDN w:val="0"/>
              <w:adjustRightInd w:val="0"/>
              <w:spacing w:after="0" w:line="240" w:lineRule="auto"/>
              <w:rPr>
                <w:rFonts w:ascii="Arial" w:hAnsi="Arial" w:cs="Arial"/>
                <w:sz w:val="24"/>
                <w:szCs w:val="24"/>
                <w:lang w:val="x-none"/>
              </w:rPr>
            </w:pPr>
          </w:p>
        </w:tc>
      </w:tr>
      <w:tr w:rsidR="000A3B2B" w14:paraId="1692FACB" w14:textId="77777777" w:rsidTr="00443121">
        <w:trPr>
          <w:trHeight w:val="60"/>
          <w:tblCellSpacing w:w="0" w:type="dxa"/>
        </w:trPr>
        <w:tc>
          <w:tcPr>
            <w:tcW w:w="502" w:type="dxa"/>
            <w:tcBorders>
              <w:top w:val="single" w:sz="6" w:space="0" w:color="000000"/>
              <w:left w:val="single" w:sz="6" w:space="0" w:color="000000"/>
              <w:bottom w:val="single" w:sz="6" w:space="0" w:color="000000"/>
              <w:right w:val="single" w:sz="6" w:space="0" w:color="000000"/>
            </w:tcBorders>
            <w:vAlign w:val="center"/>
          </w:tcPr>
          <w:p w14:paraId="5530F407" w14:textId="77777777" w:rsidR="000A3B2B" w:rsidRDefault="000A3B2B" w:rsidP="00443121">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5.</w:t>
            </w:r>
          </w:p>
        </w:tc>
        <w:tc>
          <w:tcPr>
            <w:tcW w:w="1380" w:type="dxa"/>
            <w:tcBorders>
              <w:top w:val="single" w:sz="6" w:space="0" w:color="000000"/>
              <w:left w:val="single" w:sz="6" w:space="0" w:color="000000"/>
              <w:bottom w:val="single" w:sz="6" w:space="0" w:color="000000"/>
              <w:right w:val="single" w:sz="6" w:space="0" w:color="000000"/>
            </w:tcBorders>
            <w:vAlign w:val="center"/>
          </w:tcPr>
          <w:p w14:paraId="520E958C" w14:textId="77777777" w:rsidR="000A3B2B" w:rsidRDefault="000A3B2B" w:rsidP="00443121">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Projektant</w:t>
            </w:r>
          </w:p>
        </w:tc>
        <w:tc>
          <w:tcPr>
            <w:tcW w:w="1320" w:type="dxa"/>
            <w:tcBorders>
              <w:top w:val="single" w:sz="6" w:space="0" w:color="000000"/>
              <w:left w:val="single" w:sz="6" w:space="0" w:color="000000"/>
              <w:bottom w:val="single" w:sz="6" w:space="0" w:color="000000"/>
              <w:right w:val="single" w:sz="6" w:space="0" w:color="000000"/>
            </w:tcBorders>
            <w:vAlign w:val="center"/>
          </w:tcPr>
          <w:p w14:paraId="148BF002" w14:textId="77777777" w:rsidR="000A3B2B" w:rsidRDefault="000A3B2B" w:rsidP="00443121">
            <w:pPr>
              <w:autoSpaceDE w:val="0"/>
              <w:autoSpaceDN w:val="0"/>
              <w:adjustRightInd w:val="0"/>
              <w:spacing w:after="0" w:line="240" w:lineRule="auto"/>
              <w:rPr>
                <w:rFonts w:ascii="Arial" w:hAnsi="Arial" w:cs="Arial"/>
                <w:sz w:val="24"/>
                <w:szCs w:val="24"/>
                <w:lang w:val="x-none"/>
              </w:rPr>
            </w:pPr>
          </w:p>
        </w:tc>
        <w:tc>
          <w:tcPr>
            <w:tcW w:w="1320" w:type="dxa"/>
            <w:tcBorders>
              <w:top w:val="single" w:sz="6" w:space="0" w:color="000000"/>
              <w:left w:val="single" w:sz="6" w:space="0" w:color="000000"/>
              <w:bottom w:val="single" w:sz="6" w:space="0" w:color="000000"/>
              <w:right w:val="single" w:sz="6" w:space="0" w:color="000000"/>
            </w:tcBorders>
            <w:vAlign w:val="center"/>
          </w:tcPr>
          <w:p w14:paraId="57832F87" w14:textId="77777777" w:rsidR="000A3B2B" w:rsidRDefault="000A3B2B" w:rsidP="00443121">
            <w:pPr>
              <w:autoSpaceDE w:val="0"/>
              <w:autoSpaceDN w:val="0"/>
              <w:adjustRightInd w:val="0"/>
              <w:spacing w:after="0" w:line="240" w:lineRule="auto"/>
              <w:rPr>
                <w:rFonts w:ascii="Arial" w:hAnsi="Arial" w:cs="Arial"/>
                <w:sz w:val="24"/>
                <w:szCs w:val="24"/>
                <w:lang w:val="x-none"/>
              </w:rPr>
            </w:pPr>
          </w:p>
        </w:tc>
        <w:tc>
          <w:tcPr>
            <w:tcW w:w="1320" w:type="dxa"/>
            <w:tcBorders>
              <w:top w:val="single" w:sz="6" w:space="0" w:color="000000"/>
              <w:left w:val="single" w:sz="6" w:space="0" w:color="000000"/>
              <w:bottom w:val="single" w:sz="6" w:space="0" w:color="000000"/>
              <w:right w:val="single" w:sz="6" w:space="0" w:color="000000"/>
            </w:tcBorders>
            <w:vAlign w:val="center"/>
          </w:tcPr>
          <w:p w14:paraId="5EC32DBA" w14:textId="77777777" w:rsidR="000A3B2B" w:rsidRDefault="000A3B2B" w:rsidP="00443121">
            <w:pPr>
              <w:autoSpaceDE w:val="0"/>
              <w:autoSpaceDN w:val="0"/>
              <w:adjustRightInd w:val="0"/>
              <w:spacing w:after="0" w:line="240" w:lineRule="auto"/>
              <w:rPr>
                <w:rFonts w:ascii="Arial" w:hAnsi="Arial" w:cs="Arial"/>
                <w:sz w:val="24"/>
                <w:szCs w:val="24"/>
                <w:lang w:val="x-none"/>
              </w:rPr>
            </w:pPr>
          </w:p>
        </w:tc>
        <w:tc>
          <w:tcPr>
            <w:tcW w:w="1320" w:type="dxa"/>
            <w:tcBorders>
              <w:top w:val="single" w:sz="6" w:space="0" w:color="000000"/>
              <w:left w:val="single" w:sz="6" w:space="0" w:color="000000"/>
              <w:bottom w:val="single" w:sz="6" w:space="0" w:color="000000"/>
              <w:right w:val="single" w:sz="6" w:space="0" w:color="000000"/>
            </w:tcBorders>
            <w:vAlign w:val="center"/>
          </w:tcPr>
          <w:p w14:paraId="00BE10B1" w14:textId="77777777" w:rsidR="000A3B2B" w:rsidRDefault="000A3B2B" w:rsidP="00443121">
            <w:pPr>
              <w:autoSpaceDE w:val="0"/>
              <w:autoSpaceDN w:val="0"/>
              <w:adjustRightInd w:val="0"/>
              <w:spacing w:after="0" w:line="240" w:lineRule="auto"/>
              <w:rPr>
                <w:rFonts w:ascii="Arial" w:hAnsi="Arial" w:cs="Arial"/>
                <w:sz w:val="24"/>
                <w:szCs w:val="24"/>
                <w:lang w:val="x-none"/>
              </w:rPr>
            </w:pPr>
          </w:p>
        </w:tc>
      </w:tr>
      <w:tr w:rsidR="000A3B2B" w14:paraId="24F5767E" w14:textId="77777777" w:rsidTr="00443121">
        <w:trPr>
          <w:trHeight w:val="60"/>
          <w:tblCellSpacing w:w="0" w:type="dxa"/>
        </w:trPr>
        <w:tc>
          <w:tcPr>
            <w:tcW w:w="7162" w:type="dxa"/>
            <w:gridSpan w:val="6"/>
            <w:tcBorders>
              <w:top w:val="single" w:sz="6" w:space="0" w:color="000000"/>
              <w:left w:val="single" w:sz="6" w:space="0" w:color="000000"/>
              <w:bottom w:val="single" w:sz="6" w:space="0" w:color="000000"/>
              <w:right w:val="single" w:sz="6" w:space="0" w:color="000000"/>
            </w:tcBorders>
            <w:vAlign w:val="center"/>
          </w:tcPr>
          <w:p w14:paraId="1FAC02D5" w14:textId="77777777" w:rsidR="000A3B2B" w:rsidRDefault="000A3B2B" w:rsidP="00443121">
            <w:pPr>
              <w:autoSpaceDE w:val="0"/>
              <w:autoSpaceDN w:val="0"/>
              <w:adjustRightInd w:val="0"/>
              <w:spacing w:after="30" w:line="240" w:lineRule="auto"/>
              <w:ind w:left="165" w:hanging="165"/>
              <w:jc w:val="both"/>
              <w:rPr>
                <w:rFonts w:ascii="Arial" w:hAnsi="Arial" w:cs="Arial"/>
                <w:color w:val="000000"/>
                <w:sz w:val="16"/>
                <w:szCs w:val="16"/>
                <w:lang w:val="x-none"/>
              </w:rPr>
            </w:pPr>
            <w:r>
              <w:rPr>
                <w:rFonts w:ascii="Arial" w:hAnsi="Arial" w:cs="Arial"/>
                <w:color w:val="000000"/>
                <w:position w:val="4"/>
                <w:sz w:val="8"/>
                <w:szCs w:val="8"/>
                <w:lang w:val="x-none"/>
              </w:rPr>
              <w:t>1)</w:t>
            </w:r>
            <w:r>
              <w:rPr>
                <w:rFonts w:ascii="Arial" w:hAnsi="Arial" w:cs="Arial"/>
                <w:color w:val="000000"/>
                <w:sz w:val="16"/>
                <w:szCs w:val="16"/>
                <w:lang w:val="x-none"/>
              </w:rPr>
              <w:t xml:space="preserve">  dla osób pełniących samodzielne funkcje w budownictwie, Nr ewidencyjne: uprawnień budowlanych i Okręgowej Izby Inżynierów Budownictwa</w:t>
            </w:r>
          </w:p>
        </w:tc>
      </w:tr>
    </w:tbl>
    <w:p w14:paraId="77CF7814" w14:textId="77777777" w:rsidR="000A3B2B" w:rsidRDefault="000A3B2B" w:rsidP="003C16E8">
      <w:pPr>
        <w:autoSpaceDE w:val="0"/>
        <w:autoSpaceDN w:val="0"/>
        <w:adjustRightInd w:val="0"/>
        <w:spacing w:after="30" w:line="240" w:lineRule="auto"/>
        <w:jc w:val="both"/>
        <w:rPr>
          <w:rFonts w:ascii="Arial" w:hAnsi="Arial" w:cs="Arial"/>
          <w:color w:val="000000"/>
          <w:sz w:val="18"/>
          <w:szCs w:val="18"/>
          <w:lang w:val="x-none"/>
        </w:rPr>
      </w:pPr>
    </w:p>
    <w:p w14:paraId="6D3E9794" w14:textId="77777777" w:rsidR="000A3B2B" w:rsidRDefault="000A3B2B" w:rsidP="003C16E8">
      <w:pPr>
        <w:autoSpaceDE w:val="0"/>
        <w:autoSpaceDN w:val="0"/>
        <w:adjustRightInd w:val="0"/>
        <w:spacing w:after="3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3.</w:t>
      </w:r>
      <w:r>
        <w:rPr>
          <w:rFonts w:ascii="Arial" w:hAnsi="Arial" w:cs="Arial"/>
          <w:b/>
          <w:bCs/>
          <w:color w:val="000000"/>
          <w:sz w:val="18"/>
          <w:szCs w:val="18"/>
          <w:lang w:val="x-none"/>
        </w:rPr>
        <w:tab/>
        <w:t>Wykonawca przedstawił następujące dokumenty:</w:t>
      </w:r>
    </w:p>
    <w:p w14:paraId="1549F830" w14:textId="77777777" w:rsidR="000A3B2B" w:rsidRDefault="000A3B2B" w:rsidP="003C16E8">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a) pozwolenie na budowę;</w:t>
      </w:r>
    </w:p>
    <w:p w14:paraId="51C300CF" w14:textId="77777777" w:rsidR="000A3B2B" w:rsidRDefault="000A3B2B" w:rsidP="003C16E8">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b) dziennik budowy;</w:t>
      </w:r>
    </w:p>
    <w:p w14:paraId="4102E7F4" w14:textId="77777777" w:rsidR="000A3B2B" w:rsidRDefault="000A3B2B" w:rsidP="003C16E8">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c) projekt;</w:t>
      </w:r>
    </w:p>
    <w:p w14:paraId="278964EB" w14:textId="77777777" w:rsidR="000A3B2B" w:rsidRDefault="000A3B2B" w:rsidP="003C16E8">
      <w:pPr>
        <w:tabs>
          <w:tab w:val="right" w:leader="dot" w:pos="4500"/>
        </w:tabs>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d) </w:t>
      </w:r>
      <w:r>
        <w:rPr>
          <w:rFonts w:ascii="Arial" w:hAnsi="Arial" w:cs="Arial"/>
          <w:color w:val="000000"/>
          <w:sz w:val="18"/>
          <w:szCs w:val="18"/>
          <w:lang w:val="x-none"/>
        </w:rPr>
        <w:tab/>
      </w:r>
    </w:p>
    <w:p w14:paraId="5CF146B6" w14:textId="77777777" w:rsidR="000A3B2B" w:rsidRDefault="000A3B2B" w:rsidP="003C16E8">
      <w:pPr>
        <w:tabs>
          <w:tab w:val="right" w:leader="dot" w:pos="4500"/>
        </w:tabs>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ab/>
      </w:r>
    </w:p>
    <w:p w14:paraId="2F32AEED" w14:textId="77777777" w:rsidR="000A3B2B" w:rsidRDefault="000A3B2B" w:rsidP="003C16E8">
      <w:pPr>
        <w:autoSpaceDE w:val="0"/>
        <w:autoSpaceDN w:val="0"/>
        <w:adjustRightInd w:val="0"/>
        <w:spacing w:after="3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4.</w:t>
      </w:r>
      <w:r>
        <w:rPr>
          <w:rFonts w:ascii="Arial" w:hAnsi="Arial" w:cs="Arial"/>
          <w:b/>
          <w:bCs/>
          <w:color w:val="000000"/>
          <w:sz w:val="18"/>
          <w:szCs w:val="18"/>
          <w:lang w:val="x-none"/>
        </w:rPr>
        <w:tab/>
        <w:t>Wykonawca załączył do protokołu następujące dokumenty:</w:t>
      </w:r>
    </w:p>
    <w:p w14:paraId="466D88C6" w14:textId="77777777" w:rsidR="000A3B2B" w:rsidRDefault="000A3B2B" w:rsidP="003C16E8">
      <w:pPr>
        <w:tabs>
          <w:tab w:val="left" w:pos="3510"/>
        </w:tabs>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a) protokół z badania szczelności przewodu;</w:t>
      </w:r>
      <w:r>
        <w:rPr>
          <w:rFonts w:ascii="Arial" w:hAnsi="Arial" w:cs="Arial"/>
          <w:color w:val="000000"/>
          <w:sz w:val="18"/>
          <w:szCs w:val="18"/>
          <w:lang w:val="x-none"/>
        </w:rPr>
        <w:tab/>
      </w:r>
    </w:p>
    <w:p w14:paraId="7324E320" w14:textId="77777777" w:rsidR="000A3B2B" w:rsidRDefault="000A3B2B" w:rsidP="003C16E8">
      <w:pPr>
        <w:autoSpaceDE w:val="0"/>
        <w:autoSpaceDN w:val="0"/>
        <w:adjustRightInd w:val="0"/>
        <w:spacing w:after="30" w:line="240" w:lineRule="auto"/>
        <w:ind w:left="165" w:hanging="165"/>
        <w:jc w:val="both"/>
        <w:rPr>
          <w:rFonts w:ascii="Arial" w:hAnsi="Arial" w:cs="Arial"/>
          <w:color w:val="000000"/>
          <w:sz w:val="18"/>
          <w:szCs w:val="18"/>
          <w:lang w:val="x-none"/>
        </w:rPr>
      </w:pPr>
      <w:r>
        <w:rPr>
          <w:rFonts w:ascii="Arial" w:hAnsi="Arial" w:cs="Arial"/>
          <w:color w:val="000000"/>
          <w:sz w:val="18"/>
          <w:szCs w:val="18"/>
          <w:lang w:val="x-none"/>
        </w:rPr>
        <w:t>b) dokumenty świadczące o dopuszczeniu rur, kształtek i studzienek kanalizacyjnych, zgodnie z właściwymi przepisami, do obrotu lub udostępnieniu na rynku krajowym bądź do jednostkowego zastosowania;</w:t>
      </w:r>
      <w:r>
        <w:rPr>
          <w:rFonts w:ascii="Arial" w:hAnsi="Arial" w:cs="Arial"/>
          <w:color w:val="000000"/>
          <w:sz w:val="18"/>
          <w:szCs w:val="18"/>
          <w:lang w:val="x-none"/>
        </w:rPr>
        <w:tab/>
      </w:r>
    </w:p>
    <w:p w14:paraId="692A429A" w14:textId="77777777" w:rsidR="000A3B2B" w:rsidRDefault="000A3B2B" w:rsidP="003C16E8">
      <w:pPr>
        <w:tabs>
          <w:tab w:val="left" w:pos="3510"/>
        </w:tabs>
        <w:autoSpaceDE w:val="0"/>
        <w:autoSpaceDN w:val="0"/>
        <w:adjustRightInd w:val="0"/>
        <w:spacing w:after="30" w:line="240" w:lineRule="auto"/>
        <w:rPr>
          <w:rFonts w:ascii="Arial" w:hAnsi="Arial" w:cs="Arial"/>
          <w:color w:val="000000"/>
          <w:sz w:val="18"/>
          <w:szCs w:val="18"/>
          <w:lang w:val="x-none"/>
        </w:rPr>
      </w:pPr>
      <w:r>
        <w:rPr>
          <w:rFonts w:ascii="Arial" w:hAnsi="Arial" w:cs="Arial"/>
          <w:color w:val="000000"/>
          <w:sz w:val="18"/>
          <w:szCs w:val="18"/>
          <w:lang w:val="x-none"/>
        </w:rPr>
        <w:t>c) inwentaryzację geodezyjną – szkicową;</w:t>
      </w:r>
    </w:p>
    <w:p w14:paraId="1549F114" w14:textId="77777777" w:rsidR="000A3B2B" w:rsidRDefault="000A3B2B" w:rsidP="003C16E8">
      <w:pPr>
        <w:tabs>
          <w:tab w:val="right" w:leader="dot" w:pos="4500"/>
        </w:tabs>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d) </w:t>
      </w:r>
      <w:r>
        <w:rPr>
          <w:rFonts w:ascii="Arial" w:hAnsi="Arial" w:cs="Arial"/>
          <w:color w:val="000000"/>
          <w:sz w:val="18"/>
          <w:szCs w:val="18"/>
          <w:lang w:val="x-none"/>
        </w:rPr>
        <w:tab/>
      </w:r>
    </w:p>
    <w:p w14:paraId="50B24BA7" w14:textId="77777777" w:rsidR="000A3B2B" w:rsidRDefault="000A3B2B" w:rsidP="003C16E8">
      <w:pPr>
        <w:tabs>
          <w:tab w:val="right" w:leader="dot" w:pos="4500"/>
        </w:tabs>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ab/>
      </w:r>
    </w:p>
    <w:p w14:paraId="630D3921" w14:textId="77777777" w:rsidR="000A3B2B" w:rsidRDefault="000A3B2B" w:rsidP="003C16E8">
      <w:pPr>
        <w:autoSpaceDE w:val="0"/>
        <w:autoSpaceDN w:val="0"/>
        <w:adjustRightInd w:val="0"/>
        <w:spacing w:after="30" w:line="240" w:lineRule="auto"/>
        <w:jc w:val="both"/>
        <w:rPr>
          <w:rFonts w:ascii="Arial" w:hAnsi="Arial" w:cs="Arial"/>
          <w:color w:val="000000"/>
          <w:sz w:val="18"/>
          <w:szCs w:val="18"/>
          <w:lang w:val="x-none"/>
        </w:rPr>
      </w:pPr>
    </w:p>
    <w:p w14:paraId="0D55A3AC" w14:textId="77777777" w:rsidR="000A3B2B" w:rsidRDefault="000A3B2B" w:rsidP="003C16E8">
      <w:pPr>
        <w:autoSpaceDE w:val="0"/>
        <w:autoSpaceDN w:val="0"/>
        <w:adjustRightInd w:val="0"/>
        <w:spacing w:after="3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5.</w:t>
      </w:r>
      <w:r>
        <w:rPr>
          <w:rFonts w:ascii="Arial" w:hAnsi="Arial" w:cs="Arial"/>
          <w:b/>
          <w:bCs/>
          <w:color w:val="000000"/>
          <w:sz w:val="18"/>
          <w:szCs w:val="18"/>
          <w:lang w:val="x-none"/>
        </w:rPr>
        <w:tab/>
        <w:t>Komisja stwierdza, że przewód kanalizacyjny będący przedmiotem odbioru:</w:t>
      </w:r>
    </w:p>
    <w:p w14:paraId="2974BA8D" w14:textId="77777777" w:rsidR="000A3B2B" w:rsidRDefault="000A3B2B" w:rsidP="003C16E8">
      <w:pPr>
        <w:autoSpaceDE w:val="0"/>
        <w:autoSpaceDN w:val="0"/>
        <w:adjustRightInd w:val="0"/>
        <w:spacing w:after="3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5.1.</w:t>
      </w:r>
      <w:r>
        <w:rPr>
          <w:rFonts w:ascii="Arial" w:hAnsi="Arial" w:cs="Arial"/>
          <w:b/>
          <w:bCs/>
          <w:color w:val="000000"/>
          <w:sz w:val="18"/>
          <w:szCs w:val="18"/>
          <w:lang w:val="x-none"/>
        </w:rPr>
        <w:tab/>
        <w:t>zrealizowano zgodnie* niezgodnie* z przedstawioną dokumentacją oraz warunkami technicznymi wykonania i odbioru</w:t>
      </w:r>
    </w:p>
    <w:p w14:paraId="7E258E7B" w14:textId="77777777" w:rsidR="000A3B2B" w:rsidRDefault="000A3B2B" w:rsidP="003C16E8">
      <w:pPr>
        <w:autoSpaceDE w:val="0"/>
        <w:autoSpaceDN w:val="0"/>
        <w:adjustRightInd w:val="0"/>
        <w:spacing w:after="3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5.2.</w:t>
      </w:r>
      <w:r>
        <w:rPr>
          <w:rFonts w:ascii="Arial" w:hAnsi="Arial" w:cs="Arial"/>
          <w:b/>
          <w:bCs/>
          <w:color w:val="000000"/>
          <w:sz w:val="18"/>
          <w:szCs w:val="18"/>
          <w:lang w:val="x-none"/>
        </w:rPr>
        <w:tab/>
        <w:t>może zostać* nie może zostać* zasypany</w:t>
      </w:r>
    </w:p>
    <w:p w14:paraId="01D80E08" w14:textId="77777777" w:rsidR="000A3B2B" w:rsidRDefault="000A3B2B" w:rsidP="003C16E8">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Na odwrotnej stronie niniejszego protokołu nie zostały zamieszczone* zostały zamieszczone* i podpisane pozostałe ustalenia komisji.</w:t>
      </w:r>
    </w:p>
    <w:p w14:paraId="589EFA6F" w14:textId="77777777" w:rsidR="000A3B2B" w:rsidRDefault="000A3B2B" w:rsidP="003C16E8">
      <w:pPr>
        <w:autoSpaceDE w:val="0"/>
        <w:autoSpaceDN w:val="0"/>
        <w:adjustRightInd w:val="0"/>
        <w:spacing w:after="30" w:line="240" w:lineRule="auto"/>
        <w:jc w:val="both"/>
        <w:rPr>
          <w:rFonts w:ascii="Arial" w:hAnsi="Arial" w:cs="Arial"/>
          <w:b/>
          <w:bCs/>
          <w:color w:val="000000"/>
          <w:sz w:val="18"/>
          <w:szCs w:val="18"/>
          <w:lang w:val="x-none"/>
        </w:rPr>
      </w:pPr>
    </w:p>
    <w:p w14:paraId="65FA50A3" w14:textId="77777777" w:rsidR="000A3B2B" w:rsidRDefault="000A3B2B" w:rsidP="003C16E8">
      <w:pPr>
        <w:autoSpaceDE w:val="0"/>
        <w:autoSpaceDN w:val="0"/>
        <w:adjustRightInd w:val="0"/>
        <w:spacing w:after="30" w:line="240" w:lineRule="auto"/>
        <w:jc w:val="both"/>
        <w:rPr>
          <w:rFonts w:ascii="Arial" w:hAnsi="Arial" w:cs="Arial"/>
          <w:b/>
          <w:bCs/>
          <w:color w:val="000000"/>
          <w:sz w:val="18"/>
          <w:szCs w:val="18"/>
          <w:lang w:val="x-none"/>
        </w:rPr>
      </w:pPr>
      <w:r>
        <w:rPr>
          <w:rFonts w:ascii="Arial" w:hAnsi="Arial" w:cs="Arial"/>
          <w:b/>
          <w:bCs/>
          <w:color w:val="000000"/>
          <w:sz w:val="18"/>
          <w:szCs w:val="18"/>
          <w:lang w:val="x-none"/>
        </w:rPr>
        <w:t>6. Podpisy członków Komisji</w:t>
      </w:r>
    </w:p>
    <w:p w14:paraId="4EF465AA" w14:textId="77777777" w:rsidR="000A3B2B" w:rsidRDefault="000A3B2B" w:rsidP="003C16E8">
      <w:pPr>
        <w:tabs>
          <w:tab w:val="center" w:pos="840"/>
          <w:tab w:val="center" w:pos="2220"/>
          <w:tab w:val="center" w:pos="3615"/>
          <w:tab w:val="center" w:pos="5025"/>
          <w:tab w:val="center" w:pos="6435"/>
        </w:tabs>
        <w:autoSpaceDE w:val="0"/>
        <w:autoSpaceDN w:val="0"/>
        <w:adjustRightInd w:val="0"/>
        <w:spacing w:after="0" w:line="240" w:lineRule="auto"/>
        <w:jc w:val="both"/>
        <w:rPr>
          <w:rFonts w:ascii="Arial" w:hAnsi="Arial" w:cs="Arial"/>
          <w:color w:val="000000"/>
          <w:sz w:val="18"/>
          <w:szCs w:val="18"/>
          <w:lang w:val="x-none"/>
        </w:rPr>
      </w:pPr>
    </w:p>
    <w:p w14:paraId="10ED0C8B" w14:textId="77777777" w:rsidR="000A3B2B" w:rsidRDefault="000A3B2B" w:rsidP="003C16E8">
      <w:pPr>
        <w:tabs>
          <w:tab w:val="center" w:pos="840"/>
          <w:tab w:val="center" w:pos="2220"/>
          <w:tab w:val="center" w:pos="3615"/>
          <w:tab w:val="center" w:pos="5025"/>
          <w:tab w:val="center" w:pos="6435"/>
        </w:tabs>
        <w:autoSpaceDE w:val="0"/>
        <w:autoSpaceDN w:val="0"/>
        <w:adjustRightInd w:val="0"/>
        <w:spacing w:after="0" w:line="240" w:lineRule="auto"/>
        <w:jc w:val="both"/>
        <w:rPr>
          <w:rFonts w:ascii="Arial" w:hAnsi="Arial" w:cs="Arial"/>
          <w:color w:val="000000"/>
          <w:sz w:val="18"/>
          <w:szCs w:val="18"/>
          <w:lang w:val="x-none"/>
        </w:rPr>
      </w:pPr>
      <w:r>
        <w:rPr>
          <w:rFonts w:ascii="Arial" w:hAnsi="Arial" w:cs="Arial"/>
          <w:color w:val="000000"/>
          <w:sz w:val="18"/>
          <w:szCs w:val="18"/>
          <w:lang w:val="x-none"/>
        </w:rPr>
        <w:tab/>
        <w:t>Inwestor</w:t>
      </w:r>
      <w:r>
        <w:rPr>
          <w:rFonts w:ascii="Arial" w:hAnsi="Arial" w:cs="Arial"/>
          <w:color w:val="000000"/>
          <w:sz w:val="18"/>
          <w:szCs w:val="18"/>
          <w:lang w:val="x-none"/>
        </w:rPr>
        <w:tab/>
        <w:t>Wykonawca</w:t>
      </w:r>
      <w:r>
        <w:rPr>
          <w:rFonts w:ascii="Arial" w:hAnsi="Arial" w:cs="Arial"/>
          <w:color w:val="000000"/>
          <w:sz w:val="18"/>
          <w:szCs w:val="18"/>
          <w:lang w:val="x-none"/>
        </w:rPr>
        <w:tab/>
        <w:t>Nadzór</w:t>
      </w:r>
      <w:r>
        <w:rPr>
          <w:rFonts w:ascii="Arial" w:hAnsi="Arial" w:cs="Arial"/>
          <w:color w:val="000000"/>
          <w:sz w:val="18"/>
          <w:szCs w:val="18"/>
          <w:lang w:val="x-none"/>
        </w:rPr>
        <w:tab/>
        <w:t>Użytkownik</w:t>
      </w:r>
      <w:r>
        <w:rPr>
          <w:rFonts w:ascii="Arial" w:hAnsi="Arial" w:cs="Arial"/>
          <w:color w:val="000000"/>
          <w:sz w:val="18"/>
          <w:szCs w:val="18"/>
          <w:lang w:val="x-none"/>
        </w:rPr>
        <w:tab/>
        <w:t>Projektant</w:t>
      </w:r>
    </w:p>
    <w:p w14:paraId="7106E58B" w14:textId="77777777" w:rsidR="000A3B2B" w:rsidRDefault="000A3B2B" w:rsidP="003C16E8">
      <w:pPr>
        <w:tabs>
          <w:tab w:val="center" w:pos="840"/>
          <w:tab w:val="center" w:pos="2220"/>
          <w:tab w:val="center" w:pos="3615"/>
          <w:tab w:val="center" w:pos="5025"/>
          <w:tab w:val="center" w:pos="6435"/>
        </w:tabs>
        <w:autoSpaceDE w:val="0"/>
        <w:autoSpaceDN w:val="0"/>
        <w:adjustRightInd w:val="0"/>
        <w:spacing w:after="0" w:line="240" w:lineRule="auto"/>
        <w:jc w:val="both"/>
        <w:rPr>
          <w:rFonts w:ascii="Arial" w:hAnsi="Arial" w:cs="Arial"/>
          <w:color w:val="000000"/>
          <w:sz w:val="18"/>
          <w:szCs w:val="18"/>
          <w:lang w:val="x-none"/>
        </w:rPr>
      </w:pPr>
      <w:r>
        <w:rPr>
          <w:rFonts w:ascii="Arial" w:hAnsi="Arial" w:cs="Arial"/>
          <w:color w:val="000000"/>
          <w:sz w:val="18"/>
          <w:szCs w:val="18"/>
          <w:lang w:val="x-none"/>
        </w:rPr>
        <w:tab/>
        <w:t>1.</w:t>
      </w:r>
      <w:r>
        <w:rPr>
          <w:rFonts w:ascii="Arial" w:hAnsi="Arial" w:cs="Arial"/>
          <w:color w:val="000000"/>
          <w:sz w:val="18"/>
          <w:szCs w:val="18"/>
          <w:lang w:val="x-none"/>
        </w:rPr>
        <w:tab/>
        <w:t>2.</w:t>
      </w:r>
      <w:r>
        <w:rPr>
          <w:rFonts w:ascii="Arial" w:hAnsi="Arial" w:cs="Arial"/>
          <w:color w:val="000000"/>
          <w:sz w:val="18"/>
          <w:szCs w:val="18"/>
          <w:lang w:val="x-none"/>
        </w:rPr>
        <w:tab/>
        <w:t>3.</w:t>
      </w:r>
      <w:r>
        <w:rPr>
          <w:rFonts w:ascii="Arial" w:hAnsi="Arial" w:cs="Arial"/>
          <w:color w:val="000000"/>
          <w:sz w:val="18"/>
          <w:szCs w:val="18"/>
          <w:lang w:val="x-none"/>
        </w:rPr>
        <w:tab/>
        <w:t>4.</w:t>
      </w:r>
      <w:r>
        <w:rPr>
          <w:rFonts w:ascii="Arial" w:hAnsi="Arial" w:cs="Arial"/>
          <w:color w:val="000000"/>
          <w:sz w:val="18"/>
          <w:szCs w:val="18"/>
          <w:lang w:val="x-none"/>
        </w:rPr>
        <w:tab/>
        <w:t>5.</w:t>
      </w:r>
    </w:p>
    <w:p w14:paraId="30A0F66A" w14:textId="77777777" w:rsidR="000A3B2B" w:rsidRDefault="000A3B2B" w:rsidP="003C16E8">
      <w:pPr>
        <w:tabs>
          <w:tab w:val="center" w:pos="840"/>
          <w:tab w:val="center" w:pos="2220"/>
          <w:tab w:val="center" w:pos="3615"/>
          <w:tab w:val="center" w:pos="5025"/>
          <w:tab w:val="center" w:pos="6435"/>
        </w:tabs>
        <w:autoSpaceDE w:val="0"/>
        <w:autoSpaceDN w:val="0"/>
        <w:adjustRightInd w:val="0"/>
        <w:spacing w:after="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   ........................     ........................    ........................    ........................    ........................</w:t>
      </w:r>
    </w:p>
    <w:p w14:paraId="2A1A1029" w14:textId="77777777" w:rsidR="000A3B2B" w:rsidRDefault="000A3B2B" w:rsidP="003C16E8">
      <w:pPr>
        <w:autoSpaceDE w:val="0"/>
        <w:autoSpaceDN w:val="0"/>
        <w:adjustRightInd w:val="0"/>
        <w:spacing w:after="30" w:line="240" w:lineRule="auto"/>
        <w:jc w:val="both"/>
        <w:rPr>
          <w:rFonts w:ascii="Arial" w:hAnsi="Arial" w:cs="Arial"/>
          <w:color w:val="000000"/>
          <w:sz w:val="14"/>
          <w:szCs w:val="14"/>
          <w:lang w:val="x-none"/>
        </w:rPr>
      </w:pPr>
    </w:p>
    <w:p w14:paraId="44EAAB98" w14:textId="77777777" w:rsidR="000A3B2B" w:rsidRDefault="000A3B2B" w:rsidP="003C16E8">
      <w:pPr>
        <w:autoSpaceDE w:val="0"/>
        <w:autoSpaceDN w:val="0"/>
        <w:adjustRightInd w:val="0"/>
        <w:spacing w:after="30" w:line="240" w:lineRule="auto"/>
        <w:jc w:val="both"/>
        <w:rPr>
          <w:rFonts w:ascii="Arial" w:hAnsi="Arial" w:cs="Arial"/>
          <w:color w:val="000000"/>
          <w:sz w:val="14"/>
          <w:szCs w:val="14"/>
          <w:lang w:val="x-none"/>
        </w:rPr>
      </w:pPr>
      <w:r>
        <w:rPr>
          <w:rFonts w:ascii="Arial" w:hAnsi="Arial" w:cs="Arial"/>
          <w:color w:val="000000"/>
          <w:sz w:val="14"/>
          <w:szCs w:val="14"/>
          <w:lang w:val="x-none"/>
        </w:rPr>
        <w:t>* niepotrzebne skreślić</w:t>
      </w:r>
      <w:r>
        <w:rPr>
          <w:rFonts w:ascii="Arial" w:hAnsi="Arial" w:cs="Arial"/>
          <w:color w:val="000000"/>
          <w:sz w:val="14"/>
          <w:szCs w:val="14"/>
          <w:lang w:val="x-none"/>
        </w:rPr>
        <w:tab/>
        <w:t xml:space="preserve"> </w:t>
      </w:r>
    </w:p>
    <w:p w14:paraId="79C5B09F" w14:textId="77777777" w:rsidR="000A3B2B" w:rsidRDefault="000A3B2B" w:rsidP="003C16E8">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ab/>
      </w:r>
    </w:p>
    <w:p w14:paraId="3015ABC3" w14:textId="77777777" w:rsidR="000A3B2B" w:rsidRDefault="000A3B2B" w:rsidP="003C16E8">
      <w:pPr>
        <w:autoSpaceDE w:val="0"/>
        <w:autoSpaceDN w:val="0"/>
        <w:adjustRightInd w:val="0"/>
        <w:spacing w:after="30" w:line="240" w:lineRule="auto"/>
        <w:jc w:val="right"/>
        <w:rPr>
          <w:rFonts w:ascii="Arial" w:hAnsi="Arial" w:cs="Arial"/>
          <w:b/>
          <w:bCs/>
          <w:i/>
          <w:iCs/>
          <w:color w:val="000000"/>
          <w:sz w:val="18"/>
          <w:szCs w:val="18"/>
          <w:lang w:val="x-none"/>
        </w:rPr>
      </w:pPr>
      <w:r>
        <w:rPr>
          <w:rFonts w:ascii="Arial" w:hAnsi="Arial" w:cs="Arial"/>
          <w:b/>
          <w:bCs/>
          <w:i/>
          <w:iCs/>
          <w:color w:val="000000"/>
          <w:sz w:val="18"/>
          <w:szCs w:val="18"/>
          <w:lang w:val="x-none"/>
        </w:rPr>
        <w:t>Załącznik 2</w:t>
      </w:r>
    </w:p>
    <w:p w14:paraId="4A6B362D" w14:textId="77777777" w:rsidR="000A3B2B" w:rsidRDefault="000A3B2B" w:rsidP="003C16E8">
      <w:pPr>
        <w:autoSpaceDE w:val="0"/>
        <w:autoSpaceDN w:val="0"/>
        <w:adjustRightInd w:val="0"/>
        <w:spacing w:after="30" w:line="240" w:lineRule="auto"/>
        <w:jc w:val="right"/>
        <w:rPr>
          <w:rFonts w:ascii="Arial" w:hAnsi="Arial" w:cs="Arial"/>
          <w:color w:val="000000"/>
          <w:sz w:val="18"/>
          <w:szCs w:val="18"/>
          <w:lang w:val="x-none"/>
        </w:rPr>
      </w:pPr>
    </w:p>
    <w:p w14:paraId="0E0A2A20" w14:textId="77777777" w:rsidR="000A3B2B" w:rsidRDefault="000A3B2B" w:rsidP="003C16E8">
      <w:pPr>
        <w:autoSpaceDE w:val="0"/>
        <w:autoSpaceDN w:val="0"/>
        <w:adjustRightInd w:val="0"/>
        <w:spacing w:after="30" w:line="240" w:lineRule="auto"/>
        <w:jc w:val="right"/>
        <w:rPr>
          <w:rFonts w:ascii="Arial" w:hAnsi="Arial" w:cs="Arial"/>
          <w:color w:val="000000"/>
          <w:sz w:val="18"/>
          <w:szCs w:val="18"/>
          <w:lang w:val="x-none"/>
        </w:rPr>
      </w:pPr>
      <w:r>
        <w:rPr>
          <w:rFonts w:ascii="Arial" w:hAnsi="Arial" w:cs="Arial"/>
          <w:color w:val="000000"/>
          <w:sz w:val="18"/>
          <w:szCs w:val="18"/>
          <w:lang w:val="x-none"/>
        </w:rPr>
        <w:t>..........................................., dnia ....................... r.</w:t>
      </w:r>
    </w:p>
    <w:p w14:paraId="36FED5EF" w14:textId="77777777" w:rsidR="000A3B2B" w:rsidRDefault="000A3B2B" w:rsidP="003C16E8">
      <w:pPr>
        <w:autoSpaceDE w:val="0"/>
        <w:autoSpaceDN w:val="0"/>
        <w:adjustRightInd w:val="0"/>
        <w:spacing w:after="30" w:line="240" w:lineRule="auto"/>
        <w:jc w:val="center"/>
        <w:rPr>
          <w:rFonts w:ascii="Arial" w:hAnsi="Arial" w:cs="Arial"/>
          <w:b/>
          <w:bCs/>
          <w:color w:val="000000"/>
          <w:sz w:val="18"/>
          <w:szCs w:val="18"/>
          <w:lang w:val="x-none"/>
        </w:rPr>
      </w:pPr>
    </w:p>
    <w:p w14:paraId="6961F02A" w14:textId="77777777" w:rsidR="000A3B2B" w:rsidRDefault="000A3B2B" w:rsidP="003C16E8">
      <w:pPr>
        <w:autoSpaceDE w:val="0"/>
        <w:autoSpaceDN w:val="0"/>
        <w:adjustRightInd w:val="0"/>
        <w:spacing w:after="30" w:line="240" w:lineRule="auto"/>
        <w:jc w:val="center"/>
        <w:rPr>
          <w:rFonts w:ascii="Arial" w:hAnsi="Arial" w:cs="Arial"/>
          <w:b/>
          <w:bCs/>
          <w:color w:val="000000"/>
          <w:sz w:val="18"/>
          <w:szCs w:val="18"/>
          <w:lang w:val="x-none"/>
        </w:rPr>
      </w:pPr>
      <w:r>
        <w:rPr>
          <w:rFonts w:ascii="Arial" w:hAnsi="Arial" w:cs="Arial"/>
          <w:b/>
          <w:bCs/>
          <w:color w:val="000000"/>
          <w:sz w:val="18"/>
          <w:szCs w:val="18"/>
          <w:lang w:val="x-none"/>
        </w:rPr>
        <w:t>PROTOKÓŁ ODBIORU TECHNICZNEGO – KOŃCOWEGO PRZEWODU KANALIZACYJNEGO</w:t>
      </w:r>
    </w:p>
    <w:p w14:paraId="6D4759E4" w14:textId="77777777" w:rsidR="000A3B2B" w:rsidRDefault="000A3B2B" w:rsidP="003C16E8">
      <w:pPr>
        <w:autoSpaceDE w:val="0"/>
        <w:autoSpaceDN w:val="0"/>
        <w:adjustRightInd w:val="0"/>
        <w:spacing w:after="3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1.</w:t>
      </w:r>
      <w:r>
        <w:rPr>
          <w:rFonts w:ascii="Arial" w:hAnsi="Arial" w:cs="Arial"/>
          <w:b/>
          <w:bCs/>
          <w:color w:val="000000"/>
          <w:sz w:val="18"/>
          <w:szCs w:val="18"/>
          <w:lang w:val="x-none"/>
        </w:rPr>
        <w:tab/>
        <w:t>Przedmiot odbioru</w:t>
      </w:r>
    </w:p>
    <w:p w14:paraId="6550697A" w14:textId="77777777" w:rsidR="000A3B2B" w:rsidRDefault="000A3B2B" w:rsidP="003C16E8">
      <w:pPr>
        <w:autoSpaceDE w:val="0"/>
        <w:autoSpaceDN w:val="0"/>
        <w:adjustRightInd w:val="0"/>
        <w:spacing w:after="0" w:line="240" w:lineRule="auto"/>
        <w:jc w:val="both"/>
        <w:rPr>
          <w:rFonts w:ascii="Arial" w:hAnsi="Arial" w:cs="Arial"/>
          <w:color w:val="000000"/>
          <w:sz w:val="18"/>
          <w:szCs w:val="18"/>
          <w:lang w:val="x-none"/>
        </w:rPr>
      </w:pPr>
      <w:r>
        <w:rPr>
          <w:rFonts w:ascii="Arial" w:hAnsi="Arial" w:cs="Arial"/>
          <w:color w:val="000000"/>
          <w:sz w:val="18"/>
          <w:szCs w:val="18"/>
          <w:lang w:val="x-none"/>
        </w:rPr>
        <w:t>Przewód ogólnospławny*, sanitarny*, deszczowy*; system: grawitacyjny*, ciśnieniowy*, podciśnieniowy*, zrealizowany w ................................ w ul. ............................... na odcinku ....................</w:t>
      </w:r>
    </w:p>
    <w:p w14:paraId="58EB4BA7" w14:textId="77777777" w:rsidR="000A3B2B" w:rsidRDefault="000A3B2B" w:rsidP="003C16E8">
      <w:pPr>
        <w:autoSpaceDE w:val="0"/>
        <w:autoSpaceDN w:val="0"/>
        <w:adjustRightInd w:val="0"/>
        <w:spacing w:after="0" w:line="240" w:lineRule="auto"/>
        <w:jc w:val="both"/>
        <w:rPr>
          <w:rFonts w:ascii="Arial" w:hAnsi="Arial" w:cs="Arial"/>
          <w:color w:val="000000"/>
          <w:sz w:val="14"/>
          <w:szCs w:val="14"/>
          <w:lang w:val="x-none"/>
        </w:rPr>
      </w:pPr>
      <w:r>
        <w:rPr>
          <w:rFonts w:ascii="Arial" w:hAnsi="Arial" w:cs="Arial"/>
          <w:color w:val="000000"/>
          <w:sz w:val="14"/>
          <w:szCs w:val="14"/>
          <w:lang w:val="x-none"/>
        </w:rPr>
        <w:tab/>
      </w:r>
      <w:r>
        <w:rPr>
          <w:rFonts w:ascii="Arial" w:hAnsi="Arial" w:cs="Arial"/>
          <w:color w:val="000000"/>
          <w:sz w:val="14"/>
          <w:szCs w:val="14"/>
          <w:lang w:val="x-none"/>
        </w:rPr>
        <w:tab/>
        <w:t xml:space="preserve">               nazwa miejscowości</w:t>
      </w:r>
    </w:p>
    <w:p w14:paraId="55C239CE" w14:textId="77777777" w:rsidR="000A3B2B" w:rsidRDefault="000A3B2B" w:rsidP="003C16E8">
      <w:pPr>
        <w:autoSpaceDE w:val="0"/>
        <w:autoSpaceDN w:val="0"/>
        <w:adjustRightInd w:val="0"/>
        <w:spacing w:after="0" w:line="240" w:lineRule="auto"/>
        <w:jc w:val="both"/>
        <w:rPr>
          <w:rFonts w:ascii="Arial" w:hAnsi="Arial" w:cs="Arial"/>
          <w:color w:val="000000"/>
          <w:sz w:val="18"/>
          <w:szCs w:val="18"/>
          <w:lang w:val="x-none"/>
        </w:rPr>
      </w:pPr>
      <w:r>
        <w:rPr>
          <w:rFonts w:ascii="Arial" w:hAnsi="Arial" w:cs="Arial"/>
          <w:color w:val="000000"/>
          <w:sz w:val="18"/>
          <w:szCs w:val="18"/>
          <w:lang w:val="x-none"/>
        </w:rPr>
        <w:t>o średnicy DN/ID*, DN/OD*................................................... długości L = .........................</w:t>
      </w:r>
    </w:p>
    <w:p w14:paraId="17308282" w14:textId="77777777" w:rsidR="000A3B2B" w:rsidRDefault="000A3B2B" w:rsidP="003C16E8">
      <w:pPr>
        <w:tabs>
          <w:tab w:val="right" w:leader="dot" w:pos="7080"/>
        </w:tabs>
        <w:autoSpaceDE w:val="0"/>
        <w:autoSpaceDN w:val="0"/>
        <w:adjustRightInd w:val="0"/>
        <w:spacing w:after="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wykonany z materiału </w:t>
      </w:r>
      <w:r>
        <w:rPr>
          <w:rFonts w:ascii="Arial" w:hAnsi="Arial" w:cs="Arial"/>
          <w:color w:val="000000"/>
          <w:sz w:val="18"/>
          <w:szCs w:val="18"/>
          <w:lang w:val="x-none"/>
        </w:rPr>
        <w:tab/>
      </w:r>
    </w:p>
    <w:p w14:paraId="3B0B7391" w14:textId="77777777" w:rsidR="000A3B2B" w:rsidRDefault="000A3B2B" w:rsidP="003C16E8">
      <w:pPr>
        <w:tabs>
          <w:tab w:val="right" w:leader="dot" w:pos="7080"/>
        </w:tabs>
        <w:autoSpaceDE w:val="0"/>
        <w:autoSpaceDN w:val="0"/>
        <w:adjustRightInd w:val="0"/>
        <w:spacing w:after="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ze studzienkami kanalizacyjnymi wyposażonymi w zespoły pompowe*, zawory opróżniające* </w:t>
      </w:r>
    </w:p>
    <w:p w14:paraId="415D604F" w14:textId="77777777" w:rsidR="000A3B2B" w:rsidRDefault="000A3B2B" w:rsidP="003C16E8">
      <w:pPr>
        <w:tabs>
          <w:tab w:val="right" w:leader="dot" w:pos="7080"/>
        </w:tabs>
        <w:autoSpaceDE w:val="0"/>
        <w:autoSpaceDN w:val="0"/>
        <w:adjustRightInd w:val="0"/>
        <w:spacing w:after="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zaprojektowany przez </w:t>
      </w:r>
      <w:r>
        <w:rPr>
          <w:rFonts w:ascii="Arial" w:hAnsi="Arial" w:cs="Arial"/>
          <w:color w:val="000000"/>
          <w:sz w:val="18"/>
          <w:szCs w:val="18"/>
          <w:lang w:val="x-none"/>
        </w:rPr>
        <w:tab/>
      </w:r>
    </w:p>
    <w:p w14:paraId="3644A059" w14:textId="77777777" w:rsidR="000A3B2B" w:rsidRDefault="000A3B2B" w:rsidP="003C16E8">
      <w:pPr>
        <w:tabs>
          <w:tab w:val="right" w:leader="dot" w:pos="7080"/>
        </w:tabs>
        <w:autoSpaceDE w:val="0"/>
        <w:autoSpaceDN w:val="0"/>
        <w:adjustRightInd w:val="0"/>
        <w:spacing w:after="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uzgodniony przez </w:t>
      </w:r>
      <w:r>
        <w:rPr>
          <w:rFonts w:ascii="Arial" w:hAnsi="Arial" w:cs="Arial"/>
          <w:color w:val="000000"/>
          <w:sz w:val="18"/>
          <w:szCs w:val="18"/>
          <w:lang w:val="x-none"/>
        </w:rPr>
        <w:tab/>
      </w:r>
    </w:p>
    <w:p w14:paraId="01C85485" w14:textId="77777777" w:rsidR="000A3B2B" w:rsidRDefault="000A3B2B" w:rsidP="003C16E8">
      <w:pPr>
        <w:autoSpaceDE w:val="0"/>
        <w:autoSpaceDN w:val="0"/>
        <w:adjustRightInd w:val="0"/>
        <w:spacing w:after="0" w:line="240" w:lineRule="auto"/>
        <w:jc w:val="center"/>
        <w:rPr>
          <w:rFonts w:ascii="Arial" w:hAnsi="Arial" w:cs="Arial"/>
          <w:color w:val="000000"/>
          <w:sz w:val="14"/>
          <w:szCs w:val="14"/>
          <w:lang w:val="x-none"/>
        </w:rPr>
      </w:pPr>
      <w:r>
        <w:rPr>
          <w:rFonts w:ascii="Arial" w:hAnsi="Arial" w:cs="Arial"/>
          <w:color w:val="000000"/>
          <w:sz w:val="14"/>
          <w:szCs w:val="14"/>
          <w:lang w:val="x-none"/>
        </w:rPr>
        <w:tab/>
        <w:t>nazwa przedsiębiorstwa wodociągów i kanalizacji</w:t>
      </w:r>
    </w:p>
    <w:p w14:paraId="7D5F3227" w14:textId="77777777" w:rsidR="000A3B2B" w:rsidRDefault="000A3B2B" w:rsidP="003C16E8">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Nr uzgodnienia ............., okres budowy od dnia ........................  do dnia ..........................</w:t>
      </w:r>
    </w:p>
    <w:p w14:paraId="4813F915" w14:textId="77777777" w:rsidR="000A3B2B" w:rsidRDefault="000A3B2B" w:rsidP="003C16E8">
      <w:pPr>
        <w:autoSpaceDE w:val="0"/>
        <w:autoSpaceDN w:val="0"/>
        <w:adjustRightInd w:val="0"/>
        <w:spacing w:after="30" w:line="240" w:lineRule="auto"/>
        <w:ind w:left="285" w:hanging="285"/>
        <w:jc w:val="both"/>
        <w:rPr>
          <w:rFonts w:ascii="Arial" w:hAnsi="Arial" w:cs="Arial"/>
          <w:b/>
          <w:bCs/>
          <w:color w:val="000000"/>
          <w:sz w:val="18"/>
          <w:szCs w:val="18"/>
          <w:lang w:val="x-none"/>
        </w:rPr>
      </w:pPr>
    </w:p>
    <w:p w14:paraId="41476F39" w14:textId="77777777" w:rsidR="000A3B2B" w:rsidRDefault="000A3B2B" w:rsidP="003C16E8">
      <w:pPr>
        <w:autoSpaceDE w:val="0"/>
        <w:autoSpaceDN w:val="0"/>
        <w:adjustRightInd w:val="0"/>
        <w:spacing w:after="3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2.</w:t>
      </w:r>
      <w:r>
        <w:rPr>
          <w:rFonts w:ascii="Arial" w:hAnsi="Arial" w:cs="Arial"/>
          <w:b/>
          <w:bCs/>
          <w:color w:val="000000"/>
          <w:sz w:val="18"/>
          <w:szCs w:val="18"/>
          <w:lang w:val="x-none"/>
        </w:rPr>
        <w:tab/>
        <w:t>Skład Komisji, której przewodniczy inwestor:</w:t>
      </w:r>
    </w:p>
    <w:tbl>
      <w:tblPr>
        <w:tblW w:w="0" w:type="auto"/>
        <w:tblCellSpacing w:w="0" w:type="dxa"/>
        <w:tblInd w:w="-8" w:type="dxa"/>
        <w:tblLayout w:type="fixed"/>
        <w:tblCellMar>
          <w:left w:w="0" w:type="dxa"/>
          <w:right w:w="0" w:type="dxa"/>
        </w:tblCellMar>
        <w:tblLook w:val="0000" w:firstRow="0" w:lastRow="0" w:firstColumn="0" w:lastColumn="0" w:noHBand="0" w:noVBand="0"/>
      </w:tblPr>
      <w:tblGrid>
        <w:gridCol w:w="502"/>
        <w:gridCol w:w="1380"/>
        <w:gridCol w:w="1320"/>
        <w:gridCol w:w="1320"/>
        <w:gridCol w:w="1320"/>
        <w:gridCol w:w="1320"/>
      </w:tblGrid>
      <w:tr w:rsidR="000A3B2B" w14:paraId="3961A234" w14:textId="77777777" w:rsidTr="00443121">
        <w:trPr>
          <w:trHeight w:val="60"/>
          <w:tblCellSpacing w:w="0" w:type="dxa"/>
        </w:trPr>
        <w:tc>
          <w:tcPr>
            <w:tcW w:w="502" w:type="dxa"/>
            <w:tcBorders>
              <w:top w:val="single" w:sz="6" w:space="0" w:color="000000"/>
              <w:left w:val="single" w:sz="6" w:space="0" w:color="000000"/>
              <w:bottom w:val="single" w:sz="6" w:space="0" w:color="000000"/>
              <w:right w:val="single" w:sz="6" w:space="0" w:color="000000"/>
            </w:tcBorders>
            <w:vAlign w:val="center"/>
          </w:tcPr>
          <w:p w14:paraId="6C82BA51" w14:textId="77777777" w:rsidR="000A3B2B" w:rsidRDefault="000A3B2B" w:rsidP="00443121">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Poz.</w:t>
            </w:r>
          </w:p>
        </w:tc>
        <w:tc>
          <w:tcPr>
            <w:tcW w:w="1380" w:type="dxa"/>
            <w:tcBorders>
              <w:top w:val="single" w:sz="6" w:space="0" w:color="000000"/>
              <w:left w:val="single" w:sz="6" w:space="0" w:color="000000"/>
              <w:bottom w:val="single" w:sz="6" w:space="0" w:color="000000"/>
              <w:right w:val="single" w:sz="6" w:space="0" w:color="000000"/>
            </w:tcBorders>
            <w:vAlign w:val="center"/>
          </w:tcPr>
          <w:p w14:paraId="6E32A2BE" w14:textId="77777777" w:rsidR="000A3B2B" w:rsidRDefault="000A3B2B" w:rsidP="00443121">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w:t>
            </w:r>
          </w:p>
        </w:tc>
        <w:tc>
          <w:tcPr>
            <w:tcW w:w="1320" w:type="dxa"/>
            <w:tcBorders>
              <w:top w:val="single" w:sz="6" w:space="0" w:color="000000"/>
              <w:left w:val="single" w:sz="6" w:space="0" w:color="000000"/>
              <w:bottom w:val="single" w:sz="6" w:space="0" w:color="000000"/>
              <w:right w:val="single" w:sz="6" w:space="0" w:color="000000"/>
            </w:tcBorders>
            <w:vAlign w:val="center"/>
          </w:tcPr>
          <w:p w14:paraId="279A53D4" w14:textId="77777777" w:rsidR="000A3B2B" w:rsidRDefault="000A3B2B" w:rsidP="00443121">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Imię i nazwisko</w:t>
            </w:r>
          </w:p>
        </w:tc>
        <w:tc>
          <w:tcPr>
            <w:tcW w:w="1320" w:type="dxa"/>
            <w:tcBorders>
              <w:top w:val="single" w:sz="6" w:space="0" w:color="000000"/>
              <w:left w:val="single" w:sz="6" w:space="0" w:color="000000"/>
              <w:bottom w:val="single" w:sz="6" w:space="0" w:color="000000"/>
              <w:right w:val="single" w:sz="6" w:space="0" w:color="000000"/>
            </w:tcBorders>
            <w:vAlign w:val="center"/>
          </w:tcPr>
          <w:p w14:paraId="668EA8C8" w14:textId="77777777" w:rsidR="000A3B2B" w:rsidRDefault="000A3B2B" w:rsidP="00443121">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Instytucja</w:t>
            </w:r>
          </w:p>
        </w:tc>
        <w:tc>
          <w:tcPr>
            <w:tcW w:w="1320" w:type="dxa"/>
            <w:tcBorders>
              <w:top w:val="single" w:sz="6" w:space="0" w:color="000000"/>
              <w:left w:val="single" w:sz="6" w:space="0" w:color="000000"/>
              <w:bottom w:val="single" w:sz="6" w:space="0" w:color="000000"/>
              <w:right w:val="single" w:sz="6" w:space="0" w:color="000000"/>
            </w:tcBorders>
            <w:vAlign w:val="center"/>
          </w:tcPr>
          <w:p w14:paraId="09EDE66A" w14:textId="77777777" w:rsidR="000A3B2B" w:rsidRDefault="000A3B2B" w:rsidP="00443121">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Stanowisko</w:t>
            </w:r>
          </w:p>
        </w:tc>
        <w:tc>
          <w:tcPr>
            <w:tcW w:w="1320" w:type="dxa"/>
            <w:tcBorders>
              <w:top w:val="single" w:sz="6" w:space="0" w:color="000000"/>
              <w:left w:val="single" w:sz="6" w:space="0" w:color="000000"/>
              <w:bottom w:val="single" w:sz="6" w:space="0" w:color="000000"/>
              <w:right w:val="single" w:sz="6" w:space="0" w:color="000000"/>
            </w:tcBorders>
            <w:vAlign w:val="center"/>
          </w:tcPr>
          <w:p w14:paraId="06AD1740" w14:textId="77777777" w:rsidR="000A3B2B" w:rsidRDefault="000A3B2B" w:rsidP="00443121">
            <w:pPr>
              <w:autoSpaceDE w:val="0"/>
              <w:autoSpaceDN w:val="0"/>
              <w:adjustRightInd w:val="0"/>
              <w:spacing w:after="30" w:line="240" w:lineRule="auto"/>
              <w:jc w:val="center"/>
              <w:rPr>
                <w:rFonts w:ascii="Arial" w:hAnsi="Arial" w:cs="Arial"/>
                <w:color w:val="000000"/>
                <w:position w:val="4"/>
                <w:sz w:val="8"/>
                <w:szCs w:val="8"/>
                <w:lang w:val="x-none"/>
              </w:rPr>
            </w:pPr>
            <w:r>
              <w:rPr>
                <w:rFonts w:ascii="Arial" w:hAnsi="Arial" w:cs="Arial"/>
                <w:color w:val="000000"/>
                <w:sz w:val="18"/>
                <w:szCs w:val="18"/>
                <w:lang w:val="x-none"/>
              </w:rPr>
              <w:t>Uwagi</w:t>
            </w:r>
            <w:r>
              <w:rPr>
                <w:rFonts w:ascii="Arial" w:hAnsi="Arial" w:cs="Arial"/>
                <w:color w:val="000000"/>
                <w:position w:val="4"/>
                <w:sz w:val="8"/>
                <w:szCs w:val="8"/>
                <w:lang w:val="x-none"/>
              </w:rPr>
              <w:t>1)</w:t>
            </w:r>
          </w:p>
        </w:tc>
      </w:tr>
      <w:tr w:rsidR="000A3B2B" w14:paraId="7A04EECB" w14:textId="77777777" w:rsidTr="00443121">
        <w:trPr>
          <w:trHeight w:val="60"/>
          <w:tblCellSpacing w:w="0" w:type="dxa"/>
        </w:trPr>
        <w:tc>
          <w:tcPr>
            <w:tcW w:w="502" w:type="dxa"/>
            <w:tcBorders>
              <w:top w:val="single" w:sz="6" w:space="0" w:color="000000"/>
              <w:left w:val="single" w:sz="6" w:space="0" w:color="000000"/>
              <w:bottom w:val="single" w:sz="6" w:space="0" w:color="000000"/>
              <w:right w:val="single" w:sz="6" w:space="0" w:color="000000"/>
            </w:tcBorders>
            <w:vAlign w:val="center"/>
          </w:tcPr>
          <w:p w14:paraId="71988851" w14:textId="77777777" w:rsidR="000A3B2B" w:rsidRDefault="000A3B2B" w:rsidP="00443121">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1.</w:t>
            </w:r>
          </w:p>
        </w:tc>
        <w:tc>
          <w:tcPr>
            <w:tcW w:w="1380" w:type="dxa"/>
            <w:tcBorders>
              <w:top w:val="single" w:sz="6" w:space="0" w:color="000000"/>
              <w:left w:val="single" w:sz="6" w:space="0" w:color="000000"/>
              <w:bottom w:val="single" w:sz="6" w:space="0" w:color="000000"/>
              <w:right w:val="single" w:sz="6" w:space="0" w:color="000000"/>
            </w:tcBorders>
            <w:vAlign w:val="center"/>
          </w:tcPr>
          <w:p w14:paraId="03B28D0E" w14:textId="77777777" w:rsidR="000A3B2B" w:rsidRDefault="000A3B2B" w:rsidP="00443121">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Inwestor</w:t>
            </w:r>
          </w:p>
        </w:tc>
        <w:tc>
          <w:tcPr>
            <w:tcW w:w="1320" w:type="dxa"/>
            <w:tcBorders>
              <w:top w:val="single" w:sz="6" w:space="0" w:color="000000"/>
              <w:left w:val="single" w:sz="6" w:space="0" w:color="000000"/>
              <w:bottom w:val="single" w:sz="6" w:space="0" w:color="000000"/>
              <w:right w:val="single" w:sz="6" w:space="0" w:color="000000"/>
            </w:tcBorders>
            <w:vAlign w:val="center"/>
          </w:tcPr>
          <w:p w14:paraId="73DA0EDA" w14:textId="77777777" w:rsidR="000A3B2B" w:rsidRDefault="000A3B2B" w:rsidP="00443121">
            <w:pPr>
              <w:autoSpaceDE w:val="0"/>
              <w:autoSpaceDN w:val="0"/>
              <w:adjustRightInd w:val="0"/>
              <w:spacing w:after="0" w:line="240" w:lineRule="auto"/>
              <w:rPr>
                <w:rFonts w:ascii="Arial" w:hAnsi="Arial" w:cs="Arial"/>
                <w:sz w:val="24"/>
                <w:szCs w:val="24"/>
                <w:lang w:val="x-none"/>
              </w:rPr>
            </w:pPr>
          </w:p>
        </w:tc>
        <w:tc>
          <w:tcPr>
            <w:tcW w:w="1320" w:type="dxa"/>
            <w:tcBorders>
              <w:top w:val="single" w:sz="6" w:space="0" w:color="000000"/>
              <w:left w:val="single" w:sz="6" w:space="0" w:color="000000"/>
              <w:bottom w:val="single" w:sz="6" w:space="0" w:color="000000"/>
              <w:right w:val="single" w:sz="6" w:space="0" w:color="000000"/>
            </w:tcBorders>
            <w:vAlign w:val="center"/>
          </w:tcPr>
          <w:p w14:paraId="0F78A6F4" w14:textId="77777777" w:rsidR="000A3B2B" w:rsidRDefault="000A3B2B" w:rsidP="00443121">
            <w:pPr>
              <w:autoSpaceDE w:val="0"/>
              <w:autoSpaceDN w:val="0"/>
              <w:adjustRightInd w:val="0"/>
              <w:spacing w:after="0" w:line="240" w:lineRule="auto"/>
              <w:rPr>
                <w:rFonts w:ascii="Arial" w:hAnsi="Arial" w:cs="Arial"/>
                <w:sz w:val="24"/>
                <w:szCs w:val="24"/>
                <w:lang w:val="x-none"/>
              </w:rPr>
            </w:pPr>
          </w:p>
        </w:tc>
        <w:tc>
          <w:tcPr>
            <w:tcW w:w="1320" w:type="dxa"/>
            <w:tcBorders>
              <w:top w:val="single" w:sz="6" w:space="0" w:color="000000"/>
              <w:left w:val="single" w:sz="6" w:space="0" w:color="000000"/>
              <w:bottom w:val="single" w:sz="6" w:space="0" w:color="000000"/>
              <w:right w:val="single" w:sz="6" w:space="0" w:color="000000"/>
            </w:tcBorders>
            <w:vAlign w:val="center"/>
          </w:tcPr>
          <w:p w14:paraId="22A98588" w14:textId="77777777" w:rsidR="000A3B2B" w:rsidRDefault="000A3B2B" w:rsidP="00443121">
            <w:pPr>
              <w:autoSpaceDE w:val="0"/>
              <w:autoSpaceDN w:val="0"/>
              <w:adjustRightInd w:val="0"/>
              <w:spacing w:after="0" w:line="240" w:lineRule="auto"/>
              <w:rPr>
                <w:rFonts w:ascii="Arial" w:hAnsi="Arial" w:cs="Arial"/>
                <w:sz w:val="24"/>
                <w:szCs w:val="24"/>
                <w:lang w:val="x-none"/>
              </w:rPr>
            </w:pPr>
          </w:p>
        </w:tc>
        <w:tc>
          <w:tcPr>
            <w:tcW w:w="1320" w:type="dxa"/>
            <w:tcBorders>
              <w:top w:val="single" w:sz="6" w:space="0" w:color="000000"/>
              <w:left w:val="single" w:sz="6" w:space="0" w:color="000000"/>
              <w:bottom w:val="single" w:sz="6" w:space="0" w:color="000000"/>
              <w:right w:val="single" w:sz="6" w:space="0" w:color="000000"/>
            </w:tcBorders>
            <w:vAlign w:val="center"/>
          </w:tcPr>
          <w:p w14:paraId="5C74704C" w14:textId="77777777" w:rsidR="000A3B2B" w:rsidRDefault="000A3B2B" w:rsidP="00443121">
            <w:pPr>
              <w:autoSpaceDE w:val="0"/>
              <w:autoSpaceDN w:val="0"/>
              <w:adjustRightInd w:val="0"/>
              <w:spacing w:after="0" w:line="240" w:lineRule="auto"/>
              <w:rPr>
                <w:rFonts w:ascii="Arial" w:hAnsi="Arial" w:cs="Arial"/>
                <w:sz w:val="24"/>
                <w:szCs w:val="24"/>
                <w:lang w:val="x-none"/>
              </w:rPr>
            </w:pPr>
          </w:p>
        </w:tc>
      </w:tr>
      <w:tr w:rsidR="000A3B2B" w14:paraId="53D0EDDC" w14:textId="77777777" w:rsidTr="00443121">
        <w:trPr>
          <w:trHeight w:val="60"/>
          <w:tblCellSpacing w:w="0" w:type="dxa"/>
        </w:trPr>
        <w:tc>
          <w:tcPr>
            <w:tcW w:w="502" w:type="dxa"/>
            <w:tcBorders>
              <w:top w:val="single" w:sz="6" w:space="0" w:color="000000"/>
              <w:left w:val="single" w:sz="6" w:space="0" w:color="000000"/>
              <w:bottom w:val="single" w:sz="6" w:space="0" w:color="000000"/>
              <w:right w:val="single" w:sz="6" w:space="0" w:color="000000"/>
            </w:tcBorders>
            <w:vAlign w:val="center"/>
          </w:tcPr>
          <w:p w14:paraId="2A49E41F" w14:textId="77777777" w:rsidR="000A3B2B" w:rsidRDefault="000A3B2B" w:rsidP="00443121">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2.</w:t>
            </w:r>
          </w:p>
        </w:tc>
        <w:tc>
          <w:tcPr>
            <w:tcW w:w="1380" w:type="dxa"/>
            <w:tcBorders>
              <w:top w:val="single" w:sz="6" w:space="0" w:color="000000"/>
              <w:left w:val="single" w:sz="6" w:space="0" w:color="000000"/>
              <w:bottom w:val="single" w:sz="6" w:space="0" w:color="000000"/>
              <w:right w:val="single" w:sz="6" w:space="0" w:color="000000"/>
            </w:tcBorders>
            <w:vAlign w:val="center"/>
          </w:tcPr>
          <w:p w14:paraId="6FC15532" w14:textId="77777777" w:rsidR="000A3B2B" w:rsidRDefault="000A3B2B" w:rsidP="00443121">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Wykonawca</w:t>
            </w:r>
          </w:p>
        </w:tc>
        <w:tc>
          <w:tcPr>
            <w:tcW w:w="1320" w:type="dxa"/>
            <w:tcBorders>
              <w:top w:val="single" w:sz="6" w:space="0" w:color="000000"/>
              <w:left w:val="single" w:sz="6" w:space="0" w:color="000000"/>
              <w:bottom w:val="single" w:sz="6" w:space="0" w:color="000000"/>
              <w:right w:val="single" w:sz="6" w:space="0" w:color="000000"/>
            </w:tcBorders>
            <w:vAlign w:val="center"/>
          </w:tcPr>
          <w:p w14:paraId="66EE5A7E" w14:textId="77777777" w:rsidR="000A3B2B" w:rsidRDefault="000A3B2B" w:rsidP="00443121">
            <w:pPr>
              <w:autoSpaceDE w:val="0"/>
              <w:autoSpaceDN w:val="0"/>
              <w:adjustRightInd w:val="0"/>
              <w:spacing w:after="0" w:line="240" w:lineRule="auto"/>
              <w:rPr>
                <w:rFonts w:ascii="Arial" w:hAnsi="Arial" w:cs="Arial"/>
                <w:sz w:val="24"/>
                <w:szCs w:val="24"/>
                <w:lang w:val="x-none"/>
              </w:rPr>
            </w:pPr>
          </w:p>
        </w:tc>
        <w:tc>
          <w:tcPr>
            <w:tcW w:w="1320" w:type="dxa"/>
            <w:tcBorders>
              <w:top w:val="single" w:sz="6" w:space="0" w:color="000000"/>
              <w:left w:val="single" w:sz="6" w:space="0" w:color="000000"/>
              <w:bottom w:val="single" w:sz="6" w:space="0" w:color="000000"/>
              <w:right w:val="single" w:sz="6" w:space="0" w:color="000000"/>
            </w:tcBorders>
            <w:vAlign w:val="center"/>
          </w:tcPr>
          <w:p w14:paraId="61129360" w14:textId="77777777" w:rsidR="000A3B2B" w:rsidRDefault="000A3B2B" w:rsidP="00443121">
            <w:pPr>
              <w:autoSpaceDE w:val="0"/>
              <w:autoSpaceDN w:val="0"/>
              <w:adjustRightInd w:val="0"/>
              <w:spacing w:after="0" w:line="240" w:lineRule="auto"/>
              <w:rPr>
                <w:rFonts w:ascii="Arial" w:hAnsi="Arial" w:cs="Arial"/>
                <w:sz w:val="24"/>
                <w:szCs w:val="24"/>
                <w:lang w:val="x-none"/>
              </w:rPr>
            </w:pPr>
          </w:p>
        </w:tc>
        <w:tc>
          <w:tcPr>
            <w:tcW w:w="1320" w:type="dxa"/>
            <w:tcBorders>
              <w:top w:val="single" w:sz="6" w:space="0" w:color="000000"/>
              <w:left w:val="single" w:sz="6" w:space="0" w:color="000000"/>
              <w:bottom w:val="single" w:sz="6" w:space="0" w:color="000000"/>
              <w:right w:val="single" w:sz="6" w:space="0" w:color="000000"/>
            </w:tcBorders>
            <w:vAlign w:val="center"/>
          </w:tcPr>
          <w:p w14:paraId="20ACB087" w14:textId="77777777" w:rsidR="000A3B2B" w:rsidRDefault="000A3B2B" w:rsidP="00443121">
            <w:pPr>
              <w:autoSpaceDE w:val="0"/>
              <w:autoSpaceDN w:val="0"/>
              <w:adjustRightInd w:val="0"/>
              <w:spacing w:after="0" w:line="240" w:lineRule="auto"/>
              <w:rPr>
                <w:rFonts w:ascii="Arial" w:hAnsi="Arial" w:cs="Arial"/>
                <w:sz w:val="24"/>
                <w:szCs w:val="24"/>
                <w:lang w:val="x-none"/>
              </w:rPr>
            </w:pPr>
          </w:p>
        </w:tc>
        <w:tc>
          <w:tcPr>
            <w:tcW w:w="1320" w:type="dxa"/>
            <w:tcBorders>
              <w:top w:val="single" w:sz="6" w:space="0" w:color="000000"/>
              <w:left w:val="single" w:sz="6" w:space="0" w:color="000000"/>
              <w:bottom w:val="single" w:sz="6" w:space="0" w:color="000000"/>
              <w:right w:val="single" w:sz="6" w:space="0" w:color="000000"/>
            </w:tcBorders>
            <w:vAlign w:val="center"/>
          </w:tcPr>
          <w:p w14:paraId="1BFCFF0A" w14:textId="77777777" w:rsidR="000A3B2B" w:rsidRDefault="000A3B2B" w:rsidP="00443121">
            <w:pPr>
              <w:autoSpaceDE w:val="0"/>
              <w:autoSpaceDN w:val="0"/>
              <w:adjustRightInd w:val="0"/>
              <w:spacing w:after="0" w:line="240" w:lineRule="auto"/>
              <w:rPr>
                <w:rFonts w:ascii="Arial" w:hAnsi="Arial" w:cs="Arial"/>
                <w:sz w:val="24"/>
                <w:szCs w:val="24"/>
                <w:lang w:val="x-none"/>
              </w:rPr>
            </w:pPr>
          </w:p>
        </w:tc>
      </w:tr>
      <w:tr w:rsidR="000A3B2B" w14:paraId="288D8254" w14:textId="77777777" w:rsidTr="00443121">
        <w:trPr>
          <w:trHeight w:val="60"/>
          <w:tblCellSpacing w:w="0" w:type="dxa"/>
        </w:trPr>
        <w:tc>
          <w:tcPr>
            <w:tcW w:w="502" w:type="dxa"/>
            <w:tcBorders>
              <w:top w:val="single" w:sz="6" w:space="0" w:color="000000"/>
              <w:left w:val="single" w:sz="6" w:space="0" w:color="000000"/>
              <w:bottom w:val="single" w:sz="6" w:space="0" w:color="000000"/>
              <w:right w:val="single" w:sz="6" w:space="0" w:color="000000"/>
            </w:tcBorders>
            <w:vAlign w:val="center"/>
          </w:tcPr>
          <w:p w14:paraId="1141F8DA" w14:textId="77777777" w:rsidR="000A3B2B" w:rsidRDefault="000A3B2B" w:rsidP="00443121">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3.</w:t>
            </w:r>
          </w:p>
        </w:tc>
        <w:tc>
          <w:tcPr>
            <w:tcW w:w="1380" w:type="dxa"/>
            <w:tcBorders>
              <w:top w:val="single" w:sz="6" w:space="0" w:color="000000"/>
              <w:left w:val="single" w:sz="6" w:space="0" w:color="000000"/>
              <w:bottom w:val="single" w:sz="6" w:space="0" w:color="000000"/>
              <w:right w:val="single" w:sz="6" w:space="0" w:color="000000"/>
            </w:tcBorders>
            <w:vAlign w:val="center"/>
          </w:tcPr>
          <w:p w14:paraId="2AF47433" w14:textId="77777777" w:rsidR="000A3B2B" w:rsidRDefault="000A3B2B" w:rsidP="00443121">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Nadzór</w:t>
            </w:r>
          </w:p>
        </w:tc>
        <w:tc>
          <w:tcPr>
            <w:tcW w:w="1320" w:type="dxa"/>
            <w:tcBorders>
              <w:top w:val="single" w:sz="6" w:space="0" w:color="000000"/>
              <w:left w:val="single" w:sz="6" w:space="0" w:color="000000"/>
              <w:bottom w:val="single" w:sz="6" w:space="0" w:color="000000"/>
              <w:right w:val="single" w:sz="6" w:space="0" w:color="000000"/>
            </w:tcBorders>
            <w:vAlign w:val="center"/>
          </w:tcPr>
          <w:p w14:paraId="7F1A9A6C" w14:textId="77777777" w:rsidR="000A3B2B" w:rsidRDefault="000A3B2B" w:rsidP="00443121">
            <w:pPr>
              <w:autoSpaceDE w:val="0"/>
              <w:autoSpaceDN w:val="0"/>
              <w:adjustRightInd w:val="0"/>
              <w:spacing w:after="0" w:line="240" w:lineRule="auto"/>
              <w:rPr>
                <w:rFonts w:ascii="Arial" w:hAnsi="Arial" w:cs="Arial"/>
                <w:sz w:val="24"/>
                <w:szCs w:val="24"/>
                <w:lang w:val="x-none"/>
              </w:rPr>
            </w:pPr>
          </w:p>
        </w:tc>
        <w:tc>
          <w:tcPr>
            <w:tcW w:w="1320" w:type="dxa"/>
            <w:tcBorders>
              <w:top w:val="single" w:sz="6" w:space="0" w:color="000000"/>
              <w:left w:val="single" w:sz="6" w:space="0" w:color="000000"/>
              <w:bottom w:val="single" w:sz="6" w:space="0" w:color="000000"/>
              <w:right w:val="single" w:sz="6" w:space="0" w:color="000000"/>
            </w:tcBorders>
            <w:vAlign w:val="center"/>
          </w:tcPr>
          <w:p w14:paraId="3AA30F88" w14:textId="77777777" w:rsidR="000A3B2B" w:rsidRDefault="000A3B2B" w:rsidP="00443121">
            <w:pPr>
              <w:autoSpaceDE w:val="0"/>
              <w:autoSpaceDN w:val="0"/>
              <w:adjustRightInd w:val="0"/>
              <w:spacing w:after="0" w:line="240" w:lineRule="auto"/>
              <w:rPr>
                <w:rFonts w:ascii="Arial" w:hAnsi="Arial" w:cs="Arial"/>
                <w:sz w:val="24"/>
                <w:szCs w:val="24"/>
                <w:lang w:val="x-none"/>
              </w:rPr>
            </w:pPr>
          </w:p>
        </w:tc>
        <w:tc>
          <w:tcPr>
            <w:tcW w:w="1320" w:type="dxa"/>
            <w:tcBorders>
              <w:top w:val="single" w:sz="6" w:space="0" w:color="000000"/>
              <w:left w:val="single" w:sz="6" w:space="0" w:color="000000"/>
              <w:bottom w:val="single" w:sz="6" w:space="0" w:color="000000"/>
              <w:right w:val="single" w:sz="6" w:space="0" w:color="000000"/>
            </w:tcBorders>
            <w:vAlign w:val="center"/>
          </w:tcPr>
          <w:p w14:paraId="1C979645" w14:textId="77777777" w:rsidR="000A3B2B" w:rsidRDefault="000A3B2B" w:rsidP="00443121">
            <w:pPr>
              <w:autoSpaceDE w:val="0"/>
              <w:autoSpaceDN w:val="0"/>
              <w:adjustRightInd w:val="0"/>
              <w:spacing w:after="0" w:line="240" w:lineRule="auto"/>
              <w:rPr>
                <w:rFonts w:ascii="Arial" w:hAnsi="Arial" w:cs="Arial"/>
                <w:sz w:val="24"/>
                <w:szCs w:val="24"/>
                <w:lang w:val="x-none"/>
              </w:rPr>
            </w:pPr>
          </w:p>
        </w:tc>
        <w:tc>
          <w:tcPr>
            <w:tcW w:w="1320" w:type="dxa"/>
            <w:tcBorders>
              <w:top w:val="single" w:sz="6" w:space="0" w:color="000000"/>
              <w:left w:val="single" w:sz="6" w:space="0" w:color="000000"/>
              <w:bottom w:val="single" w:sz="6" w:space="0" w:color="000000"/>
              <w:right w:val="single" w:sz="6" w:space="0" w:color="000000"/>
            </w:tcBorders>
            <w:vAlign w:val="center"/>
          </w:tcPr>
          <w:p w14:paraId="7E6CA1F0" w14:textId="77777777" w:rsidR="000A3B2B" w:rsidRDefault="000A3B2B" w:rsidP="00443121">
            <w:pPr>
              <w:autoSpaceDE w:val="0"/>
              <w:autoSpaceDN w:val="0"/>
              <w:adjustRightInd w:val="0"/>
              <w:spacing w:after="0" w:line="240" w:lineRule="auto"/>
              <w:rPr>
                <w:rFonts w:ascii="Arial" w:hAnsi="Arial" w:cs="Arial"/>
                <w:sz w:val="24"/>
                <w:szCs w:val="24"/>
                <w:lang w:val="x-none"/>
              </w:rPr>
            </w:pPr>
          </w:p>
        </w:tc>
      </w:tr>
      <w:tr w:rsidR="000A3B2B" w14:paraId="0EEDF977" w14:textId="77777777" w:rsidTr="00443121">
        <w:trPr>
          <w:trHeight w:val="60"/>
          <w:tblCellSpacing w:w="0" w:type="dxa"/>
        </w:trPr>
        <w:tc>
          <w:tcPr>
            <w:tcW w:w="502" w:type="dxa"/>
            <w:tcBorders>
              <w:top w:val="single" w:sz="6" w:space="0" w:color="000000"/>
              <w:left w:val="single" w:sz="6" w:space="0" w:color="000000"/>
              <w:bottom w:val="single" w:sz="6" w:space="0" w:color="000000"/>
              <w:right w:val="single" w:sz="6" w:space="0" w:color="000000"/>
            </w:tcBorders>
            <w:vAlign w:val="center"/>
          </w:tcPr>
          <w:p w14:paraId="57CD9A05" w14:textId="77777777" w:rsidR="000A3B2B" w:rsidRDefault="000A3B2B" w:rsidP="00443121">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4.</w:t>
            </w:r>
          </w:p>
        </w:tc>
        <w:tc>
          <w:tcPr>
            <w:tcW w:w="1380" w:type="dxa"/>
            <w:tcBorders>
              <w:top w:val="single" w:sz="6" w:space="0" w:color="000000"/>
              <w:left w:val="single" w:sz="6" w:space="0" w:color="000000"/>
              <w:bottom w:val="single" w:sz="6" w:space="0" w:color="000000"/>
              <w:right w:val="single" w:sz="6" w:space="0" w:color="000000"/>
            </w:tcBorders>
            <w:vAlign w:val="center"/>
          </w:tcPr>
          <w:p w14:paraId="059A92ED" w14:textId="77777777" w:rsidR="000A3B2B" w:rsidRDefault="000A3B2B" w:rsidP="00443121">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Użytkownik</w:t>
            </w:r>
          </w:p>
        </w:tc>
        <w:tc>
          <w:tcPr>
            <w:tcW w:w="1320" w:type="dxa"/>
            <w:tcBorders>
              <w:top w:val="single" w:sz="6" w:space="0" w:color="000000"/>
              <w:left w:val="single" w:sz="6" w:space="0" w:color="000000"/>
              <w:bottom w:val="single" w:sz="6" w:space="0" w:color="000000"/>
              <w:right w:val="single" w:sz="6" w:space="0" w:color="000000"/>
            </w:tcBorders>
            <w:vAlign w:val="center"/>
          </w:tcPr>
          <w:p w14:paraId="16035129" w14:textId="77777777" w:rsidR="000A3B2B" w:rsidRDefault="000A3B2B" w:rsidP="00443121">
            <w:pPr>
              <w:autoSpaceDE w:val="0"/>
              <w:autoSpaceDN w:val="0"/>
              <w:adjustRightInd w:val="0"/>
              <w:spacing w:after="0" w:line="240" w:lineRule="auto"/>
              <w:rPr>
                <w:rFonts w:ascii="Arial" w:hAnsi="Arial" w:cs="Arial"/>
                <w:sz w:val="24"/>
                <w:szCs w:val="24"/>
                <w:lang w:val="x-none"/>
              </w:rPr>
            </w:pPr>
          </w:p>
        </w:tc>
        <w:tc>
          <w:tcPr>
            <w:tcW w:w="1320" w:type="dxa"/>
            <w:tcBorders>
              <w:top w:val="single" w:sz="6" w:space="0" w:color="000000"/>
              <w:left w:val="single" w:sz="6" w:space="0" w:color="000000"/>
              <w:bottom w:val="single" w:sz="6" w:space="0" w:color="000000"/>
              <w:right w:val="single" w:sz="6" w:space="0" w:color="000000"/>
            </w:tcBorders>
            <w:vAlign w:val="center"/>
          </w:tcPr>
          <w:p w14:paraId="184D5B2D" w14:textId="77777777" w:rsidR="000A3B2B" w:rsidRDefault="000A3B2B" w:rsidP="00443121">
            <w:pPr>
              <w:autoSpaceDE w:val="0"/>
              <w:autoSpaceDN w:val="0"/>
              <w:adjustRightInd w:val="0"/>
              <w:spacing w:after="0" w:line="240" w:lineRule="auto"/>
              <w:rPr>
                <w:rFonts w:ascii="Arial" w:hAnsi="Arial" w:cs="Arial"/>
                <w:sz w:val="24"/>
                <w:szCs w:val="24"/>
                <w:lang w:val="x-none"/>
              </w:rPr>
            </w:pPr>
          </w:p>
        </w:tc>
        <w:tc>
          <w:tcPr>
            <w:tcW w:w="1320" w:type="dxa"/>
            <w:tcBorders>
              <w:top w:val="single" w:sz="6" w:space="0" w:color="000000"/>
              <w:left w:val="single" w:sz="6" w:space="0" w:color="000000"/>
              <w:bottom w:val="single" w:sz="6" w:space="0" w:color="000000"/>
              <w:right w:val="single" w:sz="6" w:space="0" w:color="000000"/>
            </w:tcBorders>
            <w:vAlign w:val="center"/>
          </w:tcPr>
          <w:p w14:paraId="6AAF998C" w14:textId="77777777" w:rsidR="000A3B2B" w:rsidRDefault="000A3B2B" w:rsidP="00443121">
            <w:pPr>
              <w:autoSpaceDE w:val="0"/>
              <w:autoSpaceDN w:val="0"/>
              <w:adjustRightInd w:val="0"/>
              <w:spacing w:after="0" w:line="240" w:lineRule="auto"/>
              <w:rPr>
                <w:rFonts w:ascii="Arial" w:hAnsi="Arial" w:cs="Arial"/>
                <w:sz w:val="24"/>
                <w:szCs w:val="24"/>
                <w:lang w:val="x-none"/>
              </w:rPr>
            </w:pPr>
          </w:p>
        </w:tc>
        <w:tc>
          <w:tcPr>
            <w:tcW w:w="1320" w:type="dxa"/>
            <w:tcBorders>
              <w:top w:val="single" w:sz="6" w:space="0" w:color="000000"/>
              <w:left w:val="single" w:sz="6" w:space="0" w:color="000000"/>
              <w:bottom w:val="single" w:sz="6" w:space="0" w:color="000000"/>
              <w:right w:val="single" w:sz="6" w:space="0" w:color="000000"/>
            </w:tcBorders>
            <w:vAlign w:val="center"/>
          </w:tcPr>
          <w:p w14:paraId="6DA285A5" w14:textId="77777777" w:rsidR="000A3B2B" w:rsidRDefault="000A3B2B" w:rsidP="00443121">
            <w:pPr>
              <w:autoSpaceDE w:val="0"/>
              <w:autoSpaceDN w:val="0"/>
              <w:adjustRightInd w:val="0"/>
              <w:spacing w:after="0" w:line="240" w:lineRule="auto"/>
              <w:rPr>
                <w:rFonts w:ascii="Arial" w:hAnsi="Arial" w:cs="Arial"/>
                <w:sz w:val="24"/>
                <w:szCs w:val="24"/>
                <w:lang w:val="x-none"/>
              </w:rPr>
            </w:pPr>
          </w:p>
        </w:tc>
      </w:tr>
      <w:tr w:rsidR="000A3B2B" w14:paraId="510BB89D" w14:textId="77777777" w:rsidTr="00443121">
        <w:trPr>
          <w:trHeight w:val="60"/>
          <w:tblCellSpacing w:w="0" w:type="dxa"/>
        </w:trPr>
        <w:tc>
          <w:tcPr>
            <w:tcW w:w="502" w:type="dxa"/>
            <w:tcBorders>
              <w:top w:val="single" w:sz="6" w:space="0" w:color="000000"/>
              <w:left w:val="single" w:sz="6" w:space="0" w:color="000000"/>
              <w:bottom w:val="single" w:sz="6" w:space="0" w:color="000000"/>
              <w:right w:val="single" w:sz="6" w:space="0" w:color="000000"/>
            </w:tcBorders>
            <w:vAlign w:val="center"/>
          </w:tcPr>
          <w:p w14:paraId="5A87FAB5" w14:textId="77777777" w:rsidR="000A3B2B" w:rsidRDefault="000A3B2B" w:rsidP="00443121">
            <w:pPr>
              <w:autoSpaceDE w:val="0"/>
              <w:autoSpaceDN w:val="0"/>
              <w:adjustRightInd w:val="0"/>
              <w:spacing w:after="30" w:line="240" w:lineRule="auto"/>
              <w:jc w:val="center"/>
              <w:rPr>
                <w:rFonts w:ascii="Arial" w:hAnsi="Arial" w:cs="Arial"/>
                <w:color w:val="000000"/>
                <w:sz w:val="18"/>
                <w:szCs w:val="18"/>
                <w:lang w:val="x-none"/>
              </w:rPr>
            </w:pPr>
            <w:r>
              <w:rPr>
                <w:rFonts w:ascii="Arial" w:hAnsi="Arial" w:cs="Arial"/>
                <w:color w:val="000000"/>
                <w:sz w:val="18"/>
                <w:szCs w:val="18"/>
                <w:lang w:val="x-none"/>
              </w:rPr>
              <w:t>5.</w:t>
            </w:r>
          </w:p>
        </w:tc>
        <w:tc>
          <w:tcPr>
            <w:tcW w:w="1380" w:type="dxa"/>
            <w:tcBorders>
              <w:top w:val="single" w:sz="6" w:space="0" w:color="000000"/>
              <w:left w:val="single" w:sz="6" w:space="0" w:color="000000"/>
              <w:bottom w:val="single" w:sz="6" w:space="0" w:color="000000"/>
              <w:right w:val="single" w:sz="6" w:space="0" w:color="000000"/>
            </w:tcBorders>
            <w:vAlign w:val="center"/>
          </w:tcPr>
          <w:p w14:paraId="2DA9DF9A" w14:textId="77777777" w:rsidR="000A3B2B" w:rsidRDefault="000A3B2B" w:rsidP="00443121">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Projektant</w:t>
            </w:r>
          </w:p>
        </w:tc>
        <w:tc>
          <w:tcPr>
            <w:tcW w:w="1320" w:type="dxa"/>
            <w:tcBorders>
              <w:top w:val="single" w:sz="6" w:space="0" w:color="000000"/>
              <w:left w:val="single" w:sz="6" w:space="0" w:color="000000"/>
              <w:bottom w:val="single" w:sz="6" w:space="0" w:color="000000"/>
              <w:right w:val="single" w:sz="6" w:space="0" w:color="000000"/>
            </w:tcBorders>
            <w:vAlign w:val="center"/>
          </w:tcPr>
          <w:p w14:paraId="68F3D55C" w14:textId="77777777" w:rsidR="000A3B2B" w:rsidRDefault="000A3B2B" w:rsidP="00443121">
            <w:pPr>
              <w:autoSpaceDE w:val="0"/>
              <w:autoSpaceDN w:val="0"/>
              <w:adjustRightInd w:val="0"/>
              <w:spacing w:after="0" w:line="240" w:lineRule="auto"/>
              <w:rPr>
                <w:rFonts w:ascii="Arial" w:hAnsi="Arial" w:cs="Arial"/>
                <w:sz w:val="24"/>
                <w:szCs w:val="24"/>
                <w:lang w:val="x-none"/>
              </w:rPr>
            </w:pPr>
          </w:p>
        </w:tc>
        <w:tc>
          <w:tcPr>
            <w:tcW w:w="1320" w:type="dxa"/>
            <w:tcBorders>
              <w:top w:val="single" w:sz="6" w:space="0" w:color="000000"/>
              <w:left w:val="single" w:sz="6" w:space="0" w:color="000000"/>
              <w:bottom w:val="single" w:sz="6" w:space="0" w:color="000000"/>
              <w:right w:val="single" w:sz="6" w:space="0" w:color="000000"/>
            </w:tcBorders>
            <w:vAlign w:val="center"/>
          </w:tcPr>
          <w:p w14:paraId="6D4D1006" w14:textId="77777777" w:rsidR="000A3B2B" w:rsidRDefault="000A3B2B" w:rsidP="00443121">
            <w:pPr>
              <w:autoSpaceDE w:val="0"/>
              <w:autoSpaceDN w:val="0"/>
              <w:adjustRightInd w:val="0"/>
              <w:spacing w:after="0" w:line="240" w:lineRule="auto"/>
              <w:rPr>
                <w:rFonts w:ascii="Arial" w:hAnsi="Arial" w:cs="Arial"/>
                <w:sz w:val="24"/>
                <w:szCs w:val="24"/>
                <w:lang w:val="x-none"/>
              </w:rPr>
            </w:pPr>
          </w:p>
        </w:tc>
        <w:tc>
          <w:tcPr>
            <w:tcW w:w="1320" w:type="dxa"/>
            <w:tcBorders>
              <w:top w:val="single" w:sz="6" w:space="0" w:color="000000"/>
              <w:left w:val="single" w:sz="6" w:space="0" w:color="000000"/>
              <w:bottom w:val="single" w:sz="6" w:space="0" w:color="000000"/>
              <w:right w:val="single" w:sz="6" w:space="0" w:color="000000"/>
            </w:tcBorders>
            <w:vAlign w:val="center"/>
          </w:tcPr>
          <w:p w14:paraId="406C9BB5" w14:textId="77777777" w:rsidR="000A3B2B" w:rsidRDefault="000A3B2B" w:rsidP="00443121">
            <w:pPr>
              <w:autoSpaceDE w:val="0"/>
              <w:autoSpaceDN w:val="0"/>
              <w:adjustRightInd w:val="0"/>
              <w:spacing w:after="0" w:line="240" w:lineRule="auto"/>
              <w:rPr>
                <w:rFonts w:ascii="Arial" w:hAnsi="Arial" w:cs="Arial"/>
                <w:sz w:val="24"/>
                <w:szCs w:val="24"/>
                <w:lang w:val="x-none"/>
              </w:rPr>
            </w:pPr>
          </w:p>
        </w:tc>
        <w:tc>
          <w:tcPr>
            <w:tcW w:w="1320" w:type="dxa"/>
            <w:tcBorders>
              <w:top w:val="single" w:sz="6" w:space="0" w:color="000000"/>
              <w:left w:val="single" w:sz="6" w:space="0" w:color="000000"/>
              <w:bottom w:val="single" w:sz="6" w:space="0" w:color="000000"/>
              <w:right w:val="single" w:sz="6" w:space="0" w:color="000000"/>
            </w:tcBorders>
            <w:vAlign w:val="center"/>
          </w:tcPr>
          <w:p w14:paraId="219E4D64" w14:textId="77777777" w:rsidR="000A3B2B" w:rsidRDefault="000A3B2B" w:rsidP="00443121">
            <w:pPr>
              <w:autoSpaceDE w:val="0"/>
              <w:autoSpaceDN w:val="0"/>
              <w:adjustRightInd w:val="0"/>
              <w:spacing w:after="0" w:line="240" w:lineRule="auto"/>
              <w:rPr>
                <w:rFonts w:ascii="Arial" w:hAnsi="Arial" w:cs="Arial"/>
                <w:sz w:val="24"/>
                <w:szCs w:val="24"/>
                <w:lang w:val="x-none"/>
              </w:rPr>
            </w:pPr>
          </w:p>
        </w:tc>
      </w:tr>
      <w:tr w:rsidR="000A3B2B" w14:paraId="6F57738B" w14:textId="77777777" w:rsidTr="00443121">
        <w:trPr>
          <w:trHeight w:val="60"/>
          <w:tblCellSpacing w:w="0" w:type="dxa"/>
        </w:trPr>
        <w:tc>
          <w:tcPr>
            <w:tcW w:w="7162" w:type="dxa"/>
            <w:gridSpan w:val="6"/>
            <w:tcBorders>
              <w:top w:val="single" w:sz="6" w:space="0" w:color="000000"/>
              <w:left w:val="single" w:sz="6" w:space="0" w:color="000000"/>
              <w:bottom w:val="single" w:sz="6" w:space="0" w:color="000000"/>
              <w:right w:val="single" w:sz="6" w:space="0" w:color="000000"/>
            </w:tcBorders>
            <w:vAlign w:val="center"/>
          </w:tcPr>
          <w:p w14:paraId="49B63D38" w14:textId="77777777" w:rsidR="000A3B2B" w:rsidRDefault="000A3B2B" w:rsidP="00443121">
            <w:pPr>
              <w:autoSpaceDE w:val="0"/>
              <w:autoSpaceDN w:val="0"/>
              <w:adjustRightInd w:val="0"/>
              <w:spacing w:after="30" w:line="240" w:lineRule="auto"/>
              <w:ind w:left="165" w:hanging="165"/>
              <w:jc w:val="both"/>
              <w:rPr>
                <w:rFonts w:ascii="Arial" w:hAnsi="Arial" w:cs="Arial"/>
                <w:color w:val="000000"/>
                <w:sz w:val="16"/>
                <w:szCs w:val="16"/>
                <w:lang w:val="x-none"/>
              </w:rPr>
            </w:pPr>
            <w:r>
              <w:rPr>
                <w:rFonts w:ascii="Arial" w:hAnsi="Arial" w:cs="Arial"/>
                <w:color w:val="000000"/>
                <w:position w:val="4"/>
                <w:sz w:val="8"/>
                <w:szCs w:val="8"/>
                <w:lang w:val="x-none"/>
              </w:rPr>
              <w:t>1)</w:t>
            </w:r>
            <w:r>
              <w:rPr>
                <w:rFonts w:ascii="Arial" w:hAnsi="Arial" w:cs="Arial"/>
                <w:color w:val="000000"/>
                <w:sz w:val="16"/>
                <w:szCs w:val="16"/>
                <w:lang w:val="x-none"/>
              </w:rPr>
              <w:t xml:space="preserve">  dla osób pełniących samodzielne funkcje w budownictwie, Nr ewidencyjne: uprawnień budowlanych i Okręgowej Izby Inżynierów Budownictwa</w:t>
            </w:r>
          </w:p>
        </w:tc>
      </w:tr>
    </w:tbl>
    <w:p w14:paraId="08F89269" w14:textId="77777777" w:rsidR="000A3B2B" w:rsidRDefault="000A3B2B" w:rsidP="003C16E8">
      <w:pPr>
        <w:autoSpaceDE w:val="0"/>
        <w:autoSpaceDN w:val="0"/>
        <w:adjustRightInd w:val="0"/>
        <w:spacing w:after="30" w:line="240" w:lineRule="auto"/>
        <w:jc w:val="both"/>
        <w:rPr>
          <w:rFonts w:ascii="Arial" w:hAnsi="Arial" w:cs="Arial"/>
          <w:color w:val="000000"/>
          <w:sz w:val="18"/>
          <w:szCs w:val="18"/>
          <w:lang w:val="x-none"/>
        </w:rPr>
      </w:pPr>
    </w:p>
    <w:p w14:paraId="431583D0" w14:textId="77777777" w:rsidR="000A3B2B" w:rsidRDefault="000A3B2B" w:rsidP="003C16E8">
      <w:pPr>
        <w:autoSpaceDE w:val="0"/>
        <w:autoSpaceDN w:val="0"/>
        <w:adjustRightInd w:val="0"/>
        <w:spacing w:after="3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3.</w:t>
      </w:r>
      <w:r>
        <w:rPr>
          <w:rFonts w:ascii="Arial" w:hAnsi="Arial" w:cs="Arial"/>
          <w:b/>
          <w:bCs/>
          <w:color w:val="000000"/>
          <w:sz w:val="18"/>
          <w:szCs w:val="18"/>
          <w:lang w:val="x-none"/>
        </w:rPr>
        <w:tab/>
        <w:t>Wykonawca przedstawił następujące dokumenty:</w:t>
      </w:r>
    </w:p>
    <w:p w14:paraId="2B6E88D9" w14:textId="77777777" w:rsidR="000A3B2B" w:rsidRDefault="000A3B2B" w:rsidP="003C16E8">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a) pozwolenie na budowę;</w:t>
      </w:r>
    </w:p>
    <w:p w14:paraId="4A84AED8" w14:textId="77777777" w:rsidR="000A3B2B" w:rsidRDefault="000A3B2B" w:rsidP="003C16E8">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b) dziennik budowy;</w:t>
      </w:r>
    </w:p>
    <w:p w14:paraId="5F346F48" w14:textId="77777777" w:rsidR="000A3B2B" w:rsidRDefault="000A3B2B" w:rsidP="003C16E8">
      <w:pPr>
        <w:tabs>
          <w:tab w:val="right" w:leader="dot" w:pos="4500"/>
        </w:tabs>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c) </w:t>
      </w:r>
      <w:r>
        <w:rPr>
          <w:rFonts w:ascii="Arial" w:hAnsi="Arial" w:cs="Arial"/>
          <w:color w:val="000000"/>
          <w:sz w:val="18"/>
          <w:szCs w:val="18"/>
          <w:lang w:val="x-none"/>
        </w:rPr>
        <w:tab/>
      </w:r>
    </w:p>
    <w:p w14:paraId="799DFCB0" w14:textId="77777777" w:rsidR="000A3B2B" w:rsidRDefault="000A3B2B" w:rsidP="003C16E8">
      <w:pPr>
        <w:tabs>
          <w:tab w:val="right" w:leader="dot" w:pos="4500"/>
        </w:tabs>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ab/>
      </w:r>
    </w:p>
    <w:p w14:paraId="3CF3DC7B" w14:textId="77777777" w:rsidR="000A3B2B" w:rsidRDefault="000A3B2B" w:rsidP="003C16E8">
      <w:pPr>
        <w:autoSpaceDE w:val="0"/>
        <w:autoSpaceDN w:val="0"/>
        <w:adjustRightInd w:val="0"/>
        <w:spacing w:after="3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4.</w:t>
      </w:r>
      <w:r>
        <w:rPr>
          <w:rFonts w:ascii="Arial" w:hAnsi="Arial" w:cs="Arial"/>
          <w:b/>
          <w:bCs/>
          <w:color w:val="000000"/>
          <w:sz w:val="18"/>
          <w:szCs w:val="18"/>
          <w:lang w:val="x-none"/>
        </w:rPr>
        <w:tab/>
        <w:t>Wykonawca załączył do protokołu następujące dokumenty:</w:t>
      </w:r>
    </w:p>
    <w:p w14:paraId="725E2DED" w14:textId="77777777" w:rsidR="000A3B2B" w:rsidRDefault="000A3B2B" w:rsidP="003C16E8">
      <w:pPr>
        <w:autoSpaceDE w:val="0"/>
        <w:autoSpaceDN w:val="0"/>
        <w:adjustRightInd w:val="0"/>
        <w:spacing w:after="30" w:line="240" w:lineRule="auto"/>
        <w:ind w:left="225" w:hanging="225"/>
        <w:jc w:val="both"/>
        <w:rPr>
          <w:rFonts w:ascii="Arial" w:hAnsi="Arial" w:cs="Arial"/>
          <w:color w:val="000000"/>
          <w:sz w:val="18"/>
          <w:szCs w:val="18"/>
          <w:lang w:val="x-none"/>
        </w:rPr>
      </w:pPr>
      <w:r>
        <w:rPr>
          <w:rFonts w:ascii="Arial" w:hAnsi="Arial" w:cs="Arial"/>
          <w:color w:val="000000"/>
          <w:sz w:val="18"/>
          <w:szCs w:val="18"/>
          <w:lang w:val="x-none"/>
        </w:rPr>
        <w:t>a) protokoły odbiorów technicznych – częściowych przewodu kanalizacyjnego;</w:t>
      </w:r>
    </w:p>
    <w:p w14:paraId="2214D5BC" w14:textId="77777777" w:rsidR="000A3B2B" w:rsidRDefault="000A3B2B" w:rsidP="003C16E8">
      <w:pPr>
        <w:autoSpaceDE w:val="0"/>
        <w:autoSpaceDN w:val="0"/>
        <w:adjustRightInd w:val="0"/>
        <w:spacing w:after="30" w:line="240" w:lineRule="auto"/>
        <w:ind w:left="225" w:hanging="225"/>
        <w:jc w:val="both"/>
        <w:rPr>
          <w:rFonts w:ascii="Arial" w:hAnsi="Arial" w:cs="Arial"/>
          <w:color w:val="000000"/>
          <w:sz w:val="18"/>
          <w:szCs w:val="18"/>
          <w:lang w:val="x-none"/>
        </w:rPr>
      </w:pPr>
      <w:r>
        <w:rPr>
          <w:rFonts w:ascii="Arial" w:hAnsi="Arial" w:cs="Arial"/>
          <w:color w:val="000000"/>
          <w:sz w:val="18"/>
          <w:szCs w:val="18"/>
          <w:lang w:val="x-none"/>
        </w:rPr>
        <w:t>b) projekt z wprowadzonymi zmianami podczas budowy;</w:t>
      </w:r>
    </w:p>
    <w:p w14:paraId="145851DC" w14:textId="77777777" w:rsidR="000A3B2B" w:rsidRDefault="000A3B2B" w:rsidP="003C16E8">
      <w:pPr>
        <w:autoSpaceDE w:val="0"/>
        <w:autoSpaceDN w:val="0"/>
        <w:adjustRightInd w:val="0"/>
        <w:spacing w:after="30" w:line="240" w:lineRule="auto"/>
        <w:ind w:left="225" w:hanging="225"/>
        <w:jc w:val="both"/>
        <w:rPr>
          <w:rFonts w:ascii="Arial" w:hAnsi="Arial" w:cs="Arial"/>
          <w:color w:val="000000"/>
          <w:sz w:val="18"/>
          <w:szCs w:val="18"/>
          <w:lang w:val="x-none"/>
        </w:rPr>
      </w:pPr>
      <w:r>
        <w:rPr>
          <w:rFonts w:ascii="Arial" w:hAnsi="Arial" w:cs="Arial"/>
          <w:color w:val="000000"/>
          <w:sz w:val="18"/>
          <w:szCs w:val="18"/>
          <w:lang w:val="x-none"/>
        </w:rPr>
        <w:t>c) protokół odbioru szczelności systemu kanalizacji podciśnieniowej*;</w:t>
      </w:r>
    </w:p>
    <w:p w14:paraId="1B49201E" w14:textId="77777777" w:rsidR="000A3B2B" w:rsidRDefault="000A3B2B" w:rsidP="003C16E8">
      <w:pPr>
        <w:autoSpaceDE w:val="0"/>
        <w:autoSpaceDN w:val="0"/>
        <w:adjustRightInd w:val="0"/>
        <w:spacing w:after="30" w:line="240" w:lineRule="auto"/>
        <w:ind w:left="225" w:hanging="225"/>
        <w:jc w:val="both"/>
        <w:rPr>
          <w:rFonts w:ascii="Arial" w:hAnsi="Arial" w:cs="Arial"/>
          <w:color w:val="000000"/>
          <w:sz w:val="18"/>
          <w:szCs w:val="18"/>
          <w:lang w:val="x-none"/>
        </w:rPr>
      </w:pPr>
      <w:r>
        <w:rPr>
          <w:rFonts w:ascii="Arial" w:hAnsi="Arial" w:cs="Arial"/>
          <w:color w:val="000000"/>
          <w:sz w:val="18"/>
          <w:szCs w:val="18"/>
          <w:lang w:val="x-none"/>
        </w:rPr>
        <w:t>d) protokół odbioru uruchomienia systemu kanalizacji ciśnieniowej*, podciśnieniowej*, przepompowni ścieków*;</w:t>
      </w:r>
    </w:p>
    <w:p w14:paraId="5F61E568" w14:textId="77777777" w:rsidR="000A3B2B" w:rsidRDefault="000A3B2B" w:rsidP="003C16E8">
      <w:pPr>
        <w:autoSpaceDE w:val="0"/>
        <w:autoSpaceDN w:val="0"/>
        <w:adjustRightInd w:val="0"/>
        <w:spacing w:after="30" w:line="240" w:lineRule="auto"/>
        <w:ind w:left="225" w:hanging="225"/>
        <w:jc w:val="both"/>
        <w:rPr>
          <w:rFonts w:ascii="Arial" w:hAnsi="Arial" w:cs="Arial"/>
          <w:color w:val="000000"/>
          <w:sz w:val="18"/>
          <w:szCs w:val="18"/>
          <w:lang w:val="x-none"/>
        </w:rPr>
      </w:pPr>
      <w:r>
        <w:rPr>
          <w:rFonts w:ascii="Arial" w:hAnsi="Arial" w:cs="Arial"/>
          <w:color w:val="000000"/>
          <w:sz w:val="18"/>
          <w:szCs w:val="18"/>
          <w:lang w:val="x-none"/>
        </w:rPr>
        <w:t>e) wyniki badań stopnia zagęszczenia gruntu zasypki wykopu;</w:t>
      </w:r>
    </w:p>
    <w:p w14:paraId="49AA9DB3" w14:textId="77777777" w:rsidR="000A3B2B" w:rsidRDefault="000A3B2B" w:rsidP="003C16E8">
      <w:pPr>
        <w:autoSpaceDE w:val="0"/>
        <w:autoSpaceDN w:val="0"/>
        <w:adjustRightInd w:val="0"/>
        <w:spacing w:after="30" w:line="240" w:lineRule="auto"/>
        <w:ind w:left="225" w:hanging="225"/>
        <w:jc w:val="both"/>
        <w:rPr>
          <w:rFonts w:ascii="Arial" w:hAnsi="Arial" w:cs="Arial"/>
          <w:color w:val="000000"/>
          <w:sz w:val="18"/>
          <w:szCs w:val="18"/>
          <w:lang w:val="x-none"/>
        </w:rPr>
      </w:pPr>
      <w:r>
        <w:rPr>
          <w:rFonts w:ascii="Arial" w:hAnsi="Arial" w:cs="Arial"/>
          <w:color w:val="000000"/>
          <w:sz w:val="18"/>
          <w:szCs w:val="18"/>
          <w:lang w:val="x-none"/>
        </w:rPr>
        <w:t xml:space="preserve">f) inwentaryzacja geodezyjna; </w:t>
      </w:r>
    </w:p>
    <w:p w14:paraId="3170AA7A" w14:textId="77777777" w:rsidR="000A3B2B" w:rsidRDefault="000A3B2B" w:rsidP="003C16E8">
      <w:pPr>
        <w:tabs>
          <w:tab w:val="right" w:leader="dot" w:pos="4500"/>
        </w:tabs>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 xml:space="preserve">g) </w:t>
      </w:r>
      <w:r>
        <w:rPr>
          <w:rFonts w:ascii="Arial" w:hAnsi="Arial" w:cs="Arial"/>
          <w:color w:val="000000"/>
          <w:sz w:val="18"/>
          <w:szCs w:val="18"/>
          <w:lang w:val="x-none"/>
        </w:rPr>
        <w:tab/>
      </w:r>
    </w:p>
    <w:p w14:paraId="4A48EAFA" w14:textId="77777777" w:rsidR="000A3B2B" w:rsidRDefault="000A3B2B" w:rsidP="003C16E8">
      <w:pPr>
        <w:tabs>
          <w:tab w:val="right" w:leader="dot" w:pos="4500"/>
        </w:tabs>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ab/>
      </w:r>
    </w:p>
    <w:p w14:paraId="6A6B5ECC" w14:textId="77777777" w:rsidR="000A3B2B" w:rsidRDefault="000A3B2B" w:rsidP="003C16E8">
      <w:pPr>
        <w:autoSpaceDE w:val="0"/>
        <w:autoSpaceDN w:val="0"/>
        <w:adjustRightInd w:val="0"/>
        <w:spacing w:after="30" w:line="240" w:lineRule="auto"/>
        <w:jc w:val="both"/>
        <w:rPr>
          <w:rFonts w:ascii="Arial" w:hAnsi="Arial" w:cs="Arial"/>
          <w:color w:val="000000"/>
          <w:sz w:val="18"/>
          <w:szCs w:val="18"/>
          <w:lang w:val="x-none"/>
        </w:rPr>
      </w:pPr>
    </w:p>
    <w:p w14:paraId="34209A1E" w14:textId="77777777" w:rsidR="000A3B2B" w:rsidRDefault="000A3B2B" w:rsidP="003C16E8">
      <w:pPr>
        <w:autoSpaceDE w:val="0"/>
        <w:autoSpaceDN w:val="0"/>
        <w:adjustRightInd w:val="0"/>
        <w:spacing w:after="30" w:line="240" w:lineRule="auto"/>
        <w:ind w:left="285" w:hanging="285"/>
        <w:jc w:val="both"/>
        <w:rPr>
          <w:rFonts w:ascii="Arial" w:hAnsi="Arial" w:cs="Arial"/>
          <w:b/>
          <w:bCs/>
          <w:color w:val="000000"/>
          <w:sz w:val="18"/>
          <w:szCs w:val="18"/>
          <w:lang w:val="x-none"/>
        </w:rPr>
      </w:pPr>
      <w:r>
        <w:rPr>
          <w:rFonts w:ascii="Arial" w:hAnsi="Arial" w:cs="Arial"/>
          <w:b/>
          <w:bCs/>
          <w:color w:val="000000"/>
          <w:sz w:val="18"/>
          <w:szCs w:val="18"/>
          <w:lang w:val="x-none"/>
        </w:rPr>
        <w:t>5.</w:t>
      </w:r>
      <w:r>
        <w:rPr>
          <w:rFonts w:ascii="Arial" w:hAnsi="Arial" w:cs="Arial"/>
          <w:b/>
          <w:bCs/>
          <w:color w:val="000000"/>
          <w:sz w:val="18"/>
          <w:szCs w:val="18"/>
          <w:lang w:val="x-none"/>
        </w:rPr>
        <w:tab/>
        <w:t>Komisja stwierdza, że przewód kanalizacyjny będący przedmiotem odbioru:</w:t>
      </w:r>
    </w:p>
    <w:p w14:paraId="61C53ADA" w14:textId="77777777" w:rsidR="000A3B2B" w:rsidRDefault="000A3B2B" w:rsidP="003C16E8">
      <w:pPr>
        <w:autoSpaceDE w:val="0"/>
        <w:autoSpaceDN w:val="0"/>
        <w:adjustRightInd w:val="0"/>
        <w:spacing w:after="3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5.1.</w:t>
      </w:r>
      <w:r>
        <w:rPr>
          <w:rFonts w:ascii="Arial" w:hAnsi="Arial" w:cs="Arial"/>
          <w:b/>
          <w:bCs/>
          <w:color w:val="000000"/>
          <w:sz w:val="18"/>
          <w:szCs w:val="18"/>
          <w:lang w:val="x-none"/>
        </w:rPr>
        <w:tab/>
        <w:t>zrealizowano zgodnie* niezgodnie* z przedstawioną dokumentacją oraz warunkami technicznymi wykonania i odbioru</w:t>
      </w:r>
    </w:p>
    <w:p w14:paraId="666FA1BF" w14:textId="77777777" w:rsidR="000A3B2B" w:rsidRDefault="000A3B2B" w:rsidP="003C16E8">
      <w:pPr>
        <w:autoSpaceDE w:val="0"/>
        <w:autoSpaceDN w:val="0"/>
        <w:adjustRightInd w:val="0"/>
        <w:spacing w:after="30" w:line="240" w:lineRule="auto"/>
        <w:ind w:left="390" w:hanging="390"/>
        <w:jc w:val="both"/>
        <w:rPr>
          <w:rFonts w:ascii="Arial" w:hAnsi="Arial" w:cs="Arial"/>
          <w:b/>
          <w:bCs/>
          <w:color w:val="000000"/>
          <w:sz w:val="18"/>
          <w:szCs w:val="18"/>
          <w:lang w:val="x-none"/>
        </w:rPr>
      </w:pPr>
      <w:r>
        <w:rPr>
          <w:rFonts w:ascii="Arial" w:hAnsi="Arial" w:cs="Arial"/>
          <w:b/>
          <w:bCs/>
          <w:color w:val="000000"/>
          <w:sz w:val="18"/>
          <w:szCs w:val="18"/>
          <w:lang w:val="x-none"/>
        </w:rPr>
        <w:t>5.2.</w:t>
      </w:r>
      <w:r>
        <w:rPr>
          <w:rFonts w:ascii="Arial" w:hAnsi="Arial" w:cs="Arial"/>
          <w:b/>
          <w:bCs/>
          <w:color w:val="000000"/>
          <w:sz w:val="18"/>
          <w:szCs w:val="18"/>
          <w:lang w:val="x-none"/>
        </w:rPr>
        <w:tab/>
        <w:t>może zostać* nie może zostać* zasypany</w:t>
      </w:r>
    </w:p>
    <w:p w14:paraId="639D1372" w14:textId="77777777" w:rsidR="000A3B2B" w:rsidRDefault="000A3B2B" w:rsidP="003C16E8">
      <w:pPr>
        <w:autoSpaceDE w:val="0"/>
        <w:autoSpaceDN w:val="0"/>
        <w:adjustRightInd w:val="0"/>
        <w:spacing w:after="30" w:line="240" w:lineRule="auto"/>
        <w:jc w:val="both"/>
        <w:rPr>
          <w:rFonts w:ascii="Arial" w:hAnsi="Arial" w:cs="Arial"/>
          <w:color w:val="000000"/>
          <w:sz w:val="18"/>
          <w:szCs w:val="18"/>
          <w:lang w:val="x-none"/>
        </w:rPr>
      </w:pPr>
      <w:r>
        <w:rPr>
          <w:rFonts w:ascii="Arial" w:hAnsi="Arial" w:cs="Arial"/>
          <w:color w:val="000000"/>
          <w:sz w:val="18"/>
          <w:szCs w:val="18"/>
          <w:lang w:val="x-none"/>
        </w:rPr>
        <w:t>Na odwrotnej stronie niniejszego protokołu nie zostały zamieszczone* zostały zamieszczone* i podpisane pozostałe ustalenia komisji w tym dotyczące stwierdzonych wad i terminu ich usunięcia.</w:t>
      </w:r>
    </w:p>
    <w:p w14:paraId="1BFFEE4F" w14:textId="77777777" w:rsidR="000A3B2B" w:rsidRDefault="000A3B2B" w:rsidP="003C16E8">
      <w:pPr>
        <w:autoSpaceDE w:val="0"/>
        <w:autoSpaceDN w:val="0"/>
        <w:adjustRightInd w:val="0"/>
        <w:spacing w:after="30" w:line="240" w:lineRule="auto"/>
        <w:jc w:val="both"/>
        <w:rPr>
          <w:rFonts w:ascii="Arial" w:hAnsi="Arial" w:cs="Arial"/>
          <w:b/>
          <w:bCs/>
          <w:color w:val="000000"/>
          <w:sz w:val="18"/>
          <w:szCs w:val="18"/>
          <w:lang w:val="x-none"/>
        </w:rPr>
      </w:pPr>
    </w:p>
    <w:p w14:paraId="446603C6" w14:textId="77777777" w:rsidR="000A3B2B" w:rsidRDefault="000A3B2B" w:rsidP="003C16E8">
      <w:pPr>
        <w:autoSpaceDE w:val="0"/>
        <w:autoSpaceDN w:val="0"/>
        <w:adjustRightInd w:val="0"/>
        <w:spacing w:after="30" w:line="240" w:lineRule="auto"/>
        <w:jc w:val="both"/>
        <w:rPr>
          <w:rFonts w:ascii="Arial" w:hAnsi="Arial" w:cs="Arial"/>
          <w:b/>
          <w:bCs/>
          <w:color w:val="000000"/>
          <w:sz w:val="18"/>
          <w:szCs w:val="18"/>
          <w:lang w:val="x-none"/>
        </w:rPr>
      </w:pPr>
      <w:r>
        <w:rPr>
          <w:rFonts w:ascii="Arial" w:hAnsi="Arial" w:cs="Arial"/>
          <w:b/>
          <w:bCs/>
          <w:color w:val="000000"/>
          <w:sz w:val="18"/>
          <w:szCs w:val="18"/>
          <w:lang w:val="x-none"/>
        </w:rPr>
        <w:t>6. Podpisy członków Komisji</w:t>
      </w:r>
    </w:p>
    <w:p w14:paraId="18AB89D1" w14:textId="77777777" w:rsidR="000A3B2B" w:rsidRDefault="000A3B2B" w:rsidP="003C16E8">
      <w:pPr>
        <w:tabs>
          <w:tab w:val="center" w:pos="840"/>
          <w:tab w:val="center" w:pos="2220"/>
          <w:tab w:val="center" w:pos="3615"/>
          <w:tab w:val="center" w:pos="5025"/>
          <w:tab w:val="center" w:pos="6435"/>
        </w:tabs>
        <w:autoSpaceDE w:val="0"/>
        <w:autoSpaceDN w:val="0"/>
        <w:adjustRightInd w:val="0"/>
        <w:spacing w:after="0" w:line="240" w:lineRule="auto"/>
        <w:jc w:val="both"/>
        <w:rPr>
          <w:rFonts w:ascii="Arial" w:hAnsi="Arial" w:cs="Arial"/>
          <w:color w:val="000000"/>
          <w:sz w:val="18"/>
          <w:szCs w:val="18"/>
          <w:lang w:val="x-none"/>
        </w:rPr>
      </w:pPr>
    </w:p>
    <w:p w14:paraId="07D2C3F6" w14:textId="77777777" w:rsidR="000A3B2B" w:rsidRDefault="000A3B2B" w:rsidP="003C16E8">
      <w:pPr>
        <w:tabs>
          <w:tab w:val="center" w:pos="840"/>
          <w:tab w:val="center" w:pos="2220"/>
          <w:tab w:val="center" w:pos="3615"/>
          <w:tab w:val="center" w:pos="5025"/>
          <w:tab w:val="center" w:pos="6435"/>
        </w:tabs>
        <w:autoSpaceDE w:val="0"/>
        <w:autoSpaceDN w:val="0"/>
        <w:adjustRightInd w:val="0"/>
        <w:spacing w:after="0" w:line="240" w:lineRule="auto"/>
        <w:jc w:val="both"/>
        <w:rPr>
          <w:rFonts w:ascii="Arial" w:hAnsi="Arial" w:cs="Arial"/>
          <w:color w:val="000000"/>
          <w:sz w:val="18"/>
          <w:szCs w:val="18"/>
          <w:lang w:val="x-none"/>
        </w:rPr>
      </w:pPr>
      <w:r>
        <w:rPr>
          <w:rFonts w:ascii="Arial" w:hAnsi="Arial" w:cs="Arial"/>
          <w:color w:val="000000"/>
          <w:sz w:val="18"/>
          <w:szCs w:val="18"/>
          <w:lang w:val="x-none"/>
        </w:rPr>
        <w:tab/>
        <w:t>Inwestor</w:t>
      </w:r>
      <w:r>
        <w:rPr>
          <w:rFonts w:ascii="Arial" w:hAnsi="Arial" w:cs="Arial"/>
          <w:color w:val="000000"/>
          <w:sz w:val="18"/>
          <w:szCs w:val="18"/>
          <w:lang w:val="x-none"/>
        </w:rPr>
        <w:tab/>
        <w:t>Wykonawca</w:t>
      </w:r>
      <w:r>
        <w:rPr>
          <w:rFonts w:ascii="Arial" w:hAnsi="Arial" w:cs="Arial"/>
          <w:color w:val="000000"/>
          <w:sz w:val="18"/>
          <w:szCs w:val="18"/>
          <w:lang w:val="x-none"/>
        </w:rPr>
        <w:tab/>
        <w:t>Nadzór</w:t>
      </w:r>
      <w:r>
        <w:rPr>
          <w:rFonts w:ascii="Arial" w:hAnsi="Arial" w:cs="Arial"/>
          <w:color w:val="000000"/>
          <w:sz w:val="18"/>
          <w:szCs w:val="18"/>
          <w:lang w:val="x-none"/>
        </w:rPr>
        <w:tab/>
        <w:t>Użytkownik</w:t>
      </w:r>
      <w:r>
        <w:rPr>
          <w:rFonts w:ascii="Arial" w:hAnsi="Arial" w:cs="Arial"/>
          <w:color w:val="000000"/>
          <w:sz w:val="18"/>
          <w:szCs w:val="18"/>
          <w:lang w:val="x-none"/>
        </w:rPr>
        <w:tab/>
        <w:t>Projektant</w:t>
      </w:r>
    </w:p>
    <w:p w14:paraId="3BB46E36" w14:textId="77777777" w:rsidR="000A3B2B" w:rsidRDefault="000A3B2B" w:rsidP="003C16E8">
      <w:pPr>
        <w:tabs>
          <w:tab w:val="center" w:pos="840"/>
          <w:tab w:val="center" w:pos="2220"/>
          <w:tab w:val="center" w:pos="3615"/>
          <w:tab w:val="center" w:pos="5025"/>
          <w:tab w:val="center" w:pos="6435"/>
        </w:tabs>
        <w:autoSpaceDE w:val="0"/>
        <w:autoSpaceDN w:val="0"/>
        <w:adjustRightInd w:val="0"/>
        <w:spacing w:after="0" w:line="240" w:lineRule="auto"/>
        <w:jc w:val="both"/>
        <w:rPr>
          <w:rFonts w:ascii="Arial" w:hAnsi="Arial" w:cs="Arial"/>
          <w:color w:val="000000"/>
          <w:sz w:val="18"/>
          <w:szCs w:val="18"/>
          <w:lang w:val="x-none"/>
        </w:rPr>
      </w:pPr>
      <w:r>
        <w:rPr>
          <w:rFonts w:ascii="Arial" w:hAnsi="Arial" w:cs="Arial"/>
          <w:color w:val="000000"/>
          <w:sz w:val="18"/>
          <w:szCs w:val="18"/>
          <w:lang w:val="x-none"/>
        </w:rPr>
        <w:tab/>
        <w:t>1.</w:t>
      </w:r>
      <w:r>
        <w:rPr>
          <w:rFonts w:ascii="Arial" w:hAnsi="Arial" w:cs="Arial"/>
          <w:color w:val="000000"/>
          <w:sz w:val="18"/>
          <w:szCs w:val="18"/>
          <w:lang w:val="x-none"/>
        </w:rPr>
        <w:tab/>
        <w:t>2.</w:t>
      </w:r>
      <w:r>
        <w:rPr>
          <w:rFonts w:ascii="Arial" w:hAnsi="Arial" w:cs="Arial"/>
          <w:color w:val="000000"/>
          <w:sz w:val="18"/>
          <w:szCs w:val="18"/>
          <w:lang w:val="x-none"/>
        </w:rPr>
        <w:tab/>
        <w:t>3.</w:t>
      </w:r>
      <w:r>
        <w:rPr>
          <w:rFonts w:ascii="Arial" w:hAnsi="Arial" w:cs="Arial"/>
          <w:color w:val="000000"/>
          <w:sz w:val="18"/>
          <w:szCs w:val="18"/>
          <w:lang w:val="x-none"/>
        </w:rPr>
        <w:tab/>
        <w:t>4.</w:t>
      </w:r>
      <w:r>
        <w:rPr>
          <w:rFonts w:ascii="Arial" w:hAnsi="Arial" w:cs="Arial"/>
          <w:color w:val="000000"/>
          <w:sz w:val="18"/>
          <w:szCs w:val="18"/>
          <w:lang w:val="x-none"/>
        </w:rPr>
        <w:tab/>
        <w:t>5.</w:t>
      </w:r>
    </w:p>
    <w:p w14:paraId="13F4F027" w14:textId="77777777" w:rsidR="000A3B2B" w:rsidRDefault="000A3B2B" w:rsidP="0094720B">
      <w:pPr>
        <w:tabs>
          <w:tab w:val="center" w:pos="840"/>
          <w:tab w:val="center" w:pos="2220"/>
          <w:tab w:val="center" w:pos="3615"/>
          <w:tab w:val="center" w:pos="5025"/>
          <w:tab w:val="center" w:pos="6435"/>
        </w:tabs>
        <w:autoSpaceDE w:val="0"/>
        <w:autoSpaceDN w:val="0"/>
        <w:adjustRightInd w:val="0"/>
        <w:spacing w:after="0" w:line="240" w:lineRule="auto"/>
        <w:jc w:val="both"/>
        <w:rPr>
          <w:rFonts w:ascii="Arial" w:hAnsi="Arial" w:cs="Arial"/>
          <w:color w:val="000000"/>
          <w:sz w:val="18"/>
          <w:szCs w:val="18"/>
          <w:lang w:val="x-none"/>
        </w:rPr>
        <w:sectPr w:rsidR="000A3B2B" w:rsidSect="009E5295">
          <w:pgSz w:w="12240" w:h="15840"/>
          <w:pgMar w:top="1417" w:right="1417" w:bottom="1417" w:left="1417" w:header="708" w:footer="708" w:gutter="0"/>
          <w:cols w:space="708"/>
          <w:noEndnote/>
        </w:sectPr>
      </w:pPr>
      <w:r>
        <w:rPr>
          <w:rFonts w:ascii="Arial" w:hAnsi="Arial" w:cs="Arial"/>
          <w:color w:val="000000"/>
          <w:sz w:val="18"/>
          <w:szCs w:val="18"/>
          <w:lang w:val="x-none"/>
        </w:rPr>
        <w:t xml:space="preserve">   ........................     ........................    ........................    ........................    .....................</w:t>
      </w:r>
    </w:p>
    <w:p w14:paraId="36ADB62D" w14:textId="77777777" w:rsidR="000A3B2B" w:rsidRPr="00324356" w:rsidRDefault="000A3B2B" w:rsidP="0094720B">
      <w:pPr>
        <w:tabs>
          <w:tab w:val="center" w:pos="840"/>
          <w:tab w:val="center" w:pos="2220"/>
          <w:tab w:val="center" w:pos="3615"/>
          <w:tab w:val="center" w:pos="5025"/>
          <w:tab w:val="center" w:pos="6435"/>
        </w:tabs>
        <w:autoSpaceDE w:val="0"/>
        <w:autoSpaceDN w:val="0"/>
        <w:adjustRightInd w:val="0"/>
        <w:spacing w:after="0" w:line="240" w:lineRule="auto"/>
        <w:jc w:val="both"/>
        <w:rPr>
          <w:rFonts w:ascii="Arial" w:hAnsi="Arial" w:cs="Arial"/>
          <w:color w:val="000000"/>
          <w:sz w:val="14"/>
          <w:szCs w:val="14"/>
          <w:lang w:val="x-none"/>
        </w:rPr>
      </w:pPr>
    </w:p>
    <w:sectPr w:rsidR="000A3B2B" w:rsidRPr="00324356" w:rsidSect="000A3B2B">
      <w:type w:val="continuous"/>
      <w:pgSz w:w="12240" w:h="15840"/>
      <w:pgMar w:top="1417" w:right="1417" w:bottom="1417" w:left="1417" w:header="708" w:footer="708"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055B7E" w14:textId="77777777" w:rsidR="006243CA" w:rsidRDefault="006243CA" w:rsidP="00816610">
      <w:pPr>
        <w:spacing w:after="0" w:line="240" w:lineRule="auto"/>
      </w:pPr>
      <w:r>
        <w:separator/>
      </w:r>
    </w:p>
  </w:endnote>
  <w:endnote w:type="continuationSeparator" w:id="0">
    <w:p w14:paraId="0078CF4A" w14:textId="77777777" w:rsidR="006243CA" w:rsidRDefault="006243CA" w:rsidP="008166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imes New Roman PL">
    <w:charset w:val="01"/>
    <w:family w:val="roman"/>
    <w:pitch w:val="default"/>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WoodtypeOrnamentsStd">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18755998"/>
      <w:docPartObj>
        <w:docPartGallery w:val="Page Numbers (Bottom of Page)"/>
        <w:docPartUnique/>
      </w:docPartObj>
    </w:sdtPr>
    <w:sdtEndPr/>
    <w:sdtContent>
      <w:p w14:paraId="23F2DEBC" w14:textId="77777777" w:rsidR="000A3B2B" w:rsidRDefault="000A3B2B">
        <w:pPr>
          <w:pStyle w:val="Stopka"/>
          <w:jc w:val="right"/>
        </w:pPr>
        <w:r>
          <w:fldChar w:fldCharType="begin"/>
        </w:r>
        <w:r>
          <w:instrText>PAGE   \* MERGEFORMAT</w:instrText>
        </w:r>
        <w:r>
          <w:fldChar w:fldCharType="separate"/>
        </w:r>
        <w:r>
          <w:t>2</w:t>
        </w:r>
        <w:r>
          <w:fldChar w:fldCharType="end"/>
        </w:r>
      </w:p>
    </w:sdtContent>
  </w:sdt>
  <w:p w14:paraId="37579954" w14:textId="77777777" w:rsidR="000A3B2B" w:rsidRDefault="000A3B2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62A252" w14:textId="77777777" w:rsidR="006243CA" w:rsidRDefault="006243CA" w:rsidP="00816610">
      <w:pPr>
        <w:spacing w:after="0" w:line="240" w:lineRule="auto"/>
      </w:pPr>
      <w:r>
        <w:separator/>
      </w:r>
    </w:p>
  </w:footnote>
  <w:footnote w:type="continuationSeparator" w:id="0">
    <w:p w14:paraId="6A2705BF" w14:textId="77777777" w:rsidR="006243CA" w:rsidRDefault="006243CA" w:rsidP="0081661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1">
    <w:nsid w:val="1C6F725E"/>
    <w:multiLevelType w:val="hybridMultilevel"/>
    <w:tmpl w:val="8410D300"/>
    <w:lvl w:ilvl="0" w:tplc="1F045FE6">
      <w:start w:val="2"/>
      <w:numFmt w:val="decimal"/>
      <w:lvlText w:val="%1."/>
      <w:lvlJc w:val="left"/>
      <w:pPr>
        <w:ind w:left="37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280AC98">
      <w:start w:val="1"/>
      <w:numFmt w:val="lowerLetter"/>
      <w:lvlText w:val="%2"/>
      <w:lvlJc w:val="left"/>
      <w:pPr>
        <w:ind w:left="10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78476B8">
      <w:start w:val="1"/>
      <w:numFmt w:val="lowerRoman"/>
      <w:lvlText w:val="%3"/>
      <w:lvlJc w:val="left"/>
      <w:pPr>
        <w:ind w:left="18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B146670">
      <w:start w:val="1"/>
      <w:numFmt w:val="decimal"/>
      <w:lvlText w:val="%4"/>
      <w:lvlJc w:val="left"/>
      <w:pPr>
        <w:ind w:left="25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55AB788">
      <w:start w:val="1"/>
      <w:numFmt w:val="lowerLetter"/>
      <w:lvlText w:val="%5"/>
      <w:lvlJc w:val="left"/>
      <w:pPr>
        <w:ind w:left="32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9C87F92">
      <w:start w:val="1"/>
      <w:numFmt w:val="lowerRoman"/>
      <w:lvlText w:val="%6"/>
      <w:lvlJc w:val="left"/>
      <w:pPr>
        <w:ind w:left="39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C86AAFA">
      <w:start w:val="1"/>
      <w:numFmt w:val="decimal"/>
      <w:lvlText w:val="%7"/>
      <w:lvlJc w:val="left"/>
      <w:pPr>
        <w:ind w:left="46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6C42BC2">
      <w:start w:val="1"/>
      <w:numFmt w:val="lowerLetter"/>
      <w:lvlText w:val="%8"/>
      <w:lvlJc w:val="left"/>
      <w:pPr>
        <w:ind w:left="54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6487366">
      <w:start w:val="1"/>
      <w:numFmt w:val="lowerRoman"/>
      <w:lvlText w:val="%9"/>
      <w:lvlJc w:val="left"/>
      <w:pPr>
        <w:ind w:left="61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1">
    <w:nsid w:val="28737BDD"/>
    <w:multiLevelType w:val="hybridMultilevel"/>
    <w:tmpl w:val="0C4894F6"/>
    <w:lvl w:ilvl="0" w:tplc="24AE9FCE">
      <w:start w:val="17"/>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1">
    <w:nsid w:val="6D1B7838"/>
    <w:multiLevelType w:val="hybridMultilevel"/>
    <w:tmpl w:val="392E0D40"/>
    <w:lvl w:ilvl="0" w:tplc="5F2C7670">
      <w:start w:val="1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GrammaticalError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4A55"/>
    <w:rsid w:val="00023227"/>
    <w:rsid w:val="00081BF3"/>
    <w:rsid w:val="0009596C"/>
    <w:rsid w:val="000A3B2B"/>
    <w:rsid w:val="000E4124"/>
    <w:rsid w:val="000E4A55"/>
    <w:rsid w:val="00182A46"/>
    <w:rsid w:val="001D63CA"/>
    <w:rsid w:val="001E5828"/>
    <w:rsid w:val="00294A9F"/>
    <w:rsid w:val="002B3DF1"/>
    <w:rsid w:val="003115A0"/>
    <w:rsid w:val="00321C5A"/>
    <w:rsid w:val="00324356"/>
    <w:rsid w:val="00356599"/>
    <w:rsid w:val="003832DC"/>
    <w:rsid w:val="003900B9"/>
    <w:rsid w:val="003C16E8"/>
    <w:rsid w:val="00443121"/>
    <w:rsid w:val="00482C30"/>
    <w:rsid w:val="004A0FAA"/>
    <w:rsid w:val="004B46BA"/>
    <w:rsid w:val="004C4C32"/>
    <w:rsid w:val="005A0794"/>
    <w:rsid w:val="005A76B5"/>
    <w:rsid w:val="005C15D9"/>
    <w:rsid w:val="005D2457"/>
    <w:rsid w:val="00624267"/>
    <w:rsid w:val="006243CA"/>
    <w:rsid w:val="006857D2"/>
    <w:rsid w:val="006904B4"/>
    <w:rsid w:val="007169ED"/>
    <w:rsid w:val="00773D74"/>
    <w:rsid w:val="00816610"/>
    <w:rsid w:val="00821D6C"/>
    <w:rsid w:val="00832F5C"/>
    <w:rsid w:val="008A1584"/>
    <w:rsid w:val="008E25C9"/>
    <w:rsid w:val="00913B09"/>
    <w:rsid w:val="009141BF"/>
    <w:rsid w:val="0094720B"/>
    <w:rsid w:val="009625C9"/>
    <w:rsid w:val="009760E2"/>
    <w:rsid w:val="009A0651"/>
    <w:rsid w:val="009B4648"/>
    <w:rsid w:val="009B52C0"/>
    <w:rsid w:val="009E5295"/>
    <w:rsid w:val="009F30DC"/>
    <w:rsid w:val="00A14BC2"/>
    <w:rsid w:val="00A27F55"/>
    <w:rsid w:val="00A47DAD"/>
    <w:rsid w:val="00AB49C5"/>
    <w:rsid w:val="00B3528F"/>
    <w:rsid w:val="00B40B3F"/>
    <w:rsid w:val="00BC26C0"/>
    <w:rsid w:val="00BF14F2"/>
    <w:rsid w:val="00C07DC3"/>
    <w:rsid w:val="00C60B6B"/>
    <w:rsid w:val="00CC79B3"/>
    <w:rsid w:val="00D034B0"/>
    <w:rsid w:val="00D52803"/>
    <w:rsid w:val="00D661C1"/>
    <w:rsid w:val="00E10DB2"/>
    <w:rsid w:val="00E544A0"/>
    <w:rsid w:val="00E6279E"/>
    <w:rsid w:val="00F06517"/>
    <w:rsid w:val="00F12B9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6C2A7"/>
  <w15:chartTrackingRefBased/>
  <w15:docId w15:val="{09F4A08D-4A7E-44F2-BFB7-91841C30B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81661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semiHidden/>
    <w:unhideWhenUsed/>
    <w:qFormat/>
    <w:rsid w:val="0081661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semiHidden/>
    <w:unhideWhenUsed/>
    <w:qFormat/>
    <w:rsid w:val="0081661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rsid w:val="004B46BA"/>
    <w:pPr>
      <w:tabs>
        <w:tab w:val="center" w:pos="4536"/>
        <w:tab w:val="right" w:pos="9072"/>
      </w:tabs>
      <w:spacing w:after="0" w:line="240" w:lineRule="auto"/>
    </w:pPr>
    <w:rPr>
      <w:rFonts w:ascii="Times New Roman" w:eastAsia="Times New Roman" w:hAnsi="Times New Roman" w:cs="Times New Roman"/>
      <w:sz w:val="20"/>
      <w:szCs w:val="20"/>
      <w:lang w:eastAsia="ar-SA"/>
    </w:rPr>
  </w:style>
  <w:style w:type="character" w:customStyle="1" w:styleId="NagwekZnak">
    <w:name w:val="Nagłówek Znak"/>
    <w:basedOn w:val="Domylnaczcionkaakapitu"/>
    <w:link w:val="Nagwek"/>
    <w:rsid w:val="004B46BA"/>
    <w:rPr>
      <w:rFonts w:ascii="Times New Roman" w:eastAsia="Times New Roman" w:hAnsi="Times New Roman" w:cs="Times New Roman"/>
      <w:sz w:val="20"/>
      <w:szCs w:val="20"/>
      <w:lang w:eastAsia="ar-SA"/>
    </w:rPr>
  </w:style>
  <w:style w:type="paragraph" w:customStyle="1" w:styleId="Tabela">
    <w:name w:val="Tabela"/>
    <w:basedOn w:val="Normalny"/>
    <w:rsid w:val="004B46BA"/>
    <w:pPr>
      <w:suppressAutoHyphens/>
      <w:spacing w:after="0" w:line="240" w:lineRule="auto"/>
    </w:pPr>
    <w:rPr>
      <w:rFonts w:ascii="Times New Roman PL" w:eastAsia="Times New Roman" w:hAnsi="Times New Roman PL" w:cs="Times New Roman"/>
      <w:sz w:val="20"/>
      <w:szCs w:val="20"/>
      <w:lang w:eastAsia="ar-SA"/>
    </w:rPr>
  </w:style>
  <w:style w:type="paragraph" w:customStyle="1" w:styleId="Styl1">
    <w:name w:val="Styl1"/>
    <w:basedOn w:val="Normalny"/>
    <w:link w:val="Styl1Znak"/>
    <w:qFormat/>
    <w:rsid w:val="004B46BA"/>
    <w:pPr>
      <w:autoSpaceDE w:val="0"/>
      <w:autoSpaceDN w:val="0"/>
      <w:adjustRightInd w:val="0"/>
      <w:spacing w:after="0" w:line="288" w:lineRule="auto"/>
    </w:pPr>
    <w:rPr>
      <w:rFonts w:ascii="Arial" w:hAnsi="Arial" w:cs="Arial"/>
      <w:b/>
      <w:bCs/>
      <w:color w:val="000000"/>
      <w:sz w:val="18"/>
      <w:szCs w:val="18"/>
      <w:lang w:val="x-none"/>
    </w:rPr>
  </w:style>
  <w:style w:type="character" w:customStyle="1" w:styleId="Styl1Znak">
    <w:name w:val="Styl1 Znak"/>
    <w:basedOn w:val="Domylnaczcionkaakapitu"/>
    <w:link w:val="Styl1"/>
    <w:rsid w:val="004B46BA"/>
    <w:rPr>
      <w:rFonts w:ascii="Arial" w:hAnsi="Arial" w:cs="Arial"/>
      <w:b/>
      <w:bCs/>
      <w:color w:val="000000"/>
      <w:sz w:val="18"/>
      <w:szCs w:val="18"/>
      <w:lang w:val="x-none"/>
    </w:rPr>
  </w:style>
  <w:style w:type="character" w:customStyle="1" w:styleId="Nagwek1Znak">
    <w:name w:val="Nagłówek 1 Znak"/>
    <w:basedOn w:val="Domylnaczcionkaakapitu"/>
    <w:link w:val="Nagwek1"/>
    <w:uiPriority w:val="9"/>
    <w:rsid w:val="00816610"/>
    <w:rPr>
      <w:rFonts w:asciiTheme="majorHAnsi" w:eastAsiaTheme="majorEastAsia" w:hAnsiTheme="majorHAnsi" w:cstheme="majorBidi"/>
      <w:color w:val="2F5496" w:themeColor="accent1" w:themeShade="BF"/>
      <w:sz w:val="32"/>
      <w:szCs w:val="32"/>
    </w:rPr>
  </w:style>
  <w:style w:type="paragraph" w:styleId="Spistreci1">
    <w:name w:val="toc 1"/>
    <w:basedOn w:val="Normalny"/>
    <w:next w:val="Normalny"/>
    <w:autoRedefine/>
    <w:uiPriority w:val="39"/>
    <w:unhideWhenUsed/>
    <w:rsid w:val="00816610"/>
    <w:pPr>
      <w:spacing w:after="100"/>
    </w:pPr>
  </w:style>
  <w:style w:type="character" w:customStyle="1" w:styleId="Nagwek2Znak">
    <w:name w:val="Nagłówek 2 Znak"/>
    <w:basedOn w:val="Domylnaczcionkaakapitu"/>
    <w:link w:val="Nagwek2"/>
    <w:uiPriority w:val="9"/>
    <w:semiHidden/>
    <w:rsid w:val="00816610"/>
    <w:rPr>
      <w:rFonts w:asciiTheme="majorHAnsi" w:eastAsiaTheme="majorEastAsia" w:hAnsiTheme="majorHAnsi" w:cstheme="majorBidi"/>
      <w:color w:val="2F5496" w:themeColor="accent1" w:themeShade="BF"/>
      <w:sz w:val="26"/>
      <w:szCs w:val="26"/>
    </w:rPr>
  </w:style>
  <w:style w:type="character" w:customStyle="1" w:styleId="Nagwek3Znak">
    <w:name w:val="Nagłówek 3 Znak"/>
    <w:basedOn w:val="Domylnaczcionkaakapitu"/>
    <w:link w:val="Nagwek3"/>
    <w:uiPriority w:val="9"/>
    <w:semiHidden/>
    <w:rsid w:val="00816610"/>
    <w:rPr>
      <w:rFonts w:asciiTheme="majorHAnsi" w:eastAsiaTheme="majorEastAsia" w:hAnsiTheme="majorHAnsi" w:cstheme="majorBidi"/>
      <w:color w:val="1F3763" w:themeColor="accent1" w:themeShade="7F"/>
      <w:sz w:val="24"/>
      <w:szCs w:val="24"/>
    </w:rPr>
  </w:style>
  <w:style w:type="paragraph" w:styleId="Stopka">
    <w:name w:val="footer"/>
    <w:basedOn w:val="Normalny"/>
    <w:link w:val="StopkaZnak"/>
    <w:uiPriority w:val="99"/>
    <w:unhideWhenUsed/>
    <w:rsid w:val="0081661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16610"/>
  </w:style>
  <w:style w:type="character" w:styleId="Hipercze">
    <w:name w:val="Hyperlink"/>
    <w:basedOn w:val="Domylnaczcionkaakapitu"/>
    <w:uiPriority w:val="99"/>
    <w:unhideWhenUsed/>
    <w:rsid w:val="00816610"/>
    <w:rPr>
      <w:color w:val="0563C1" w:themeColor="hyperlink"/>
      <w:u w:val="single"/>
    </w:rPr>
  </w:style>
  <w:style w:type="paragraph" w:styleId="Tekstdymka">
    <w:name w:val="Balloon Text"/>
    <w:basedOn w:val="Normalny"/>
    <w:link w:val="TekstdymkaZnak"/>
    <w:uiPriority w:val="99"/>
    <w:semiHidden/>
    <w:unhideWhenUsed/>
    <w:rsid w:val="001E582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E5828"/>
    <w:rPr>
      <w:rFonts w:ascii="Segoe UI" w:hAnsi="Segoe UI" w:cs="Segoe UI"/>
      <w:sz w:val="18"/>
      <w:szCs w:val="18"/>
    </w:rPr>
  </w:style>
  <w:style w:type="paragraph" w:styleId="Akapitzlist">
    <w:name w:val="List Paragraph"/>
    <w:basedOn w:val="Normalny"/>
    <w:uiPriority w:val="34"/>
    <w:qFormat/>
    <w:rsid w:val="000232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5.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DAE16A-F477-44CF-949A-4631F6D91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62</Pages>
  <Words>84689</Words>
  <Characters>508134</Characters>
  <Application>Microsoft Office Word</Application>
  <DocSecurity>4</DocSecurity>
  <Lines>4234</Lines>
  <Paragraphs>1183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591640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Maciej Bartosiewicz</dc:creator>
  <cp:keywords/>
  <dc:description/>
  <cp:lastModifiedBy>Kamil Rozberg</cp:lastModifiedBy>
  <cp:revision>2</cp:revision>
  <cp:lastPrinted>2018-07-19T10:31:00Z</cp:lastPrinted>
  <dcterms:created xsi:type="dcterms:W3CDTF">2020-12-03T13:13:00Z</dcterms:created>
  <dcterms:modified xsi:type="dcterms:W3CDTF">2020-12-03T13:13:00Z</dcterms:modified>
</cp:coreProperties>
</file>